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5C20" w14:textId="190B9B55" w:rsidR="00C33C4A" w:rsidRPr="002967BC" w:rsidRDefault="00C33C4A" w:rsidP="005307AE">
      <w:pPr>
        <w:pStyle w:val="Nadpis5"/>
        <w:tabs>
          <w:tab w:val="left" w:pos="284"/>
        </w:tabs>
        <w:rPr>
          <w:rFonts w:ascii="Times New Roman" w:hAnsi="Times New Roman"/>
          <w:i w:val="0"/>
          <w:iCs w:val="0"/>
          <w:spacing w:val="20"/>
          <w:sz w:val="32"/>
          <w:szCs w:val="32"/>
        </w:rPr>
      </w:pPr>
      <w:bookmarkStart w:id="0" w:name="_Toc158112578"/>
      <w:bookmarkStart w:id="1" w:name="_Toc162317347"/>
      <w:bookmarkStart w:id="2" w:name="_Toc257716896"/>
      <w:r w:rsidRPr="002967BC">
        <w:rPr>
          <w:rFonts w:ascii="Times New Roman" w:hAnsi="Times New Roman"/>
          <w:i w:val="0"/>
          <w:iCs w:val="0"/>
          <w:spacing w:val="20"/>
          <w:sz w:val="32"/>
          <w:szCs w:val="32"/>
        </w:rPr>
        <w:t>Správa</w:t>
      </w:r>
    </w:p>
    <w:p w14:paraId="587A10F0" w14:textId="70E580C5" w:rsidR="00C33C4A" w:rsidRPr="002967BC" w:rsidRDefault="00C33C4A" w:rsidP="00C33C4A">
      <w:pPr>
        <w:jc w:val="center"/>
        <w:rPr>
          <w:b/>
          <w:bCs/>
          <w:sz w:val="32"/>
          <w:szCs w:val="32"/>
        </w:rPr>
      </w:pPr>
      <w:r w:rsidRPr="002967BC">
        <w:rPr>
          <w:b/>
          <w:bCs/>
          <w:sz w:val="32"/>
          <w:szCs w:val="32"/>
        </w:rPr>
        <w:t>o stave jadrovej bezpečnosti jadrových zariadení na území Slovenskej republiky a o činnosti Úradu jadrového dozoru Slovenskej republiky</w:t>
      </w:r>
    </w:p>
    <w:p w14:paraId="45282753" w14:textId="3E704264" w:rsidR="001A411F" w:rsidRPr="002967BC" w:rsidRDefault="00C33C4A" w:rsidP="00AC375B">
      <w:pPr>
        <w:jc w:val="center"/>
        <w:rPr>
          <w:b/>
          <w:sz w:val="32"/>
          <w:szCs w:val="32"/>
        </w:rPr>
      </w:pPr>
      <w:r w:rsidRPr="002967BC">
        <w:rPr>
          <w:b/>
          <w:sz w:val="32"/>
          <w:szCs w:val="32"/>
        </w:rPr>
        <w:t xml:space="preserve">za rok </w:t>
      </w:r>
      <w:r w:rsidR="00C93D75" w:rsidRPr="002967BC">
        <w:rPr>
          <w:b/>
          <w:sz w:val="32"/>
          <w:szCs w:val="32"/>
        </w:rPr>
        <w:t>202</w:t>
      </w:r>
      <w:r w:rsidR="00195B0A">
        <w:rPr>
          <w:b/>
          <w:sz w:val="32"/>
          <w:szCs w:val="32"/>
        </w:rPr>
        <w:t>4</w:t>
      </w:r>
    </w:p>
    <w:p w14:paraId="0721E2F2" w14:textId="77777777" w:rsidR="002967BC" w:rsidRPr="002967BC" w:rsidRDefault="002967BC" w:rsidP="00C33C4A">
      <w:pPr>
        <w:rPr>
          <w:lang w:eastAsia="cs-CZ"/>
        </w:rPr>
      </w:pPr>
    </w:p>
    <w:p w14:paraId="2D514EF2" w14:textId="07D53D53" w:rsidR="00156D65" w:rsidRPr="002967BC" w:rsidRDefault="00156D65" w:rsidP="005B072A">
      <w:pPr>
        <w:pStyle w:val="Nadpis1"/>
      </w:pPr>
      <w:bookmarkStart w:id="3" w:name="_Toc193697633"/>
      <w:r w:rsidRPr="00FA1219">
        <w:t>Úvod</w:t>
      </w:r>
      <w:bookmarkEnd w:id="3"/>
    </w:p>
    <w:p w14:paraId="5361A1B2" w14:textId="3CB72465" w:rsidR="00687E45" w:rsidRPr="00583F42" w:rsidRDefault="00687E45" w:rsidP="005B072A">
      <w:pPr>
        <w:rPr>
          <w:bCs/>
          <w:caps/>
          <w:szCs w:val="24"/>
        </w:rPr>
      </w:pPr>
    </w:p>
    <w:p w14:paraId="2E884907" w14:textId="2D316615" w:rsidR="0030679D" w:rsidRPr="002967BC" w:rsidRDefault="0030679D" w:rsidP="005B072A">
      <w:pPr>
        <w:pStyle w:val="Zkladntext"/>
        <w:spacing w:after="0"/>
        <w:jc w:val="both"/>
      </w:pPr>
      <w:r w:rsidRPr="002967BC">
        <w:t xml:space="preserve">Úrad jadrového dozoru Slovenskej republiky </w:t>
      </w:r>
      <w:r w:rsidRPr="00040B75">
        <w:t>(</w:t>
      </w:r>
      <w:r w:rsidR="000060FC" w:rsidRPr="00375F26">
        <w:t>ďalej len „ÚJD SR“</w:t>
      </w:r>
      <w:r w:rsidR="000060FC">
        <w:t>, „úrad“</w:t>
      </w:r>
      <w:r w:rsidRPr="00040B75">
        <w:t>)</w:t>
      </w:r>
      <w:r w:rsidRPr="002967BC">
        <w:t xml:space="preserve"> </w:t>
      </w:r>
      <w:r w:rsidR="002572FF" w:rsidRPr="002967BC">
        <w:t xml:space="preserve">podľa zákona č. 541/2004 Z. z. o mierovom využívaní jadrovej energie (atómový zákon) a o zmene a doplnení niektorých zákonov v znení neskorších predpisov </w:t>
      </w:r>
      <w:r w:rsidRPr="002967BC">
        <w:t>každoročne spracováva správu</w:t>
      </w:r>
      <w:r w:rsidR="001C279C" w:rsidRPr="002967BC">
        <w:t>,</w:t>
      </w:r>
      <w:r w:rsidR="002967BC">
        <w:t xml:space="preserve"> </w:t>
      </w:r>
      <w:r w:rsidR="001C279C" w:rsidRPr="002967BC">
        <w:t>v</w:t>
      </w:r>
      <w:r w:rsidR="00F60785" w:rsidRPr="002967BC">
        <w:t> </w:t>
      </w:r>
      <w:r w:rsidR="001C279C" w:rsidRPr="002967BC">
        <w:t>ktorej</w:t>
      </w:r>
      <w:r w:rsidRPr="002967BC">
        <w:t> podáva súhrnnú informáciu o činnosti ÚJD</w:t>
      </w:r>
      <w:r w:rsidR="003B702F">
        <w:t> </w:t>
      </w:r>
      <w:r w:rsidRPr="002967BC">
        <w:t xml:space="preserve">SR a o hodnotení a kontrole stavu jadrovej bezpečnosti jadrových zariadení na území Slovenskej republiky </w:t>
      </w:r>
      <w:r w:rsidRPr="00040B75">
        <w:t>(</w:t>
      </w:r>
      <w:r w:rsidR="00E22620">
        <w:t>ďalej len „</w:t>
      </w:r>
      <w:r w:rsidRPr="00040B75">
        <w:t>SR</w:t>
      </w:r>
      <w:r w:rsidR="00E22620">
        <w:t>“</w:t>
      </w:r>
      <w:r w:rsidR="0071393E" w:rsidRPr="00040B75">
        <w:t>)</w:t>
      </w:r>
      <w:r w:rsidR="0071393E" w:rsidRPr="0071393E">
        <w:t xml:space="preserve"> </w:t>
      </w:r>
      <w:r w:rsidR="0071393E" w:rsidRPr="002967BC">
        <w:t>za uplynulý rok</w:t>
      </w:r>
      <w:r w:rsidRPr="002967BC">
        <w:t>.</w:t>
      </w:r>
    </w:p>
    <w:p w14:paraId="4D80F0EE" w14:textId="5E5B2AE7" w:rsidR="00933BBE" w:rsidRPr="002967BC" w:rsidRDefault="0030679D" w:rsidP="005B072A">
      <w:pPr>
        <w:jc w:val="both"/>
      </w:pPr>
      <w:r w:rsidRPr="002967BC">
        <w:t>ÚJD</w:t>
      </w:r>
      <w:r w:rsidR="003B702F">
        <w:t> </w:t>
      </w:r>
      <w:r w:rsidRPr="002967BC">
        <w:t xml:space="preserve">SR vykonáva podľa zákona č. 575/2001 Z. z. o organizácii činnosti vlády a organizácii ústrednej štátnej správy v znení neskorších predpisov a atómového zákona štátny dozor v oblasti </w:t>
      </w:r>
      <w:r w:rsidR="009D73F3">
        <w:t xml:space="preserve">mierového </w:t>
      </w:r>
      <w:r w:rsidRPr="002967BC">
        <w:t>využívania jadrovej energie a bezpečného nakladania s vyhoretým jadrovým palivom</w:t>
      </w:r>
      <w:r w:rsidR="005C5068" w:rsidRPr="002967BC">
        <w:t xml:space="preserve"> </w:t>
      </w:r>
      <w:r w:rsidR="005C5068" w:rsidRPr="001E12C6">
        <w:t>(</w:t>
      </w:r>
      <w:r w:rsidR="00F40A2C">
        <w:t>ďalej len „</w:t>
      </w:r>
      <w:r w:rsidR="005C5068" w:rsidRPr="001E12C6">
        <w:t>VJP</w:t>
      </w:r>
      <w:r w:rsidR="00F40A2C">
        <w:t>“</w:t>
      </w:r>
      <w:r w:rsidR="005C5068" w:rsidRPr="001E12C6">
        <w:t>)</w:t>
      </w:r>
      <w:r w:rsidRPr="002967BC">
        <w:t xml:space="preserve"> a rádioaktívnymi odpadmi</w:t>
      </w:r>
      <w:r w:rsidR="005C5068" w:rsidRPr="002967BC">
        <w:t xml:space="preserve"> </w:t>
      </w:r>
      <w:r w:rsidR="005C5068" w:rsidRPr="001E12C6">
        <w:t>(</w:t>
      </w:r>
      <w:r w:rsidR="00F40A2C">
        <w:t>ďalej len „</w:t>
      </w:r>
      <w:r w:rsidR="005C5068" w:rsidRPr="001E12C6">
        <w:t>RAO</w:t>
      </w:r>
      <w:r w:rsidR="00F40A2C">
        <w:t>“</w:t>
      </w:r>
      <w:r w:rsidR="005C5068" w:rsidRPr="001E12C6">
        <w:t>)</w:t>
      </w:r>
      <w:r w:rsidRPr="001E12C6">
        <w:t>,</w:t>
      </w:r>
      <w:r w:rsidRPr="002967BC">
        <w:t xml:space="preserve"> pri fyzickej ochrane jadrových materiálov</w:t>
      </w:r>
      <w:r w:rsidR="000B14CC" w:rsidRPr="002967BC">
        <w:t xml:space="preserve"> </w:t>
      </w:r>
      <w:r w:rsidR="000B14CC" w:rsidRPr="007362E3">
        <w:t>(</w:t>
      </w:r>
      <w:r w:rsidR="00F40A2C">
        <w:t>ďalej len „</w:t>
      </w:r>
      <w:r w:rsidR="000B14CC" w:rsidRPr="007362E3">
        <w:t>JM</w:t>
      </w:r>
      <w:r w:rsidR="00F40A2C">
        <w:t>“</w:t>
      </w:r>
      <w:r w:rsidR="000B14CC" w:rsidRPr="002967BC">
        <w:t>)</w:t>
      </w:r>
      <w:r w:rsidRPr="002967BC">
        <w:t>, pri</w:t>
      </w:r>
      <w:r w:rsidR="00C4751B" w:rsidRPr="002967BC">
        <w:t> </w:t>
      </w:r>
      <w:r w:rsidRPr="002967BC">
        <w:t>havarijnom plánovaní v SR pre prípad radiačného ohrozenia a zabezpečuje plnenie povinností vyplývajúcich z medzinárodných zmlúv a dohôd v oblasti mierového využívania jadrovej energie.</w:t>
      </w:r>
    </w:p>
    <w:p w14:paraId="78EDEF89" w14:textId="56233FE7" w:rsidR="006F53A4" w:rsidRPr="002967BC" w:rsidRDefault="007D2BD9" w:rsidP="005B072A">
      <w:pPr>
        <w:jc w:val="both"/>
        <w:rPr>
          <w:sz w:val="26"/>
          <w:szCs w:val="26"/>
        </w:rPr>
      </w:pPr>
      <w:r>
        <w:rPr>
          <w:rFonts w:eastAsiaTheme="minorHAnsi"/>
          <w:color w:val="000000"/>
          <w:szCs w:val="24"/>
          <w:lang w:eastAsia="en-US"/>
        </w:rPr>
        <w:t>Úrad</w:t>
      </w:r>
      <w:r w:rsidR="006F53A4" w:rsidRPr="002967BC">
        <w:rPr>
          <w:rFonts w:eastAsiaTheme="minorHAnsi"/>
          <w:color w:val="000000"/>
          <w:szCs w:val="24"/>
          <w:lang w:eastAsia="en-US"/>
        </w:rPr>
        <w:t xml:space="preserve"> tiež vykonáva pôsobnosť stavebného úradu podľa zákona č.</w:t>
      </w:r>
      <w:r w:rsidR="000C1D24">
        <w:rPr>
          <w:rFonts w:eastAsiaTheme="minorHAnsi"/>
          <w:color w:val="000000"/>
          <w:szCs w:val="24"/>
          <w:lang w:eastAsia="en-US"/>
        </w:rPr>
        <w:t> </w:t>
      </w:r>
      <w:r w:rsidR="006F53A4" w:rsidRPr="002967BC">
        <w:rPr>
          <w:rFonts w:eastAsiaTheme="minorHAnsi"/>
          <w:color w:val="000000"/>
          <w:szCs w:val="24"/>
          <w:lang w:eastAsia="en-US"/>
        </w:rPr>
        <w:t>50/1976 Zb. o územnom plánovaní a stavebnom poriadku (</w:t>
      </w:r>
      <w:r w:rsidR="006F53A4" w:rsidRPr="00040B75">
        <w:rPr>
          <w:rFonts w:eastAsiaTheme="minorHAnsi"/>
          <w:color w:val="000000"/>
          <w:szCs w:val="24"/>
          <w:lang w:eastAsia="en-US"/>
        </w:rPr>
        <w:t>stavebný zákon</w:t>
      </w:r>
      <w:r w:rsidR="006F53A4" w:rsidRPr="002967BC">
        <w:rPr>
          <w:rFonts w:eastAsiaTheme="minorHAnsi"/>
          <w:color w:val="000000"/>
          <w:szCs w:val="24"/>
          <w:lang w:eastAsia="en-US"/>
        </w:rPr>
        <w:t xml:space="preserve">) v znení neskorších predpisov pri stavbách </w:t>
      </w:r>
      <w:r w:rsidR="00604395" w:rsidRPr="002967BC">
        <w:rPr>
          <w:rFonts w:eastAsiaTheme="minorHAnsi"/>
          <w:color w:val="000000"/>
          <w:szCs w:val="24"/>
          <w:lang w:eastAsia="en-US"/>
        </w:rPr>
        <w:t xml:space="preserve">jadrových zariadení </w:t>
      </w:r>
      <w:r w:rsidR="00604395" w:rsidRPr="00DB6B0E">
        <w:rPr>
          <w:rFonts w:eastAsiaTheme="minorHAnsi"/>
          <w:color w:val="000000"/>
          <w:szCs w:val="24"/>
          <w:lang w:eastAsia="en-US"/>
        </w:rPr>
        <w:t>(</w:t>
      </w:r>
      <w:r w:rsidR="00F65C0A">
        <w:rPr>
          <w:rFonts w:eastAsiaTheme="minorHAnsi"/>
          <w:color w:val="000000"/>
          <w:szCs w:val="24"/>
          <w:lang w:eastAsia="en-US"/>
        </w:rPr>
        <w:t>ďalej len „</w:t>
      </w:r>
      <w:r w:rsidR="006F53A4" w:rsidRPr="00DB6B0E">
        <w:rPr>
          <w:rFonts w:eastAsiaTheme="minorHAnsi"/>
          <w:color w:val="000000"/>
          <w:szCs w:val="24"/>
          <w:lang w:eastAsia="en-US"/>
        </w:rPr>
        <w:t>JZ</w:t>
      </w:r>
      <w:r w:rsidR="00F65C0A">
        <w:rPr>
          <w:rFonts w:eastAsiaTheme="minorHAnsi"/>
          <w:color w:val="000000"/>
          <w:szCs w:val="24"/>
          <w:lang w:eastAsia="en-US"/>
        </w:rPr>
        <w:t>“</w:t>
      </w:r>
      <w:r w:rsidR="00604395" w:rsidRPr="002967BC">
        <w:rPr>
          <w:rFonts w:eastAsiaTheme="minorHAnsi"/>
          <w:color w:val="000000"/>
          <w:szCs w:val="24"/>
          <w:lang w:eastAsia="en-US"/>
        </w:rPr>
        <w:t>)</w:t>
      </w:r>
      <w:r w:rsidR="006F53A4" w:rsidRPr="002967BC">
        <w:rPr>
          <w:rFonts w:eastAsiaTheme="minorHAnsi"/>
          <w:color w:val="000000"/>
          <w:szCs w:val="24"/>
          <w:lang w:eastAsia="en-US"/>
        </w:rPr>
        <w:t>, stavbách súvisiacich s JZ a nachádzajúcich sa v areáli ohraničenom hranicami JZ</w:t>
      </w:r>
      <w:r w:rsidR="00604395" w:rsidRPr="002967BC">
        <w:rPr>
          <w:rFonts w:eastAsiaTheme="minorHAnsi"/>
          <w:color w:val="000000"/>
          <w:szCs w:val="24"/>
          <w:lang w:eastAsia="en-US"/>
        </w:rPr>
        <w:t>.</w:t>
      </w:r>
    </w:p>
    <w:p w14:paraId="6D3CC6C2" w14:textId="77777777" w:rsidR="00C85C54" w:rsidRPr="007D2BD9" w:rsidRDefault="00C85C54" w:rsidP="005B072A">
      <w:pPr>
        <w:rPr>
          <w:bCs/>
          <w:caps/>
          <w:szCs w:val="24"/>
        </w:rPr>
      </w:pPr>
    </w:p>
    <w:p w14:paraId="14C77E7F" w14:textId="2411153F" w:rsidR="008B5359" w:rsidRDefault="008B5359" w:rsidP="007C21EA">
      <w:pPr>
        <w:pStyle w:val="Nadpis1"/>
        <w:numPr>
          <w:ilvl w:val="0"/>
          <w:numId w:val="5"/>
        </w:numPr>
        <w:ind w:left="360"/>
        <w:jc w:val="both"/>
      </w:pPr>
      <w:bookmarkStart w:id="4" w:name="_Toc193697634"/>
      <w:bookmarkStart w:id="5" w:name="_Toc285032436"/>
      <w:r>
        <w:rPr>
          <w:lang w:val="sk-SK"/>
        </w:rPr>
        <w:t>Hlavné činnosti</w:t>
      </w:r>
      <w:bookmarkEnd w:id="4"/>
    </w:p>
    <w:p w14:paraId="49FAA8D5" w14:textId="77777777" w:rsidR="008B5359" w:rsidRDefault="008B5359" w:rsidP="008B5359">
      <w:pPr>
        <w:pStyle w:val="Nadpis1"/>
        <w:ind w:left="360"/>
        <w:jc w:val="both"/>
      </w:pPr>
    </w:p>
    <w:p w14:paraId="724B518C" w14:textId="77777777" w:rsidR="008B5359" w:rsidRPr="00375F26" w:rsidRDefault="008B5359" w:rsidP="008B5359">
      <w:pPr>
        <w:pStyle w:val="Nadpis2"/>
        <w:tabs>
          <w:tab w:val="num" w:pos="0"/>
        </w:tabs>
        <w:ind w:left="0" w:firstLine="0"/>
        <w:rPr>
          <w:bCs/>
          <w:sz w:val="28"/>
          <w:szCs w:val="28"/>
          <w:u w:val="single"/>
        </w:rPr>
      </w:pPr>
      <w:bookmarkStart w:id="6" w:name="_Toc193697635"/>
      <w:r w:rsidRPr="00375F26">
        <w:rPr>
          <w:bCs/>
          <w:sz w:val="28"/>
          <w:szCs w:val="28"/>
          <w:u w:val="single"/>
        </w:rPr>
        <w:t>Legislatívna činnosť</w:t>
      </w:r>
      <w:bookmarkEnd w:id="6"/>
    </w:p>
    <w:p w14:paraId="4E846F7B" w14:textId="77777777" w:rsidR="008B5359" w:rsidRPr="00375F26" w:rsidRDefault="008B5359" w:rsidP="008B5359">
      <w:pPr>
        <w:jc w:val="both"/>
      </w:pPr>
    </w:p>
    <w:p w14:paraId="13D7E9E6" w14:textId="603A0028" w:rsidR="00F91898" w:rsidRPr="00375F26" w:rsidRDefault="00F91898" w:rsidP="00F91898">
      <w:pPr>
        <w:jc w:val="both"/>
      </w:pPr>
      <w:r w:rsidRPr="00375F26">
        <w:t>Úr</w:t>
      </w:r>
      <w:r w:rsidR="000060FC">
        <w:t>ad</w:t>
      </w:r>
      <w:r w:rsidRPr="00375F26">
        <w:t xml:space="preserve"> v rámci legislatívnych činností  v roku 2024 sústredil svoju pozornosť na viacero ťažiskových oblastí. </w:t>
      </w:r>
    </w:p>
    <w:p w14:paraId="4D967AA8" w14:textId="6829CA47" w:rsidR="00F91898" w:rsidRPr="00375F26" w:rsidRDefault="00F91898" w:rsidP="00F91898">
      <w:pPr>
        <w:jc w:val="both"/>
      </w:pPr>
      <w:r w:rsidRPr="00375F26">
        <w:t>Boli začaté práce na novele vyhlášky č. 431/2011 Z. z. o systéme manažérstva kvality v znení neskorších predpisov vo veci použitia komerčných zariadení v jadrovom zariadení. Návrh vyhlášky bol prerokovaný s</w:t>
      </w:r>
      <w:r w:rsidR="001C2859">
        <w:t> Ministerstvom hospodárstva Slovenskej republiky</w:t>
      </w:r>
      <w:r w:rsidRPr="00375F26">
        <w:t xml:space="preserve"> </w:t>
      </w:r>
      <w:r w:rsidR="001C2859">
        <w:t>(ďalej len „</w:t>
      </w:r>
      <w:r w:rsidRPr="00375F26">
        <w:t>MH SR</w:t>
      </w:r>
      <w:r w:rsidR="001C2859">
        <w:t>“)</w:t>
      </w:r>
      <w:r w:rsidRPr="00375F26">
        <w:t xml:space="preserve"> a podnikateľským prostredím a následne v decembri 2024 bolo začaté medzirezortné pripomienkové konanie. ÚJD SR spolupracoval aj na príprave pozmeňujúceho návrh do návrhu zákona, ktorým sa mení a dopĺňa zákon č. 143/1998 Z. z. o civilnom letectve (letecký zákon) vo veci preletu lietadla alebo bezpilotného leteckého systému (</w:t>
      </w:r>
      <w:proofErr w:type="spellStart"/>
      <w:r w:rsidRPr="00375F26">
        <w:t>dron</w:t>
      </w:r>
      <w:proofErr w:type="spellEnd"/>
      <w:r w:rsidRPr="00375F26">
        <w:t>) vo vzdušnom priestore zriadenom na ochranu jadrového zariadenia. Zákon bol uverejnený pod číslom 161/2024 Z. z.</w:t>
      </w:r>
    </w:p>
    <w:p w14:paraId="20EC5A4C" w14:textId="6024164C" w:rsidR="00F91898" w:rsidRPr="00375F26" w:rsidRDefault="00F91898" w:rsidP="00F91898">
      <w:pPr>
        <w:jc w:val="both"/>
      </w:pPr>
      <w:r w:rsidRPr="00375F26">
        <w:t>ÚJD SR ďalej spolupracoval pri príprave novely atómového zákona, ktorá bola zapracovaná ako samostatný článok do návrhu zákona, ktorým sa mení a dopĺňa zákon č. 171/1993 Z. z. o Policajnom zbore v znení neskorších predpisov vo veci spoľahlivosti a vstupov osôb do jadrového zariadenia. Právna úprava reflektuje zvýšené riziká ohrozenia jadrových zariadení z dôvodu nevyhnutnosti neustáleho zvyšovania úrovne jadrovej bezpečnosti, z dôvodu ozbrojeného konfliktu na Ukrajine</w:t>
      </w:r>
      <w:r w:rsidR="002246D3">
        <w:t xml:space="preserve"> (ďalej len „UA“)</w:t>
      </w:r>
      <w:r w:rsidRPr="00375F26">
        <w:t xml:space="preserve"> ako aj </w:t>
      </w:r>
      <w:proofErr w:type="spellStart"/>
      <w:r w:rsidRPr="00375F26">
        <w:t>vyeskalovaným</w:t>
      </w:r>
      <w:proofErr w:type="spellEnd"/>
      <w:r w:rsidRPr="00375F26">
        <w:t xml:space="preserve"> napätím na Blízkom východe. Zákon bol uverejnený pod číslom 299/2024 Z. z.</w:t>
      </w:r>
    </w:p>
    <w:p w14:paraId="059DD2E4" w14:textId="0E8BBCF7" w:rsidR="00F91898" w:rsidRPr="00375F26" w:rsidRDefault="00F91898" w:rsidP="00F91898">
      <w:pPr>
        <w:jc w:val="both"/>
      </w:pPr>
      <w:r w:rsidRPr="00375F26">
        <w:lastRenderedPageBreak/>
        <w:t>Významnou aktivitou ÚJD SR v legislatívnej oblasti bolo aj pokračovanie v prípravných prácach na novom atómovom zákone. V roku 2024 sa pokračovalo v príprave sprievodnej dokumentácie a spracovávan</w:t>
      </w:r>
      <w:r w:rsidR="001C2859">
        <w:t>í</w:t>
      </w:r>
      <w:r w:rsidRPr="00375F26">
        <w:t xml:space="preserve"> analýz vplyvov podľa novej Jednotnej metodiky na posudzovanie vybraných vplyvov. Zapracovávali sa pripomienky uplatnené vecnými útvarmi a rovnako sa zapracovala do textu návrhu zákona novela leteckého zákona, novela zákona o policajnom zbore a novela kybernetického zákona.</w:t>
      </w:r>
    </w:p>
    <w:p w14:paraId="0A5A91C5" w14:textId="65EA7104" w:rsidR="00F91898" w:rsidRPr="00375F26" w:rsidRDefault="00F91898" w:rsidP="00F91898">
      <w:pPr>
        <w:jc w:val="both"/>
      </w:pPr>
      <w:r w:rsidRPr="00375F26">
        <w:t>ÚJD SR taktiež aktívne participoval v medzirezortnej koordinačnej skupine pre zastupovanie S</w:t>
      </w:r>
      <w:r w:rsidR="002246D3">
        <w:t>R</w:t>
      </w:r>
      <w:r w:rsidRPr="00375F26">
        <w:t xml:space="preserve"> pred súdmi </w:t>
      </w:r>
      <w:r w:rsidR="001C2859">
        <w:t>Európskej únie (ďalej len „</w:t>
      </w:r>
      <w:r w:rsidRPr="00375F26">
        <w:t>EÚ</w:t>
      </w:r>
      <w:r w:rsidR="001C2859">
        <w:t>“)</w:t>
      </w:r>
      <w:r w:rsidRPr="00375F26">
        <w:t xml:space="preserve"> na Ministerstve spravodlivosti Slovenskej republiky</w:t>
      </w:r>
      <w:r w:rsidR="001C2859">
        <w:t xml:space="preserve"> (ďalej len „MS SR“)</w:t>
      </w:r>
      <w:r w:rsidRPr="00375F26">
        <w:t xml:space="preserve"> a v medzirezortnej koordinačnej skupine v konaní pred Európskou komisiou</w:t>
      </w:r>
      <w:r w:rsidR="001C2859">
        <w:t xml:space="preserve"> (ďalej len „EK“)</w:t>
      </w:r>
      <w:r w:rsidRPr="00375F26">
        <w:t xml:space="preserve"> v predsúdnej fáze na Ministerstve zahraničných vecí  a európskych záležitostí Slovenskej republiky (ďalej len „</w:t>
      </w:r>
      <w:proofErr w:type="spellStart"/>
      <w:r w:rsidRPr="00375F26">
        <w:t>MZVaEZ</w:t>
      </w:r>
      <w:proofErr w:type="spellEnd"/>
      <w:r w:rsidRPr="00375F26">
        <w:t xml:space="preserve"> SR“). </w:t>
      </w:r>
    </w:p>
    <w:p w14:paraId="6D8228F5" w14:textId="409F7273" w:rsidR="00F91898" w:rsidRPr="00375F26" w:rsidRDefault="00F91898" w:rsidP="00F91898">
      <w:pPr>
        <w:jc w:val="both"/>
      </w:pPr>
      <w:r w:rsidRPr="00375F26">
        <w:t xml:space="preserve">V priebehu roku 2024 ÚJD SR naďalej koordinoval spoluprácu dotknutých subjektov v rámci medzirezortnej pracovnej skupiny k občianskoprávnej zodpovednosti za jadrové škody (ďalej len „MRPS OBPZJŠ“). V roku 2024 sa uskutočnili </w:t>
      </w:r>
      <w:r w:rsidR="001C2859">
        <w:t>dve</w:t>
      </w:r>
      <w:r w:rsidRPr="00375F26">
        <w:t xml:space="preserve"> zasadnutia</w:t>
      </w:r>
      <w:r w:rsidR="00AF6844">
        <w:t xml:space="preserve">, jarné v termíne </w:t>
      </w:r>
      <w:r w:rsidRPr="00375F26">
        <w:t xml:space="preserve"> 22. 4. 2024 </w:t>
      </w:r>
      <w:r w:rsidR="00AF6844">
        <w:t>a</w:t>
      </w:r>
      <w:r w:rsidR="00492456">
        <w:t> </w:t>
      </w:r>
      <w:r w:rsidR="00AF6844">
        <w:t>jesenné</w:t>
      </w:r>
      <w:r w:rsidR="00492456">
        <w:t xml:space="preserve"> v termíne </w:t>
      </w:r>
      <w:r w:rsidRPr="00375F26">
        <w:t>7. 10. 2024</w:t>
      </w:r>
      <w:r w:rsidR="00492456">
        <w:t xml:space="preserve">. </w:t>
      </w:r>
      <w:r w:rsidRPr="00375F26">
        <w:t xml:space="preserve">Predmetom zasadnutí bolo informovanie členov MRPS OBPZJŠ o vývoji v členskej základni medzinárodných dohovorov v oblasti občianskoprávnej zodpovednosti za jadrové škody a vyhodnotenie plnenia úloh. ÚJD SR vypracoval </w:t>
      </w:r>
      <w:r w:rsidR="00AF6844">
        <w:t>a</w:t>
      </w:r>
      <w:r w:rsidRPr="00375F26">
        <w:t xml:space="preserve">nalýzu </w:t>
      </w:r>
      <w:r w:rsidR="00AF6844">
        <w:t xml:space="preserve">k </w:t>
      </w:r>
      <w:r w:rsidRPr="00375F26">
        <w:t>zodpovedno</w:t>
      </w:r>
      <w:r w:rsidR="00AF6844">
        <w:t>sti</w:t>
      </w:r>
      <w:r w:rsidRPr="00375F26">
        <w:t xml:space="preserve"> prevádzkovateľa JZ za jadrovú škodu vzniknutú v dôsledku vojnových udalostí a teroristických akcií a následne bola táto analýza rozposlaná členom pracovnej skupiny na zaujatie stanoviska. </w:t>
      </w:r>
    </w:p>
    <w:p w14:paraId="4316DEE7" w14:textId="67F24BB4" w:rsidR="00F91898" w:rsidRPr="00375F26" w:rsidRDefault="00F91898" w:rsidP="00F91898">
      <w:pPr>
        <w:jc w:val="both"/>
      </w:pPr>
      <w:r w:rsidRPr="00375F26">
        <w:t>V spojitosti s medzirezortnými pripomienkovými konaniami bol</w:t>
      </w:r>
      <w:r w:rsidR="001C2859">
        <w:t>i</w:t>
      </w:r>
      <w:r w:rsidRPr="00375F26">
        <w:t xml:space="preserve"> posudzované legislatívne aj nelegislatívne materiály (takmer 800), pri ktorých ÚJD SR uplatnil obyčajné alebo zásadné pripomienky, z ktorých mnohé boli následne prerokované na </w:t>
      </w:r>
      <w:proofErr w:type="spellStart"/>
      <w:r w:rsidRPr="00375F26">
        <w:t>rozporových</w:t>
      </w:r>
      <w:proofErr w:type="spellEnd"/>
      <w:r w:rsidRPr="00375F26">
        <w:t xml:space="preserve"> konaniach s príslušnými rezortmi. </w:t>
      </w:r>
    </w:p>
    <w:p w14:paraId="3A6D704F" w14:textId="39E7C313" w:rsidR="00F91898" w:rsidRPr="00375F26" w:rsidRDefault="00F91898" w:rsidP="00F91898">
      <w:pPr>
        <w:jc w:val="both"/>
      </w:pPr>
      <w:r w:rsidRPr="00375F26">
        <w:t>Medzi najdôležitejšie legislatívne materiály posudzované</w:t>
      </w:r>
      <w:r w:rsidR="003202FA">
        <w:t xml:space="preserve"> v</w:t>
      </w:r>
      <w:r w:rsidRPr="00375F26">
        <w:t xml:space="preserve"> roku 2024 patril legislatívny proces k návrhu zákona o posudzovaní vplyvov na životné prostredie (LP/2024/45), k návrhu zákona o kybernetickej bezpečnosti (LP/2024/264), k návrhu zákona o kritickej infraštruktúre (LP/2024/275), k návrhu Zmien a doplnenia Postupov pre zastupovanie Slovenskej republiky pred súdmi Európskej únie (LP/2024/270), k návrhu Koncepcie strategickej komunikácie Slovenskej republiky (LP/2024/48) a k návrhu vyhlášky Úradu pre územné plánovanie a výstavbu Slovenskej republiky  o územnotechnických požiadavkách na výstavbu (LP/2024/19), k návrhu Stavebného zákona (LP/2024/397), k Legislatívnemu zámeru zákona o elektronickej verejnej správe (LP/2024/442), k návrhu na zrušenie úloh z uznesenia vlády SR č. 308 z </w:t>
      </w:r>
      <w:r w:rsidR="003202FA">
        <w:br/>
      </w:r>
      <w:r w:rsidRPr="00375F26">
        <w:t>23.</w:t>
      </w:r>
      <w:r w:rsidR="003202FA">
        <w:t xml:space="preserve"> 5.</w:t>
      </w:r>
      <w:r w:rsidRPr="00375F26">
        <w:t xml:space="preserve"> 2024 (LP/2024/467), k návrhu zákona o regulácii vesmírnych aktivít a o zmene a doplnení zákona č. 145/1995 Z. z. o správnych poplatkoch v znení neskorších predpisov (LP/2024/344) a k návrhu zákona, ktorým sa mení a dopĺňa zákon č. 300/2005 Z. z. Trestný zákon v znení neskorších predpisov a ktorým sa menia a dopĺňajú niektoré zákony (LP/2024/614).</w:t>
      </w:r>
    </w:p>
    <w:p w14:paraId="05D3435F" w14:textId="3FF66B16" w:rsidR="00F91898" w:rsidRPr="00375F26" w:rsidRDefault="00F91898" w:rsidP="00F91898">
      <w:pPr>
        <w:jc w:val="both"/>
      </w:pPr>
      <w:r w:rsidRPr="00375F26">
        <w:t>ÚJD SR musí pri tvorbe novej legislatívy zohľadňovať aj nové stavebné predpisy prijaté v roku 2022, t. j. zákon č. 200/2022 Z. z. o územnom plánovaní a zákon č. 201/2022 Z. z. o výstavbe, a to aj v prípade nového atómového zákona a aj v prípade stavebného atómového zákona. ÚJD SR sa aktívne podieľal na pripomienkovaní zákon</w:t>
      </w:r>
      <w:r w:rsidR="009E0FEC">
        <w:t>a</w:t>
      </w:r>
      <w:r w:rsidRPr="00375F26">
        <w:t xml:space="preserve"> č. 46/2024 Z. z., ktorým sa mení a dopĺňa zákon č. 50/1976 Zb. o územnom plánovaní a stavebnom poriadku (stavebný zákon) v znení neskorších predpisov a ktorým sa menia a dopĺňajú niektoré zákony– účinnosť od 31. 3. 2024 (okrem vybraných článkov), ktorý posunul účinnosť nového zákona o výstavbe o </w:t>
      </w:r>
      <w:r w:rsidR="009E0FEC">
        <w:t>jeden</w:t>
      </w:r>
      <w:r w:rsidRPr="00375F26">
        <w:t xml:space="preserve"> rok, zmeny v súvislosti s novým jadrovým zdrojom vo vzťahu k umiestňovaniu podľa stavebného zákona. </w:t>
      </w:r>
      <w:r w:rsidR="00AF6844">
        <w:t>Vybraní z</w:t>
      </w:r>
      <w:r w:rsidRPr="00375F26">
        <w:t>amestnanci ÚJD SR sa stali členmi pracovnej skupiny na prípravu nového stavebného zákona na Ministerstve dopravy S</w:t>
      </w:r>
      <w:r w:rsidR="009E0FEC">
        <w:t>lovenskej republiky (ďalej len „MD SR“)</w:t>
      </w:r>
      <w:r w:rsidRPr="00375F26">
        <w:t>. Medzirezortné pripomienkové konanie k novému stavebnému zákonu sa uskutočnilo v lete 2024 a</w:t>
      </w:r>
      <w:r w:rsidR="009E0FEC">
        <w:t> </w:t>
      </w:r>
      <w:r w:rsidRPr="00375F26">
        <w:t>v</w:t>
      </w:r>
      <w:r w:rsidR="009E0FEC">
        <w:t xml:space="preserve"> </w:t>
      </w:r>
      <w:r w:rsidRPr="00375F26">
        <w:t xml:space="preserve">rámci toho boli uplatnené pripomienky smerujúce k úprave prechodných ustanovení. Návrh nového stavebného zákona má zrušiť zákon č. 50/1976 Zb. o územnom plánovaní a </w:t>
      </w:r>
      <w:r w:rsidRPr="00375F26">
        <w:lastRenderedPageBreak/>
        <w:t>stavebnom poriadku (stavebný zákon) a zákon č. 201/2022 Z. z. o</w:t>
      </w:r>
      <w:r w:rsidR="009E0FEC">
        <w:t> </w:t>
      </w:r>
      <w:r w:rsidRPr="00375F26">
        <w:t>výstavbe</w:t>
      </w:r>
      <w:r w:rsidR="009E0FEC">
        <w:t>,</w:t>
      </w:r>
      <w:r w:rsidRPr="00375F26">
        <w:t xml:space="preserve"> a to s účinnosťou od  1.</w:t>
      </w:r>
      <w:r w:rsidR="009E0FEC">
        <w:t xml:space="preserve"> </w:t>
      </w:r>
      <w:r w:rsidRPr="00375F26">
        <w:t>4.</w:t>
      </w:r>
      <w:r w:rsidR="009E0FEC">
        <w:t xml:space="preserve"> </w:t>
      </w:r>
      <w:r w:rsidRPr="00375F26">
        <w:t>2025. V lete a na jeseň 2024 ÚJD SR aktívne komunikovali s M</w:t>
      </w:r>
      <w:r w:rsidR="009E0FEC">
        <w:t>D</w:t>
      </w:r>
      <w:r w:rsidRPr="00375F26">
        <w:t xml:space="preserve"> SR vo veci prechodných ustanovení, ktoré majú  odložiť účinnosť navrhovaného nového stavebného zákona pre existujúce jadrové zariadenia aj pre nový jadrový zdroj do 31.</w:t>
      </w:r>
      <w:r w:rsidR="00D26519" w:rsidRPr="00375F26">
        <w:t xml:space="preserve"> </w:t>
      </w:r>
      <w:r w:rsidRPr="00375F26">
        <w:t>3.</w:t>
      </w:r>
      <w:r w:rsidR="00D26519" w:rsidRPr="00375F26">
        <w:t xml:space="preserve"> </w:t>
      </w:r>
      <w:r w:rsidRPr="00375F26">
        <w:t>2032. Návrh zákona bol schválený vládou SR 6.</w:t>
      </w:r>
      <w:r w:rsidR="00D26519" w:rsidRPr="00375F26">
        <w:t xml:space="preserve"> </w:t>
      </w:r>
      <w:r w:rsidRPr="00375F26">
        <w:t>11.</w:t>
      </w:r>
      <w:r w:rsidR="00D26519" w:rsidRPr="00375F26">
        <w:t xml:space="preserve"> </w:t>
      </w:r>
      <w:r w:rsidRPr="00375F26">
        <w:t>2024.</w:t>
      </w:r>
    </w:p>
    <w:p w14:paraId="14CC41BF" w14:textId="062A4D8E" w:rsidR="00F91898" w:rsidRPr="00375F26" w:rsidRDefault="00F91898" w:rsidP="00F91898">
      <w:pPr>
        <w:jc w:val="both"/>
      </w:pPr>
      <w:r w:rsidRPr="00375F26">
        <w:t>V priebehu roka 2024 ÚJD SR postupne vydal tieto bezpečnostné návody</w:t>
      </w:r>
      <w:r w:rsidR="00F65C0A">
        <w:t xml:space="preserve"> (ďalej len „BN“)</w:t>
      </w:r>
      <w:r w:rsidRPr="00375F26">
        <w:t>:</w:t>
      </w:r>
    </w:p>
    <w:p w14:paraId="7B02F2A2" w14:textId="7CDC921F" w:rsidR="00F91898" w:rsidRPr="00375F26" w:rsidRDefault="00F91898" w:rsidP="00F91898">
      <w:pPr>
        <w:pStyle w:val="Odsekzoznamu"/>
        <w:numPr>
          <w:ilvl w:val="0"/>
          <w:numId w:val="8"/>
        </w:numPr>
        <w:jc w:val="both"/>
        <w:rPr>
          <w:rFonts w:ascii="Times New Roman" w:hAnsi="Times New Roman"/>
          <w:sz w:val="24"/>
          <w:szCs w:val="24"/>
        </w:rPr>
      </w:pPr>
      <w:r w:rsidRPr="00375F26">
        <w:rPr>
          <w:rFonts w:ascii="Times New Roman" w:hAnsi="Times New Roman"/>
          <w:sz w:val="24"/>
          <w:szCs w:val="24"/>
        </w:rPr>
        <w:t xml:space="preserve">BN 1/2024 - Požiadavky na obsah a rozsah dokumentácie pre vyraďovanie, ktorá je predkladaná ako súčasť žiadosti v konaní o udelenie súhlasu podľa § 5 ods. 2 atómového zákona a v konaní o udelenie povolenia podľa § 5 ods. 3 písm. a) až d) atómového zákona (2. vydanie – revidované a doplnené) </w:t>
      </w:r>
    </w:p>
    <w:p w14:paraId="4D49586C" w14:textId="10959724" w:rsidR="00F91898" w:rsidRPr="00375F26" w:rsidRDefault="00F91898" w:rsidP="00EE6BCE">
      <w:pPr>
        <w:pStyle w:val="Odsekzoznamu"/>
        <w:numPr>
          <w:ilvl w:val="0"/>
          <w:numId w:val="8"/>
        </w:numPr>
        <w:spacing w:after="0"/>
        <w:jc w:val="both"/>
        <w:rPr>
          <w:rFonts w:ascii="Times New Roman" w:hAnsi="Times New Roman"/>
          <w:sz w:val="24"/>
          <w:szCs w:val="24"/>
        </w:rPr>
      </w:pPr>
      <w:r w:rsidRPr="00375F26">
        <w:rPr>
          <w:rFonts w:ascii="Times New Roman" w:hAnsi="Times New Roman"/>
          <w:sz w:val="24"/>
          <w:szCs w:val="24"/>
        </w:rPr>
        <w:t>BN 2/2024 Limity a podmienky bezpečnej prevádzky a prevádzkové predpisy jadrových zariadení (2. vydanie - revidované a doplnené).</w:t>
      </w:r>
    </w:p>
    <w:p w14:paraId="11D20A4B" w14:textId="77777777" w:rsidR="00F91898" w:rsidRPr="00375F26" w:rsidRDefault="00F91898" w:rsidP="00F91898">
      <w:pPr>
        <w:jc w:val="both"/>
      </w:pPr>
      <w:r w:rsidRPr="00375F26">
        <w:t>V súvislosti s priebežným uplatňovaním zákona č. 305/2013 Z. z. o elektronickej podobe výkonu pôsobnosti orgánov verejnej moci a o zmene a doplnení niektorých zákonov (zákon o e-</w:t>
      </w:r>
      <w:proofErr w:type="spellStart"/>
      <w:r w:rsidRPr="00375F26">
        <w:t>Governmente</w:t>
      </w:r>
      <w:proofErr w:type="spellEnd"/>
      <w:r w:rsidRPr="00375F26">
        <w:t xml:space="preserve">) (ďalej len „zákon č. 305/2013 Z. z.“), naďalej pracoval projektový tím na čele s podpredsedom ÚJD SR, ktorého úlohou je identifikovanie úloh, návrh ich riešenia v podmienkach ÚJD SR a zabezpečenie praktickej aplikácie zákona č. 305/2013 Z. z. do každodenných procesov, ktorých sa tento zákon týka. Projektový tím v priebehu celého roka vykonával činnosti potrebné na splnenie tejto úlohy. </w:t>
      </w:r>
    </w:p>
    <w:p w14:paraId="06844C59" w14:textId="28FA4A30" w:rsidR="00F91898" w:rsidRPr="00375F26" w:rsidRDefault="00F91898" w:rsidP="00F91898">
      <w:pPr>
        <w:jc w:val="both"/>
      </w:pPr>
      <w:r w:rsidRPr="00375F26">
        <w:t>V nadväznosti na pokračovanie v konaní vo veci žiadosti o povolenie na prevádzku jadrovej elektrárne Mochovce 3. a 4. blok (ďalej len „MO 34“)</w:t>
      </w:r>
      <w:r w:rsidR="00625FE7">
        <w:t xml:space="preserve">, ÚJD SR </w:t>
      </w:r>
      <w:r w:rsidRPr="00375F26">
        <w:t xml:space="preserve">poskytol súčinnosť pri posudzovaní dokumentácie a pri príprave rozhodnutia na povolenie na prevádzku 3. bloku jadrovej elektrárne Mochovce. </w:t>
      </w:r>
      <w:r w:rsidR="00625FE7">
        <w:t xml:space="preserve">Úrad </w:t>
      </w:r>
      <w:r w:rsidRPr="00375F26">
        <w:t xml:space="preserve">posudzoval návrh rozhodnutia na prevádzku 3. bloku Mochovce. Rozhodnutie 439/2024 - povolenie na prevádzku jadrového zariadenia Mochovce 3. blok, povolenie na nakladanie s </w:t>
      </w:r>
      <w:r w:rsidR="002246D3">
        <w:t>RAO</w:t>
      </w:r>
      <w:r w:rsidRPr="00375F26">
        <w:t xml:space="preserve"> a </w:t>
      </w:r>
      <w:r w:rsidR="002246D3">
        <w:t>VJP</w:t>
      </w:r>
      <w:r w:rsidRPr="00375F26">
        <w:t>, povolenie na nakladanie s jadrovým materiálom, súhlas na skúšobnú prevádzku, súhlas na dočasné užívanie stavby bolo vydané 4. 10. 2024 a nadobudlo právoplatnosť 6. 11. 2024.</w:t>
      </w:r>
    </w:p>
    <w:p w14:paraId="5FD67348" w14:textId="0A091446" w:rsidR="00F91898" w:rsidRDefault="00625FE7" w:rsidP="00F91898">
      <w:pPr>
        <w:jc w:val="both"/>
      </w:pPr>
      <w:r>
        <w:t>ÚJD SR</w:t>
      </w:r>
      <w:r w:rsidR="00F91898" w:rsidRPr="00375F26">
        <w:t xml:space="preserve"> tiež poskytol súčinnosť pri príprave rozhodnutia č. 173/2024 o povolení na umiestnenie jadrového zariadenia podľa § 2 písm. f) prvého bodu atómového zákona podľa § 17a atómového zákona, ktoré bolo vydané 24. 4. 2024 a nadobudlo právoplatnosť 30. 5. 2024.</w:t>
      </w:r>
      <w:r w:rsidR="00F91898">
        <w:tab/>
      </w:r>
    </w:p>
    <w:p w14:paraId="3AEC47B3" w14:textId="15876FDA" w:rsidR="001A6BF9" w:rsidRDefault="001A6BF9" w:rsidP="001A6BF9">
      <w:pPr>
        <w:jc w:val="both"/>
      </w:pPr>
    </w:p>
    <w:p w14:paraId="6DE44DE0" w14:textId="5ECA31BC" w:rsidR="001A6BF9" w:rsidRPr="004C60B8" w:rsidRDefault="001A6BF9" w:rsidP="001A6BF9">
      <w:pPr>
        <w:pStyle w:val="Nadpis2"/>
        <w:tabs>
          <w:tab w:val="num" w:pos="0"/>
        </w:tabs>
        <w:ind w:left="0" w:firstLine="0"/>
        <w:rPr>
          <w:bCs/>
          <w:sz w:val="28"/>
          <w:szCs w:val="28"/>
          <w:u w:val="single"/>
        </w:rPr>
      </w:pPr>
      <w:bookmarkStart w:id="7" w:name="_Toc193697636"/>
      <w:r>
        <w:rPr>
          <w:bCs/>
          <w:sz w:val="28"/>
          <w:szCs w:val="28"/>
          <w:u w:val="single"/>
        </w:rPr>
        <w:t>Strategické aktivity a vízia</w:t>
      </w:r>
      <w:bookmarkEnd w:id="7"/>
    </w:p>
    <w:p w14:paraId="6A8C7D3D" w14:textId="77777777" w:rsidR="001A6BF9" w:rsidRPr="004C60B8" w:rsidRDefault="001A6BF9" w:rsidP="001A6BF9">
      <w:pPr>
        <w:rPr>
          <w:lang w:val="x-none" w:eastAsia="cs-CZ"/>
        </w:rPr>
      </w:pPr>
    </w:p>
    <w:p w14:paraId="32993359" w14:textId="4611BBC6" w:rsidR="001A6BF9" w:rsidRDefault="0071310E" w:rsidP="001A6BF9">
      <w:pPr>
        <w:pStyle w:val="slovanzoznam"/>
        <w:numPr>
          <w:ilvl w:val="0"/>
          <w:numId w:val="0"/>
        </w:numPr>
        <w:spacing w:before="0"/>
        <w:jc w:val="both"/>
      </w:pPr>
      <w:r>
        <w:t>U</w:t>
      </w:r>
      <w:r w:rsidR="001A6BF9">
        <w:t xml:space="preserve">znesením vlády SR č. 221/2024 vláda SR poverila predsedníčku ÚJD SR predložiť materiál „Politika, zásady a stratégia bezpečného využívania jadrovej energie v Slovenskej republike“. Ide o revíziu pôvodného materiálu z roku 2014.  </w:t>
      </w:r>
    </w:p>
    <w:p w14:paraId="5BF5DE69" w14:textId="14D6BE99" w:rsidR="001A6BF9" w:rsidRDefault="001A6BF9" w:rsidP="001A6BF9">
      <w:pPr>
        <w:pStyle w:val="slovanzoznam"/>
        <w:numPr>
          <w:ilvl w:val="0"/>
          <w:numId w:val="0"/>
        </w:numPr>
        <w:spacing w:before="0"/>
        <w:jc w:val="both"/>
      </w:pPr>
      <w:r>
        <w:t xml:space="preserve">Zároveň </w:t>
      </w:r>
      <w:r w:rsidR="0071310E">
        <w:t>týmto uznesením poverila</w:t>
      </w:r>
      <w:r>
        <w:t xml:space="preserve"> vláda SR</w:t>
      </w:r>
      <w:r w:rsidR="00492456">
        <w:t xml:space="preserve"> </w:t>
      </w:r>
      <w:r>
        <w:t>predsedníčku ÚJD SR vytvoriť koordinačný mechanizmus medzi zainteresovanými ministerstvami, ústrednými orgánmi štátnej správy  a orgánmi štátnej správy v oblasti bezpečného využívania jadrovej energie.</w:t>
      </w:r>
    </w:p>
    <w:p w14:paraId="78CEB2CF" w14:textId="77777777" w:rsidR="001A6BF9" w:rsidRPr="00375F26" w:rsidRDefault="001A6BF9" w:rsidP="001A6BF9">
      <w:pPr>
        <w:pStyle w:val="Zoznamsodrkami2"/>
        <w:ind w:left="0"/>
      </w:pPr>
    </w:p>
    <w:p w14:paraId="2CAEA4B0" w14:textId="49C023FF" w:rsidR="001A6BF9" w:rsidRPr="001A6BF9" w:rsidRDefault="001A6BF9" w:rsidP="001A6BF9">
      <w:pPr>
        <w:pStyle w:val="Nadpis3"/>
        <w:tabs>
          <w:tab w:val="clear" w:pos="1440"/>
          <w:tab w:val="num" w:pos="709"/>
        </w:tabs>
        <w:ind w:left="357" w:hanging="357"/>
        <w:rPr>
          <w:color w:val="000000" w:themeColor="text1"/>
        </w:rPr>
      </w:pPr>
      <w:bookmarkStart w:id="8" w:name="_Toc193697637"/>
      <w:r w:rsidRPr="001A6BF9">
        <w:rPr>
          <w:color w:val="000000" w:themeColor="text1"/>
        </w:rPr>
        <w:t>Politika, zásady a stratégia bezpečného využívania jadrovej energie a ionizujúceho žiarenia v Slovenskej republike</w:t>
      </w:r>
      <w:bookmarkEnd w:id="8"/>
    </w:p>
    <w:p w14:paraId="42F0C695" w14:textId="77777777" w:rsidR="001A6BF9" w:rsidRPr="00375F26" w:rsidRDefault="001A6BF9" w:rsidP="001A6BF9">
      <w:pPr>
        <w:pStyle w:val="Nadpis2"/>
        <w:numPr>
          <w:ilvl w:val="0"/>
          <w:numId w:val="0"/>
        </w:numPr>
        <w:tabs>
          <w:tab w:val="num" w:pos="555"/>
        </w:tabs>
        <w:rPr>
          <w:b w:val="0"/>
          <w:bCs/>
        </w:rPr>
      </w:pPr>
    </w:p>
    <w:p w14:paraId="167EE432" w14:textId="09D7FD80" w:rsidR="001A6BF9" w:rsidRDefault="001A6BF9" w:rsidP="001A6BF9">
      <w:pPr>
        <w:jc w:val="both"/>
      </w:pPr>
      <w:r>
        <w:t>Strategický materiál vychádza z dokumentu „Základné bezpečnostné požiadavky – SF 1“ Medzinárodnej agentúry pre atómovú energiu (ďalej len „MAAE“).</w:t>
      </w:r>
    </w:p>
    <w:p w14:paraId="1D04FFDF" w14:textId="77777777" w:rsidR="001A6BF9" w:rsidRDefault="001A6BF9" w:rsidP="001A6BF9">
      <w:pPr>
        <w:jc w:val="both"/>
      </w:pPr>
      <w:r>
        <w:t xml:space="preserve">Základným bezpečnostným cieľom  je ochrana  obyvateľov – jednotlivo aj kolektívne -  a životného prostredia pred nepriaznivými účinkami ionizujúceho žiarenia, bez neprimeraného obmedzovania prevádzky zariadení alebo výkonu činností, ktoré môžu predstavovať radiačné </w:t>
      </w:r>
      <w:r>
        <w:lastRenderedPageBreak/>
        <w:t>riziká. Zariadenia sa majú prevádzkovať a činnosti vykonávať tak, aby sa dosiahli najvyššie štandardy bezpečnosti, ktoré je možné rozumne dosiahnuť.</w:t>
      </w:r>
      <w:r>
        <w:tab/>
      </w:r>
      <w:r>
        <w:tab/>
      </w:r>
    </w:p>
    <w:p w14:paraId="63D8E035" w14:textId="2C35A88E" w:rsidR="001A6BF9" w:rsidRDefault="001A6BF9" w:rsidP="001A6BF9">
      <w:pPr>
        <w:jc w:val="both"/>
      </w:pPr>
      <w:r>
        <w:t>Strategický materiál je zverejnený na web</w:t>
      </w:r>
      <w:r w:rsidR="0071310E">
        <w:t>ovom</w:t>
      </w:r>
      <w:r>
        <w:t xml:space="preserve"> sídle ÚJD SR s možnosťou pripomienkovania verejnosťou. Po pripomienkovaní štátnymi orgánmi, držiteľmi povolení a akademickou obcou je materiál s novým názvom „Politika, zásady a stratégia bezpečného využívania jadrovej energie a ionizujúceho žiarenia v</w:t>
      </w:r>
      <w:r w:rsidR="00C115D3">
        <w:t> </w:t>
      </w:r>
      <w:r>
        <w:t>S</w:t>
      </w:r>
      <w:r w:rsidR="00C115D3">
        <w:t>lovenskej republike</w:t>
      </w:r>
      <w:r>
        <w:t xml:space="preserve">“  v procese posudzovania vplyvov na životné prostredie podľa zákona č. 24/2006 Z. z. v znení neskorších predpisov. </w:t>
      </w:r>
    </w:p>
    <w:p w14:paraId="74D059F8" w14:textId="674D19BB" w:rsidR="001A6BF9" w:rsidRPr="00375F26" w:rsidRDefault="0071310E" w:rsidP="001A6BF9">
      <w:pPr>
        <w:jc w:val="both"/>
      </w:pPr>
      <w:r>
        <w:t>P</w:t>
      </w:r>
      <w:r w:rsidR="001A6BF9">
        <w:t xml:space="preserve">redloženie strategického materiálu </w:t>
      </w:r>
      <w:r>
        <w:t>na rokovanie</w:t>
      </w:r>
      <w:r w:rsidR="001A6BF9">
        <w:t xml:space="preserve"> vlády je</w:t>
      </w:r>
      <w:r>
        <w:t xml:space="preserve"> naplánované na</w:t>
      </w:r>
      <w:r w:rsidR="001A6BF9">
        <w:t xml:space="preserve"> novemb</w:t>
      </w:r>
      <w:r>
        <w:t>e</w:t>
      </w:r>
      <w:r w:rsidR="001A6BF9">
        <w:t>r 2025.</w:t>
      </w:r>
    </w:p>
    <w:p w14:paraId="780BA505" w14:textId="77777777" w:rsidR="001A6BF9" w:rsidRPr="008C44D6" w:rsidRDefault="001A6BF9" w:rsidP="008C44D6">
      <w:pPr>
        <w:pStyle w:val="Nadpis3"/>
        <w:numPr>
          <w:ilvl w:val="0"/>
          <w:numId w:val="0"/>
        </w:numPr>
        <w:ind w:left="357"/>
        <w:rPr>
          <w:color w:val="000000" w:themeColor="text1"/>
        </w:rPr>
      </w:pPr>
    </w:p>
    <w:p w14:paraId="71C69BBD" w14:textId="0F6DC9E8" w:rsidR="001A6BF9" w:rsidRPr="008C44D6" w:rsidRDefault="008C44D6" w:rsidP="008C44D6">
      <w:pPr>
        <w:pStyle w:val="Nadpis3"/>
        <w:tabs>
          <w:tab w:val="clear" w:pos="1440"/>
          <w:tab w:val="num" w:pos="709"/>
        </w:tabs>
        <w:ind w:left="357" w:hanging="357"/>
        <w:rPr>
          <w:color w:val="000000" w:themeColor="text1"/>
        </w:rPr>
      </w:pPr>
      <w:bookmarkStart w:id="9" w:name="_Toc193697638"/>
      <w:r w:rsidRPr="008C44D6">
        <w:rPr>
          <w:color w:val="000000" w:themeColor="text1"/>
        </w:rPr>
        <w:t>Koordinačný výbor štátnych orgánov v oblasti bezpečného využívania jadrovej energie</w:t>
      </w:r>
      <w:bookmarkEnd w:id="9"/>
    </w:p>
    <w:p w14:paraId="6B51834A" w14:textId="77777777" w:rsidR="001A6BF9" w:rsidRPr="00375F26" w:rsidRDefault="001A6BF9" w:rsidP="001A6BF9"/>
    <w:p w14:paraId="5338BFDC" w14:textId="5F13768D" w:rsidR="008C44D6" w:rsidRDefault="008C44D6" w:rsidP="008C44D6">
      <w:pPr>
        <w:jc w:val="both"/>
      </w:pPr>
      <w:r>
        <w:t>Úlohou Koordinačného výboru</w:t>
      </w:r>
      <w:r w:rsidR="00C115D3">
        <w:t xml:space="preserve"> </w:t>
      </w:r>
      <w:r>
        <w:t>(ďalej len „KV“) je zlepšenie a posilnenie vzájomnej spolupráce, koordinácie postupu a pravidelnej výmeny informácií medzi zainteresovanými ministerstvami, ústrednými orgánmi štátnej správy a orgánmi štátnej správy v oblasti bezpečného využívania jadrovej energie.</w:t>
      </w:r>
    </w:p>
    <w:p w14:paraId="43252BB2" w14:textId="3BE36854" w:rsidR="008C44D6" w:rsidRDefault="008C44D6" w:rsidP="008C44D6">
      <w:pPr>
        <w:jc w:val="both"/>
      </w:pPr>
      <w:r>
        <w:t>KV koordinuje plnenie cieľov a úloh vyplývajúcich z „Politiky, zásad a stratégie bezpečného využívania jadrovej energie a ionizujúceho žiarenia v</w:t>
      </w:r>
      <w:r w:rsidR="00C115D3">
        <w:t> </w:t>
      </w:r>
      <w:r>
        <w:t>S</w:t>
      </w:r>
      <w:r w:rsidR="00C115D3">
        <w:t>lovenskej republike</w:t>
      </w:r>
      <w:r>
        <w:t>“. Predsedom KV je predsedníčka ÚJD SR a podpredsedami sú zástupca Ministerstva zdravotníctva S</w:t>
      </w:r>
      <w:r w:rsidR="00C115D3">
        <w:t>lovenskej republiky (ďalej len „MZ SR“)</w:t>
      </w:r>
      <w:r>
        <w:t>, zástupca Úradu verejného zdravotníctva S</w:t>
      </w:r>
      <w:r w:rsidR="00C115D3">
        <w:t>lovenskej republiky (ďalej len „ÚVZ SR“)</w:t>
      </w:r>
      <w:r>
        <w:t xml:space="preserve">, zástupca Ministerstva vnútra </w:t>
      </w:r>
      <w:r w:rsidR="00C115D3">
        <w:t>Slovenskej republiky (ďalej len „MV SR“)</w:t>
      </w:r>
      <w:r>
        <w:t>, zástupca Ministerstva práce, sociálnych vecí a rodiny S</w:t>
      </w:r>
      <w:r w:rsidR="00C115D3">
        <w:t>lovenskej republiky (ďalej len „MPSVR SR“),</w:t>
      </w:r>
      <w:r>
        <w:t xml:space="preserve"> zástupca </w:t>
      </w:r>
      <w:r w:rsidR="002C7345">
        <w:t>MD SR</w:t>
      </w:r>
      <w:r>
        <w:t>, zástupca Ministerstva životného prostredia S</w:t>
      </w:r>
      <w:r w:rsidR="002C7345">
        <w:t>lovenskej republiky (ďalej len „MŽP SR“)</w:t>
      </w:r>
      <w:r>
        <w:t xml:space="preserve"> a zástupca </w:t>
      </w:r>
      <w:r w:rsidR="002C7345">
        <w:t>MH SR</w:t>
      </w:r>
      <w:r w:rsidR="00087989">
        <w:t>.</w:t>
      </w:r>
    </w:p>
    <w:p w14:paraId="040A1E2A" w14:textId="42D30669" w:rsidR="008C44D6" w:rsidRDefault="008C44D6" w:rsidP="008C44D6">
      <w:pPr>
        <w:jc w:val="both"/>
      </w:pPr>
      <w:r>
        <w:t>Na prvom ustanovujúcom zasadnutí KV bol schválený Štatút KV a Rokovací poriadok KV a prezentované boli informácie o stave prác a príprave materiálu „Politika, zásady a stratégia bezpečného využívania jadrovej energie v</w:t>
      </w:r>
      <w:r w:rsidR="002C7345">
        <w:t> </w:t>
      </w:r>
      <w:r>
        <w:t>S</w:t>
      </w:r>
      <w:r w:rsidR="002C7345">
        <w:t>lovenskej republike</w:t>
      </w:r>
      <w:r>
        <w:t>“.</w:t>
      </w:r>
    </w:p>
    <w:p w14:paraId="3D1DC420" w14:textId="1333E436" w:rsidR="008C44D6" w:rsidRPr="00375F26" w:rsidRDefault="008C44D6" w:rsidP="008C44D6">
      <w:pPr>
        <w:jc w:val="both"/>
      </w:pPr>
      <w:r>
        <w:t>Na druhom zasadnutí KV bol prezentovaný aktuálny stav prípravy predmetného strategického materiálu, dozorné aktivity, výmena informácií a koordinácia medzi rezortmi, dozornými organizáciami a iné.</w:t>
      </w:r>
    </w:p>
    <w:p w14:paraId="339B0601" w14:textId="77777777" w:rsidR="005432E0" w:rsidRPr="005432E0" w:rsidRDefault="005432E0" w:rsidP="005432E0"/>
    <w:p w14:paraId="66DC4C24" w14:textId="0A9DCDC3" w:rsidR="003841E6" w:rsidRPr="004C60B8" w:rsidRDefault="008B5359" w:rsidP="008B5359">
      <w:pPr>
        <w:pStyle w:val="Nadpis2"/>
        <w:tabs>
          <w:tab w:val="num" w:pos="0"/>
        </w:tabs>
        <w:ind w:left="0" w:firstLine="0"/>
        <w:rPr>
          <w:bCs/>
          <w:sz w:val="28"/>
          <w:szCs w:val="28"/>
          <w:u w:val="single"/>
        </w:rPr>
      </w:pPr>
      <w:bookmarkStart w:id="10" w:name="_Toc193697639"/>
      <w:r w:rsidRPr="004C60B8">
        <w:rPr>
          <w:bCs/>
          <w:sz w:val="28"/>
          <w:szCs w:val="28"/>
          <w:u w:val="single"/>
        </w:rPr>
        <w:t>Spôsoby výkonu dozoru</w:t>
      </w:r>
      <w:bookmarkEnd w:id="5"/>
      <w:bookmarkEnd w:id="10"/>
    </w:p>
    <w:p w14:paraId="43D2592C" w14:textId="77B3D8CE" w:rsidR="002D7CAE" w:rsidRPr="004C60B8" w:rsidRDefault="002D7CAE" w:rsidP="005B072A">
      <w:pPr>
        <w:rPr>
          <w:lang w:val="x-none" w:eastAsia="cs-CZ"/>
        </w:rPr>
      </w:pPr>
    </w:p>
    <w:p w14:paraId="6D076DCC" w14:textId="72D9F8DF" w:rsidR="00E5792F" w:rsidRPr="004C60B8" w:rsidRDefault="00E5792F" w:rsidP="00722CD6">
      <w:pPr>
        <w:pStyle w:val="Zkladntext"/>
        <w:tabs>
          <w:tab w:val="left" w:pos="426"/>
        </w:tabs>
        <w:spacing w:after="0"/>
        <w:jc w:val="both"/>
      </w:pPr>
      <w:r w:rsidRPr="004C60B8">
        <w:t xml:space="preserve">Hlavnými </w:t>
      </w:r>
      <w:proofErr w:type="spellStart"/>
      <w:r w:rsidRPr="004C60B8">
        <w:t>dozorovanými</w:t>
      </w:r>
      <w:proofErr w:type="spellEnd"/>
      <w:r w:rsidRPr="004C60B8">
        <w:t xml:space="preserve"> subjektmi </w:t>
      </w:r>
      <w:r w:rsidR="007A3408" w:rsidRPr="004C60B8">
        <w:t xml:space="preserve">v SR </w:t>
      </w:r>
      <w:r w:rsidRPr="004C60B8">
        <w:t xml:space="preserve">sú držitelia povolení na </w:t>
      </w:r>
      <w:r w:rsidR="00B84304">
        <w:t>vý</w:t>
      </w:r>
      <w:r w:rsidRPr="004C60B8">
        <w:t>stavbu, uvádzanie do</w:t>
      </w:r>
      <w:r w:rsidR="007A3408" w:rsidRPr="004C60B8">
        <w:t> </w:t>
      </w:r>
      <w:r w:rsidRPr="004C60B8">
        <w:t xml:space="preserve">prevádzky, prevádzku a etapu vyraďovania </w:t>
      </w:r>
      <w:r w:rsidR="000B14CC" w:rsidRPr="004C60B8">
        <w:t>JZ</w:t>
      </w:r>
      <w:r w:rsidRPr="004C60B8">
        <w:t xml:space="preserve">. </w:t>
      </w:r>
      <w:r w:rsidR="007A3408" w:rsidRPr="004C60B8">
        <w:t>D</w:t>
      </w:r>
      <w:r w:rsidRPr="004C60B8">
        <w:t xml:space="preserve">ržiteľmi takýchto povolení </w:t>
      </w:r>
      <w:r w:rsidR="007A3408" w:rsidRPr="004C60B8">
        <w:t xml:space="preserve">sú </w:t>
      </w:r>
      <w:r w:rsidRPr="004C60B8">
        <w:t>Slovenské elektrárne, a. s. (</w:t>
      </w:r>
      <w:r w:rsidR="001A072C" w:rsidRPr="004C60B8">
        <w:t>ďalej len „</w:t>
      </w:r>
      <w:r w:rsidRPr="004C60B8">
        <w:rPr>
          <w:iCs/>
        </w:rPr>
        <w:t>SE, a. s.</w:t>
      </w:r>
      <w:r w:rsidR="001A072C" w:rsidRPr="004C60B8">
        <w:rPr>
          <w:iCs/>
        </w:rPr>
        <w:t>“</w:t>
      </w:r>
      <w:r w:rsidRPr="004C60B8">
        <w:rPr>
          <w:iCs/>
        </w:rPr>
        <w:t>)</w:t>
      </w:r>
      <w:r w:rsidR="005E637A" w:rsidRPr="004C60B8">
        <w:rPr>
          <w:iCs/>
        </w:rPr>
        <w:t>,</w:t>
      </w:r>
      <w:r w:rsidRPr="004C60B8">
        <w:t xml:space="preserve"> a Jadrová a vyraďovacia spoločnosť</w:t>
      </w:r>
      <w:r w:rsidR="00272BA5" w:rsidRPr="004C60B8">
        <w:t>, a. s.</w:t>
      </w:r>
      <w:r w:rsidRPr="004C60B8">
        <w:t xml:space="preserve"> (</w:t>
      </w:r>
      <w:r w:rsidR="001A072C" w:rsidRPr="004C60B8">
        <w:t>ďalej len „</w:t>
      </w:r>
      <w:r w:rsidRPr="004C60B8">
        <w:t>JAVYS, a. s.</w:t>
      </w:r>
      <w:r w:rsidR="001A072C" w:rsidRPr="004C60B8">
        <w:t>“</w:t>
      </w:r>
      <w:r w:rsidRPr="004C60B8">
        <w:t>).</w:t>
      </w:r>
      <w:r w:rsidR="00C45332" w:rsidRPr="004C60B8">
        <w:t xml:space="preserve"> </w:t>
      </w:r>
      <w:r w:rsidRPr="004C60B8">
        <w:rPr>
          <w:iCs/>
        </w:rPr>
        <w:t>JZ t</w:t>
      </w:r>
      <w:r w:rsidR="00193345" w:rsidRPr="004C60B8">
        <w:rPr>
          <w:iCs/>
        </w:rPr>
        <w:t>ých</w:t>
      </w:r>
      <w:r w:rsidRPr="004C60B8">
        <w:rPr>
          <w:iCs/>
        </w:rPr>
        <w:t>to spoločnost</w:t>
      </w:r>
      <w:r w:rsidR="00193345" w:rsidRPr="004C60B8">
        <w:rPr>
          <w:iCs/>
        </w:rPr>
        <w:t>í</w:t>
      </w:r>
      <w:r w:rsidRPr="004C60B8">
        <w:rPr>
          <w:iCs/>
        </w:rPr>
        <w:t xml:space="preserve"> rozdeľujeme na jadrové elektrárne (</w:t>
      </w:r>
      <w:r w:rsidR="00DB6613" w:rsidRPr="004C60B8">
        <w:rPr>
          <w:iCs/>
        </w:rPr>
        <w:t>ďalej len „</w:t>
      </w:r>
      <w:r w:rsidRPr="004C60B8">
        <w:rPr>
          <w:iCs/>
        </w:rPr>
        <w:t>JE</w:t>
      </w:r>
      <w:r w:rsidR="00DB6613" w:rsidRPr="004C60B8">
        <w:rPr>
          <w:iCs/>
        </w:rPr>
        <w:t>“</w:t>
      </w:r>
      <w:r w:rsidRPr="004C60B8">
        <w:rPr>
          <w:iCs/>
        </w:rPr>
        <w:t>) a iné JZ.</w:t>
      </w:r>
    </w:p>
    <w:p w14:paraId="59301D38" w14:textId="77777777" w:rsidR="00C45332" w:rsidRPr="004C60B8" w:rsidRDefault="00C45332" w:rsidP="005B072A">
      <w:pPr>
        <w:pStyle w:val="slovanzoznam"/>
        <w:numPr>
          <w:ilvl w:val="0"/>
          <w:numId w:val="0"/>
        </w:numPr>
        <w:spacing w:before="0"/>
        <w:jc w:val="both"/>
        <w:rPr>
          <w:i/>
          <w:iCs/>
        </w:rPr>
      </w:pPr>
    </w:p>
    <w:p w14:paraId="5AA170E9" w14:textId="128A2813" w:rsidR="00E5792F" w:rsidRPr="004C60B8" w:rsidRDefault="00E5792F" w:rsidP="005B072A">
      <w:pPr>
        <w:pStyle w:val="slovanzoznam"/>
        <w:numPr>
          <w:ilvl w:val="0"/>
          <w:numId w:val="0"/>
        </w:numPr>
        <w:spacing w:before="0"/>
        <w:jc w:val="both"/>
        <w:rPr>
          <w:i/>
          <w:iCs/>
        </w:rPr>
      </w:pPr>
      <w:r w:rsidRPr="004C60B8">
        <w:rPr>
          <w:i/>
          <w:iCs/>
        </w:rPr>
        <w:t>Jadrové elektrárne:</w:t>
      </w:r>
    </w:p>
    <w:p w14:paraId="7E75912D" w14:textId="63B00929"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Jadrová elektráreň Bohunice V-2 (JE Bohunice V-2</w:t>
      </w:r>
      <w:r w:rsidR="00943B58" w:rsidRPr="004C60B8">
        <w:rPr>
          <w:rFonts w:ascii="Times New Roman" w:hAnsi="Times New Roman"/>
          <w:color w:val="000000" w:themeColor="text1"/>
          <w:sz w:val="24"/>
          <w:szCs w:val="24"/>
        </w:rPr>
        <w:t>/EBO V-2</w:t>
      </w:r>
      <w:r w:rsidRPr="004C60B8">
        <w:rPr>
          <w:rFonts w:ascii="Times New Roman" w:hAnsi="Times New Roman"/>
          <w:color w:val="000000" w:themeColor="text1"/>
          <w:sz w:val="24"/>
          <w:szCs w:val="24"/>
        </w:rPr>
        <w:t>), dva bloky v prevádzke,</w:t>
      </w:r>
    </w:p>
    <w:p w14:paraId="7F4F792F" w14:textId="39680963"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Jadrová elektráreň Mochovce 1</w:t>
      </w:r>
      <w:r w:rsidR="00604395" w:rsidRPr="004C60B8">
        <w:rPr>
          <w:rFonts w:ascii="Times New Roman" w:hAnsi="Times New Roman"/>
          <w:color w:val="000000" w:themeColor="text1"/>
          <w:sz w:val="24"/>
          <w:szCs w:val="24"/>
        </w:rPr>
        <w:t>, </w:t>
      </w:r>
      <w:r w:rsidRPr="004C60B8">
        <w:rPr>
          <w:rFonts w:ascii="Times New Roman" w:hAnsi="Times New Roman"/>
          <w:color w:val="000000" w:themeColor="text1"/>
          <w:sz w:val="24"/>
          <w:szCs w:val="24"/>
        </w:rPr>
        <w:t xml:space="preserve">2 (JE Mochovce </w:t>
      </w:r>
      <w:r w:rsidR="00604395" w:rsidRPr="004C60B8">
        <w:rPr>
          <w:rFonts w:ascii="Times New Roman" w:hAnsi="Times New Roman"/>
          <w:color w:val="000000" w:themeColor="text1"/>
          <w:sz w:val="24"/>
          <w:szCs w:val="24"/>
        </w:rPr>
        <w:t>1, 2</w:t>
      </w:r>
      <w:r w:rsidR="00943B58" w:rsidRPr="004C60B8">
        <w:rPr>
          <w:rFonts w:ascii="Times New Roman" w:hAnsi="Times New Roman"/>
          <w:color w:val="000000" w:themeColor="text1"/>
          <w:sz w:val="24"/>
          <w:szCs w:val="24"/>
        </w:rPr>
        <w:t>/EMO</w:t>
      </w:r>
      <w:r w:rsidR="00604395" w:rsidRPr="004C60B8">
        <w:rPr>
          <w:rFonts w:ascii="Times New Roman" w:hAnsi="Times New Roman"/>
          <w:color w:val="000000" w:themeColor="text1"/>
          <w:sz w:val="24"/>
          <w:szCs w:val="24"/>
        </w:rPr>
        <w:t>1, 2</w:t>
      </w:r>
      <w:r w:rsidRPr="004C60B8">
        <w:rPr>
          <w:rFonts w:ascii="Times New Roman" w:hAnsi="Times New Roman"/>
          <w:color w:val="000000" w:themeColor="text1"/>
          <w:sz w:val="24"/>
          <w:szCs w:val="24"/>
        </w:rPr>
        <w:t>), dva bloky v prevádzke,</w:t>
      </w:r>
    </w:p>
    <w:p w14:paraId="26E8FA6F" w14:textId="78CA7C96"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Jadrová elektráreň Mochovce 3</w:t>
      </w:r>
      <w:r w:rsidR="00604395" w:rsidRPr="004C60B8">
        <w:rPr>
          <w:rFonts w:ascii="Times New Roman" w:hAnsi="Times New Roman"/>
          <w:color w:val="000000" w:themeColor="text1"/>
          <w:sz w:val="24"/>
          <w:szCs w:val="24"/>
        </w:rPr>
        <w:t>, </w:t>
      </w:r>
      <w:r w:rsidRPr="004C60B8">
        <w:rPr>
          <w:rFonts w:ascii="Times New Roman" w:hAnsi="Times New Roman"/>
          <w:color w:val="000000" w:themeColor="text1"/>
          <w:sz w:val="24"/>
          <w:szCs w:val="24"/>
        </w:rPr>
        <w:t xml:space="preserve">4 (JE Mochovce </w:t>
      </w:r>
      <w:r w:rsidR="00604395" w:rsidRPr="004C60B8">
        <w:rPr>
          <w:rFonts w:ascii="Times New Roman" w:hAnsi="Times New Roman"/>
          <w:color w:val="000000" w:themeColor="text1"/>
          <w:sz w:val="24"/>
          <w:szCs w:val="24"/>
        </w:rPr>
        <w:t>3, 4</w:t>
      </w:r>
      <w:r w:rsidR="00943B58" w:rsidRPr="004C60B8">
        <w:rPr>
          <w:rFonts w:ascii="Times New Roman" w:hAnsi="Times New Roman"/>
          <w:color w:val="000000" w:themeColor="text1"/>
          <w:sz w:val="24"/>
          <w:szCs w:val="24"/>
        </w:rPr>
        <w:t>/MO</w:t>
      </w:r>
      <w:r w:rsidR="00362261" w:rsidRPr="004C60B8">
        <w:rPr>
          <w:rFonts w:ascii="Times New Roman" w:hAnsi="Times New Roman"/>
          <w:color w:val="000000" w:themeColor="text1"/>
          <w:sz w:val="24"/>
          <w:szCs w:val="24"/>
        </w:rPr>
        <w:t> </w:t>
      </w:r>
      <w:r w:rsidR="00604395" w:rsidRPr="004C60B8">
        <w:rPr>
          <w:rFonts w:ascii="Times New Roman" w:hAnsi="Times New Roman"/>
          <w:color w:val="000000" w:themeColor="text1"/>
          <w:sz w:val="24"/>
          <w:szCs w:val="24"/>
        </w:rPr>
        <w:t>34</w:t>
      </w:r>
      <w:r w:rsidRPr="004C60B8">
        <w:rPr>
          <w:rFonts w:ascii="Times New Roman" w:hAnsi="Times New Roman"/>
          <w:color w:val="000000" w:themeColor="text1"/>
          <w:sz w:val="24"/>
          <w:szCs w:val="24"/>
        </w:rPr>
        <w:t xml:space="preserve">), </w:t>
      </w:r>
      <w:r w:rsidR="0081728E" w:rsidRPr="004C60B8">
        <w:rPr>
          <w:rFonts w:ascii="Times New Roman" w:hAnsi="Times New Roman"/>
          <w:color w:val="000000" w:themeColor="text1"/>
          <w:sz w:val="24"/>
          <w:szCs w:val="24"/>
        </w:rPr>
        <w:t>tretí blok v</w:t>
      </w:r>
      <w:r w:rsidR="00482284" w:rsidRPr="004C60B8">
        <w:rPr>
          <w:rFonts w:ascii="Times New Roman" w:hAnsi="Times New Roman"/>
          <w:color w:val="000000" w:themeColor="text1"/>
          <w:sz w:val="24"/>
          <w:szCs w:val="24"/>
        </w:rPr>
        <w:t> etape skúšobnej prevádzky</w:t>
      </w:r>
      <w:r w:rsidR="00890A46" w:rsidRPr="004C60B8">
        <w:rPr>
          <w:rFonts w:ascii="Times New Roman" w:hAnsi="Times New Roman"/>
          <w:color w:val="000000" w:themeColor="text1"/>
          <w:sz w:val="24"/>
          <w:szCs w:val="24"/>
        </w:rPr>
        <w:t>,</w:t>
      </w:r>
      <w:r w:rsidR="0081728E" w:rsidRPr="004C60B8">
        <w:rPr>
          <w:rFonts w:ascii="Times New Roman" w:hAnsi="Times New Roman"/>
          <w:color w:val="000000" w:themeColor="text1"/>
          <w:sz w:val="24"/>
          <w:szCs w:val="24"/>
        </w:rPr>
        <w:t xml:space="preserve"> štvrtý blok vo výstavbe</w:t>
      </w:r>
      <w:r w:rsidRPr="004C60B8">
        <w:rPr>
          <w:rFonts w:ascii="Times New Roman" w:hAnsi="Times New Roman"/>
          <w:color w:val="000000" w:themeColor="text1"/>
          <w:sz w:val="24"/>
          <w:szCs w:val="24"/>
        </w:rPr>
        <w:t>,</w:t>
      </w:r>
    </w:p>
    <w:p w14:paraId="52DC3FA0" w14:textId="03371DBB"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Jadrová elektráreň Bohunice V-1 (JE Bohunice V-1</w:t>
      </w:r>
      <w:r w:rsidR="00943B58" w:rsidRPr="004C60B8">
        <w:rPr>
          <w:rFonts w:ascii="Times New Roman" w:hAnsi="Times New Roman"/>
          <w:color w:val="000000" w:themeColor="text1"/>
          <w:sz w:val="24"/>
          <w:szCs w:val="24"/>
        </w:rPr>
        <w:t>/EBO V-1</w:t>
      </w:r>
      <w:r w:rsidRPr="004C60B8">
        <w:rPr>
          <w:rFonts w:ascii="Times New Roman" w:hAnsi="Times New Roman"/>
          <w:color w:val="000000" w:themeColor="text1"/>
          <w:sz w:val="24"/>
          <w:szCs w:val="24"/>
        </w:rPr>
        <w:t>), dva bloky v II. etape vyraďovania,</w:t>
      </w:r>
    </w:p>
    <w:p w14:paraId="10AC0512" w14:textId="3C08730C" w:rsidR="005E637A"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Jadrová elektráreň Bohunice A-1, (JE Bohunice A-1</w:t>
      </w:r>
      <w:r w:rsidR="00943B58" w:rsidRPr="004C60B8">
        <w:rPr>
          <w:rFonts w:ascii="Times New Roman" w:hAnsi="Times New Roman"/>
          <w:color w:val="000000" w:themeColor="text1"/>
          <w:sz w:val="24"/>
          <w:szCs w:val="24"/>
        </w:rPr>
        <w:t>/EBO A-1</w:t>
      </w:r>
      <w:r w:rsidRPr="004C60B8">
        <w:rPr>
          <w:rFonts w:ascii="Times New Roman" w:hAnsi="Times New Roman"/>
          <w:color w:val="000000" w:themeColor="text1"/>
          <w:sz w:val="24"/>
          <w:szCs w:val="24"/>
        </w:rPr>
        <w:t xml:space="preserve">), </w:t>
      </w:r>
      <w:r w:rsidR="00285270" w:rsidRPr="004C60B8">
        <w:rPr>
          <w:rFonts w:ascii="Times New Roman" w:hAnsi="Times New Roman"/>
          <w:color w:val="000000" w:themeColor="text1"/>
          <w:sz w:val="24"/>
          <w:szCs w:val="24"/>
        </w:rPr>
        <w:t>jeden blok</w:t>
      </w:r>
      <w:r w:rsidR="002360AF" w:rsidRPr="004C60B8">
        <w:rPr>
          <w:rFonts w:ascii="Times New Roman" w:hAnsi="Times New Roman"/>
          <w:color w:val="000000" w:themeColor="text1"/>
          <w:sz w:val="24"/>
          <w:szCs w:val="24"/>
        </w:rPr>
        <w:t xml:space="preserve"> v</w:t>
      </w:r>
      <w:r w:rsidRPr="004C60B8">
        <w:rPr>
          <w:rFonts w:ascii="Times New Roman" w:hAnsi="Times New Roman"/>
          <w:color w:val="000000" w:themeColor="text1"/>
          <w:sz w:val="24"/>
          <w:szCs w:val="24"/>
        </w:rPr>
        <w:t> III. a IV. etape vyraďovania.</w:t>
      </w:r>
    </w:p>
    <w:p w14:paraId="55F7E42F" w14:textId="77777777" w:rsidR="00556304" w:rsidRDefault="00556304">
      <w:pPr>
        <w:spacing w:after="200" w:line="276" w:lineRule="auto"/>
        <w:rPr>
          <w:i/>
          <w:iCs/>
        </w:rPr>
      </w:pPr>
      <w:r>
        <w:rPr>
          <w:i/>
          <w:iCs/>
        </w:rPr>
        <w:br w:type="page"/>
      </w:r>
    </w:p>
    <w:p w14:paraId="7654CB15" w14:textId="02140B08" w:rsidR="00E5792F" w:rsidRPr="004C60B8" w:rsidRDefault="00E5792F" w:rsidP="005B072A">
      <w:pPr>
        <w:pStyle w:val="slovanzoznam"/>
        <w:numPr>
          <w:ilvl w:val="0"/>
          <w:numId w:val="0"/>
        </w:numPr>
        <w:spacing w:before="0"/>
        <w:jc w:val="both"/>
        <w:rPr>
          <w:i/>
          <w:iCs/>
        </w:rPr>
      </w:pPr>
      <w:r w:rsidRPr="004C60B8">
        <w:rPr>
          <w:i/>
          <w:iCs/>
        </w:rPr>
        <w:lastRenderedPageBreak/>
        <w:t>Iné jadrové zariadenia:</w:t>
      </w:r>
    </w:p>
    <w:p w14:paraId="2DFFCF67" w14:textId="4A5795D2"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4C60B8">
        <w:rPr>
          <w:rFonts w:ascii="Times New Roman" w:hAnsi="Times New Roman"/>
          <w:color w:val="000000" w:themeColor="text1"/>
          <w:sz w:val="24"/>
          <w:szCs w:val="24"/>
        </w:rPr>
        <w:t>Medzisklad</w:t>
      </w:r>
      <w:proofErr w:type="spellEnd"/>
      <w:r w:rsidRPr="004C60B8">
        <w:rPr>
          <w:rFonts w:ascii="Times New Roman" w:hAnsi="Times New Roman"/>
          <w:color w:val="000000" w:themeColor="text1"/>
          <w:sz w:val="24"/>
          <w:szCs w:val="24"/>
        </w:rPr>
        <w:t xml:space="preserve"> vyhoretého jadrového paliva</w:t>
      </w:r>
      <w:r w:rsidR="00121B55" w:rsidRPr="004C60B8">
        <w:rPr>
          <w:rFonts w:ascii="Times New Roman" w:hAnsi="Times New Roman"/>
          <w:color w:val="000000" w:themeColor="text1"/>
          <w:sz w:val="24"/>
          <w:szCs w:val="24"/>
        </w:rPr>
        <w:t xml:space="preserve"> </w:t>
      </w:r>
      <w:r w:rsidR="001A072C" w:rsidRPr="004C60B8">
        <w:rPr>
          <w:rFonts w:ascii="Times New Roman" w:hAnsi="Times New Roman"/>
          <w:color w:val="000000" w:themeColor="text1"/>
          <w:sz w:val="24"/>
          <w:szCs w:val="24"/>
        </w:rPr>
        <w:t>(ďalej len „</w:t>
      </w:r>
      <w:r w:rsidR="00121B55" w:rsidRPr="004C60B8">
        <w:rPr>
          <w:rFonts w:ascii="Times New Roman" w:hAnsi="Times New Roman"/>
          <w:color w:val="000000" w:themeColor="text1"/>
          <w:sz w:val="24"/>
          <w:szCs w:val="24"/>
        </w:rPr>
        <w:t>MSVP</w:t>
      </w:r>
      <w:r w:rsidR="001A072C" w:rsidRPr="004C60B8">
        <w:rPr>
          <w:rFonts w:ascii="Times New Roman" w:hAnsi="Times New Roman"/>
          <w:color w:val="000000" w:themeColor="text1"/>
          <w:sz w:val="24"/>
          <w:szCs w:val="24"/>
        </w:rPr>
        <w:t>“</w:t>
      </w:r>
      <w:r w:rsidR="00121B55" w:rsidRPr="004C60B8">
        <w:rPr>
          <w:rFonts w:ascii="Times New Roman" w:hAnsi="Times New Roman"/>
          <w:color w:val="000000" w:themeColor="text1"/>
          <w:sz w:val="24"/>
          <w:szCs w:val="24"/>
        </w:rPr>
        <w:t>)</w:t>
      </w:r>
      <w:r w:rsidRPr="004C60B8">
        <w:rPr>
          <w:rFonts w:ascii="Times New Roman" w:hAnsi="Times New Roman"/>
          <w:color w:val="000000" w:themeColor="text1"/>
          <w:sz w:val="24"/>
          <w:szCs w:val="24"/>
        </w:rPr>
        <w:t>,</w:t>
      </w:r>
    </w:p>
    <w:p w14:paraId="49C4761D" w14:textId="1B8BC15D"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Technológie na spracovanie a úpravu rádioaktívnych odpadov</w:t>
      </w:r>
      <w:r w:rsidR="00121B55" w:rsidRPr="004C60B8">
        <w:rPr>
          <w:rFonts w:ascii="Times New Roman" w:hAnsi="Times New Roman"/>
          <w:color w:val="000000" w:themeColor="text1"/>
          <w:sz w:val="24"/>
          <w:szCs w:val="24"/>
        </w:rPr>
        <w:t xml:space="preserve"> (</w:t>
      </w:r>
      <w:r w:rsidR="001A072C" w:rsidRPr="004C60B8">
        <w:rPr>
          <w:rFonts w:ascii="Times New Roman" w:hAnsi="Times New Roman"/>
          <w:color w:val="000000" w:themeColor="text1"/>
          <w:sz w:val="24"/>
          <w:szCs w:val="24"/>
        </w:rPr>
        <w:t>ďalej len „</w:t>
      </w:r>
      <w:r w:rsidR="00121B55" w:rsidRPr="004C60B8">
        <w:rPr>
          <w:rFonts w:ascii="Times New Roman" w:hAnsi="Times New Roman"/>
          <w:color w:val="000000" w:themeColor="text1"/>
          <w:sz w:val="24"/>
          <w:szCs w:val="24"/>
        </w:rPr>
        <w:t>TSÚ</w:t>
      </w:r>
      <w:r w:rsidR="00180FC2" w:rsidRPr="004C60B8">
        <w:rPr>
          <w:rFonts w:ascii="Times New Roman" w:hAnsi="Times New Roman"/>
          <w:color w:val="000000" w:themeColor="text1"/>
          <w:sz w:val="24"/>
          <w:szCs w:val="24"/>
        </w:rPr>
        <w:t> </w:t>
      </w:r>
      <w:r w:rsidR="00121B55" w:rsidRPr="004C60B8">
        <w:rPr>
          <w:rFonts w:ascii="Times New Roman" w:hAnsi="Times New Roman"/>
          <w:color w:val="000000" w:themeColor="text1"/>
          <w:sz w:val="24"/>
          <w:szCs w:val="24"/>
        </w:rPr>
        <w:t>RAO</w:t>
      </w:r>
      <w:r w:rsidR="001A072C" w:rsidRPr="004C60B8">
        <w:rPr>
          <w:rFonts w:ascii="Times New Roman" w:hAnsi="Times New Roman"/>
          <w:color w:val="000000" w:themeColor="text1"/>
          <w:sz w:val="24"/>
          <w:szCs w:val="24"/>
        </w:rPr>
        <w:t>“</w:t>
      </w:r>
      <w:r w:rsidR="00121B55" w:rsidRPr="004C60B8">
        <w:rPr>
          <w:rFonts w:ascii="Times New Roman" w:hAnsi="Times New Roman"/>
          <w:color w:val="000000" w:themeColor="text1"/>
          <w:sz w:val="24"/>
          <w:szCs w:val="24"/>
        </w:rPr>
        <w:t>)</w:t>
      </w:r>
      <w:r w:rsidRPr="004C60B8">
        <w:rPr>
          <w:rFonts w:ascii="Times New Roman" w:hAnsi="Times New Roman"/>
          <w:color w:val="000000" w:themeColor="text1"/>
          <w:sz w:val="24"/>
          <w:szCs w:val="24"/>
        </w:rPr>
        <w:t>,</w:t>
      </w:r>
    </w:p>
    <w:p w14:paraId="10F40C42" w14:textId="7DE3A743"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Republikové úložisko rádioaktívnych odpadov</w:t>
      </w:r>
      <w:r w:rsidR="00121B55" w:rsidRPr="004C60B8">
        <w:rPr>
          <w:rFonts w:ascii="Times New Roman" w:hAnsi="Times New Roman"/>
          <w:color w:val="000000" w:themeColor="text1"/>
          <w:sz w:val="24"/>
          <w:szCs w:val="24"/>
        </w:rPr>
        <w:t xml:space="preserve"> (</w:t>
      </w:r>
      <w:r w:rsidR="001A072C" w:rsidRPr="004C60B8">
        <w:rPr>
          <w:rFonts w:ascii="Times New Roman" w:hAnsi="Times New Roman"/>
          <w:color w:val="000000" w:themeColor="text1"/>
          <w:sz w:val="24"/>
          <w:szCs w:val="24"/>
        </w:rPr>
        <w:t>ďalej len „</w:t>
      </w:r>
      <w:r w:rsidR="00121B55" w:rsidRPr="004C60B8">
        <w:rPr>
          <w:rFonts w:ascii="Times New Roman" w:hAnsi="Times New Roman"/>
          <w:color w:val="000000" w:themeColor="text1"/>
          <w:sz w:val="24"/>
          <w:szCs w:val="24"/>
        </w:rPr>
        <w:t>RÚ</w:t>
      </w:r>
      <w:r w:rsidR="00180FC2" w:rsidRPr="004C60B8">
        <w:rPr>
          <w:rFonts w:ascii="Times New Roman" w:hAnsi="Times New Roman"/>
          <w:color w:val="000000" w:themeColor="text1"/>
          <w:sz w:val="24"/>
          <w:szCs w:val="24"/>
        </w:rPr>
        <w:t> </w:t>
      </w:r>
      <w:r w:rsidR="00121B55" w:rsidRPr="004C60B8">
        <w:rPr>
          <w:rFonts w:ascii="Times New Roman" w:hAnsi="Times New Roman"/>
          <w:color w:val="000000" w:themeColor="text1"/>
          <w:sz w:val="24"/>
          <w:szCs w:val="24"/>
        </w:rPr>
        <w:t>RAO</w:t>
      </w:r>
      <w:r w:rsidR="001A072C" w:rsidRPr="004C60B8">
        <w:rPr>
          <w:rFonts w:ascii="Times New Roman" w:hAnsi="Times New Roman"/>
          <w:color w:val="000000" w:themeColor="text1"/>
          <w:sz w:val="24"/>
          <w:szCs w:val="24"/>
        </w:rPr>
        <w:t>“</w:t>
      </w:r>
      <w:r w:rsidR="00121B55" w:rsidRPr="004C60B8">
        <w:rPr>
          <w:rFonts w:ascii="Times New Roman" w:hAnsi="Times New Roman"/>
          <w:color w:val="000000" w:themeColor="text1"/>
          <w:sz w:val="24"/>
          <w:szCs w:val="24"/>
        </w:rPr>
        <w:t>)</w:t>
      </w:r>
      <w:r w:rsidRPr="004C60B8">
        <w:rPr>
          <w:rFonts w:ascii="Times New Roman" w:hAnsi="Times New Roman"/>
          <w:color w:val="000000" w:themeColor="text1"/>
          <w:sz w:val="24"/>
          <w:szCs w:val="24"/>
        </w:rPr>
        <w:t>,</w:t>
      </w:r>
    </w:p>
    <w:p w14:paraId="7D86EBA8" w14:textId="480616B9" w:rsidR="00E5792F"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Finálne spracovanie kvapalných rádioaktívnych odpadov</w:t>
      </w:r>
      <w:r w:rsidR="00121B55" w:rsidRPr="004C60B8">
        <w:rPr>
          <w:rFonts w:ascii="Times New Roman" w:hAnsi="Times New Roman"/>
          <w:color w:val="000000" w:themeColor="text1"/>
          <w:sz w:val="24"/>
          <w:szCs w:val="24"/>
        </w:rPr>
        <w:t xml:space="preserve"> (</w:t>
      </w:r>
      <w:r w:rsidR="001A072C" w:rsidRPr="004C60B8">
        <w:rPr>
          <w:rFonts w:ascii="Times New Roman" w:hAnsi="Times New Roman"/>
          <w:color w:val="000000" w:themeColor="text1"/>
          <w:sz w:val="24"/>
          <w:szCs w:val="24"/>
        </w:rPr>
        <w:t>ďalej len „</w:t>
      </w:r>
      <w:r w:rsidR="00121B55" w:rsidRPr="004C60B8">
        <w:rPr>
          <w:rFonts w:ascii="Times New Roman" w:hAnsi="Times New Roman"/>
          <w:color w:val="000000" w:themeColor="text1"/>
          <w:sz w:val="24"/>
          <w:szCs w:val="24"/>
        </w:rPr>
        <w:t>FS</w:t>
      </w:r>
      <w:r w:rsidR="00180FC2" w:rsidRPr="004C60B8">
        <w:rPr>
          <w:rFonts w:ascii="Times New Roman" w:hAnsi="Times New Roman"/>
          <w:color w:val="000000" w:themeColor="text1"/>
          <w:sz w:val="24"/>
          <w:szCs w:val="24"/>
        </w:rPr>
        <w:t> </w:t>
      </w:r>
      <w:r w:rsidR="00121B55" w:rsidRPr="004C60B8">
        <w:rPr>
          <w:rFonts w:ascii="Times New Roman" w:hAnsi="Times New Roman"/>
          <w:color w:val="000000" w:themeColor="text1"/>
          <w:sz w:val="24"/>
          <w:szCs w:val="24"/>
        </w:rPr>
        <w:t>KRAO</w:t>
      </w:r>
      <w:r w:rsidR="001A072C" w:rsidRPr="004C60B8">
        <w:rPr>
          <w:rFonts w:ascii="Times New Roman" w:hAnsi="Times New Roman"/>
          <w:color w:val="000000" w:themeColor="text1"/>
          <w:sz w:val="24"/>
          <w:szCs w:val="24"/>
        </w:rPr>
        <w:t>“</w:t>
      </w:r>
      <w:r w:rsidR="00121B55" w:rsidRPr="004C60B8">
        <w:rPr>
          <w:rFonts w:ascii="Times New Roman" w:hAnsi="Times New Roman"/>
          <w:color w:val="000000" w:themeColor="text1"/>
          <w:sz w:val="24"/>
          <w:szCs w:val="24"/>
        </w:rPr>
        <w:t>)</w:t>
      </w:r>
      <w:r w:rsidRPr="004C60B8">
        <w:rPr>
          <w:rFonts w:ascii="Times New Roman" w:hAnsi="Times New Roman"/>
          <w:color w:val="000000" w:themeColor="text1"/>
          <w:sz w:val="24"/>
          <w:szCs w:val="24"/>
        </w:rPr>
        <w:t>,</w:t>
      </w:r>
    </w:p>
    <w:p w14:paraId="42E17818" w14:textId="3932AB36" w:rsidR="003841E6" w:rsidRPr="004C60B8" w:rsidRDefault="00E5792F" w:rsidP="006250FB">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4C60B8">
        <w:rPr>
          <w:rFonts w:ascii="Times New Roman" w:hAnsi="Times New Roman"/>
          <w:color w:val="000000" w:themeColor="text1"/>
          <w:sz w:val="24"/>
          <w:szCs w:val="24"/>
        </w:rPr>
        <w:t>Integrálny sklad rádioaktívnych odpadov</w:t>
      </w:r>
      <w:r w:rsidR="00856688" w:rsidRPr="004C60B8">
        <w:rPr>
          <w:rFonts w:ascii="Times New Roman" w:hAnsi="Times New Roman"/>
          <w:color w:val="000000" w:themeColor="text1"/>
          <w:sz w:val="24"/>
          <w:szCs w:val="24"/>
        </w:rPr>
        <w:t xml:space="preserve"> (</w:t>
      </w:r>
      <w:r w:rsidR="001A072C" w:rsidRPr="004C60B8">
        <w:rPr>
          <w:rFonts w:ascii="Times New Roman" w:hAnsi="Times New Roman"/>
          <w:color w:val="000000" w:themeColor="text1"/>
          <w:sz w:val="24"/>
          <w:szCs w:val="24"/>
        </w:rPr>
        <w:t>ďalej len „</w:t>
      </w:r>
      <w:r w:rsidR="00856688" w:rsidRPr="004C60B8">
        <w:rPr>
          <w:rFonts w:ascii="Times New Roman" w:hAnsi="Times New Roman"/>
          <w:color w:val="000000" w:themeColor="text1"/>
          <w:sz w:val="24"/>
          <w:szCs w:val="24"/>
        </w:rPr>
        <w:t>IS</w:t>
      </w:r>
      <w:r w:rsidR="00180FC2" w:rsidRPr="004C60B8">
        <w:rPr>
          <w:rFonts w:ascii="Times New Roman" w:hAnsi="Times New Roman"/>
          <w:color w:val="000000" w:themeColor="text1"/>
          <w:sz w:val="24"/>
          <w:szCs w:val="24"/>
        </w:rPr>
        <w:t> </w:t>
      </w:r>
      <w:r w:rsidR="00856688" w:rsidRPr="004C60B8">
        <w:rPr>
          <w:rFonts w:ascii="Times New Roman" w:hAnsi="Times New Roman"/>
          <w:color w:val="000000" w:themeColor="text1"/>
          <w:sz w:val="24"/>
          <w:szCs w:val="24"/>
        </w:rPr>
        <w:t>RAO</w:t>
      </w:r>
      <w:r w:rsidR="001A072C" w:rsidRPr="004C60B8">
        <w:rPr>
          <w:rFonts w:ascii="Times New Roman" w:hAnsi="Times New Roman"/>
          <w:color w:val="000000" w:themeColor="text1"/>
          <w:sz w:val="24"/>
          <w:szCs w:val="24"/>
        </w:rPr>
        <w:t>“</w:t>
      </w:r>
      <w:r w:rsidR="00856688" w:rsidRPr="004C60B8">
        <w:rPr>
          <w:rFonts w:ascii="Times New Roman" w:hAnsi="Times New Roman"/>
          <w:color w:val="000000" w:themeColor="text1"/>
          <w:sz w:val="24"/>
          <w:szCs w:val="24"/>
        </w:rPr>
        <w:t>)</w:t>
      </w:r>
      <w:r w:rsidRPr="004C60B8">
        <w:rPr>
          <w:rFonts w:ascii="Times New Roman" w:hAnsi="Times New Roman"/>
          <w:color w:val="000000" w:themeColor="text1"/>
          <w:sz w:val="24"/>
          <w:szCs w:val="24"/>
        </w:rPr>
        <w:t>.</w:t>
      </w:r>
    </w:p>
    <w:p w14:paraId="21483939" w14:textId="77777777" w:rsidR="003E59E6" w:rsidRPr="00375F26" w:rsidRDefault="003E59E6" w:rsidP="007F72AC">
      <w:pPr>
        <w:pStyle w:val="Zoznamsodrkami2"/>
        <w:ind w:left="0"/>
      </w:pPr>
    </w:p>
    <w:p w14:paraId="13A1A47E" w14:textId="77777777" w:rsidR="00AD7EB0" w:rsidRPr="000A68E5" w:rsidRDefault="00084E79" w:rsidP="000A68E5">
      <w:pPr>
        <w:pStyle w:val="Nadpis3"/>
        <w:tabs>
          <w:tab w:val="clear" w:pos="1440"/>
          <w:tab w:val="num" w:pos="709"/>
        </w:tabs>
        <w:ind w:left="357" w:hanging="357"/>
        <w:rPr>
          <w:color w:val="000000" w:themeColor="text1"/>
        </w:rPr>
      </w:pPr>
      <w:bookmarkStart w:id="11" w:name="_Toc193697640"/>
      <w:r w:rsidRPr="000A68E5">
        <w:rPr>
          <w:color w:val="000000" w:themeColor="text1"/>
        </w:rPr>
        <w:t>Vydávanie povolení</w:t>
      </w:r>
      <w:bookmarkEnd w:id="11"/>
    </w:p>
    <w:p w14:paraId="4046DDF5" w14:textId="77777777" w:rsidR="00AD7EB0" w:rsidRPr="00375F26" w:rsidRDefault="00AD7EB0" w:rsidP="00F16D0C">
      <w:pPr>
        <w:pStyle w:val="Nadpis2"/>
        <w:numPr>
          <w:ilvl w:val="0"/>
          <w:numId w:val="0"/>
        </w:numPr>
        <w:tabs>
          <w:tab w:val="num" w:pos="555"/>
        </w:tabs>
        <w:rPr>
          <w:b w:val="0"/>
          <w:bCs/>
        </w:rPr>
      </w:pPr>
    </w:p>
    <w:p w14:paraId="20295C47" w14:textId="77777777" w:rsidR="00BE0A83" w:rsidRPr="00375F26" w:rsidRDefault="00BE0A83" w:rsidP="00BE0A83">
      <w:pPr>
        <w:jc w:val="both"/>
      </w:pPr>
      <w:r w:rsidRPr="00375F26">
        <w:t>Na získanie povolenia na činnosti v oblasti mierového využívania jadrovej energie, či ide o novú činnosť alebo o zmenu existujúcej, musí žiadateľ preukázať svoju schopnosť dodržiavať a plniť všetky požiadavky stanovené zákonmi a vyhláškami platnými v SR, najmä požiadavky atómového zákona a vykonávacích vyhlášok úradu k tomuto zákonu. Žiadateľ musí ďalej preukázať, že JZ bude, resp. je prevádzkované bezpečne.</w:t>
      </w:r>
    </w:p>
    <w:p w14:paraId="26A44B74" w14:textId="5B96E5DB" w:rsidR="00BE0A83" w:rsidRPr="00375F26" w:rsidRDefault="00BE0A83" w:rsidP="00BE0A83">
      <w:pPr>
        <w:jc w:val="both"/>
      </w:pPr>
      <w:r w:rsidRPr="00375F26">
        <w:t>Okrem držiteľov povolení, ktorými sú SE, a. s., a JAVYS, a. s., úrad vykonáva dozor a vydáva povolenia aj pre iné právnické osoby a organizácie, ktoré neprevádzkujú energetické JZ, ale vykonávajú ďalšie činnosti súvisiace s mierovým využívaním jadrovej energie v súlade s atómovým zákonom. Držiteľmi takýchto povolení sú napríklad</w:t>
      </w:r>
      <w:r w:rsidR="00731305">
        <w:t xml:space="preserve"> spoločnosť </w:t>
      </w:r>
      <w:r w:rsidRPr="00375F26">
        <w:t>VUJE, a. s., ktor</w:t>
      </w:r>
      <w:r w:rsidR="00731305">
        <w:t>á</w:t>
      </w:r>
      <w:r w:rsidRPr="00375F26">
        <w:t xml:space="preserve"> sa zaoberá odborným výcvikom personálu JZ a spoločnosť DMS, s. r. o., ktorá vykonáva činnosti spojené s prepravou </w:t>
      </w:r>
      <w:r w:rsidR="00133804">
        <w:t xml:space="preserve">rádioaktívneho </w:t>
      </w:r>
      <w:r w:rsidR="002246D3">
        <w:t>materiálu</w:t>
      </w:r>
      <w:r w:rsidR="00133804">
        <w:t xml:space="preserve"> (ďalej len „</w:t>
      </w:r>
      <w:r w:rsidRPr="00375F26">
        <w:t>RAM</w:t>
      </w:r>
      <w:r w:rsidR="00133804">
        <w:t>“)</w:t>
      </w:r>
      <w:r w:rsidRPr="00375F26">
        <w:t>.</w:t>
      </w:r>
    </w:p>
    <w:p w14:paraId="6D9F6EAC" w14:textId="77777777" w:rsidR="00002942" w:rsidRPr="00375F26" w:rsidRDefault="00002942" w:rsidP="005B072A"/>
    <w:p w14:paraId="433681A1" w14:textId="2B194A65" w:rsidR="00B54092" w:rsidRPr="000A68E5" w:rsidRDefault="00B54092" w:rsidP="000A68E5">
      <w:pPr>
        <w:pStyle w:val="Nadpis3"/>
        <w:tabs>
          <w:tab w:val="clear" w:pos="1440"/>
          <w:tab w:val="num" w:pos="709"/>
        </w:tabs>
        <w:ind w:left="357" w:hanging="357"/>
        <w:rPr>
          <w:color w:val="000000" w:themeColor="text1"/>
        </w:rPr>
      </w:pPr>
      <w:bookmarkStart w:id="12" w:name="_Toc193697641"/>
      <w:r w:rsidRPr="000A68E5">
        <w:rPr>
          <w:color w:val="000000" w:themeColor="text1"/>
        </w:rPr>
        <w:t>Posudzovacia a hodnotiaca činnosť</w:t>
      </w:r>
      <w:bookmarkEnd w:id="12"/>
    </w:p>
    <w:p w14:paraId="0447CE33" w14:textId="51BE3545" w:rsidR="00E46E5D" w:rsidRPr="00375F26" w:rsidRDefault="00E46E5D" w:rsidP="005B072A"/>
    <w:p w14:paraId="56D36D89" w14:textId="77777777" w:rsidR="00BE0A83" w:rsidRPr="00375F26" w:rsidRDefault="00BE0A83" w:rsidP="00BE0A83">
      <w:pPr>
        <w:jc w:val="both"/>
      </w:pPr>
      <w:r w:rsidRPr="00375F26">
        <w:t>Jadrová bezpečnosť JZ je preukazovaná dokumentáciou, ktorá dokazuje, že systémy, komponenty a technologické zariadenia vrátane schopnosti ich obsluhy, sú spôsobilé pracovať bezpečne a spoľahlivo, a to počas normálnej, abnormálnej, ako aj mimoriadnej prevádzky, a že vplyv JZ na zamestnancov, obyvateľstvo, životné prostredie a na majetok je na akceptovateľnej úrovni v zmysle legislatívy SR a uznávaných medzinárodných štandardov.</w:t>
      </w:r>
    </w:p>
    <w:p w14:paraId="081DFD4F" w14:textId="77777777" w:rsidR="00BE0A83" w:rsidRPr="00375F26" w:rsidRDefault="00BE0A83" w:rsidP="00BE0A83">
      <w:pPr>
        <w:jc w:val="both"/>
      </w:pPr>
    </w:p>
    <w:p w14:paraId="018B7FB1" w14:textId="77777777" w:rsidR="00BE0A83" w:rsidRPr="00375F26" w:rsidRDefault="00BE0A83" w:rsidP="00BE0A83">
      <w:pPr>
        <w:jc w:val="both"/>
      </w:pPr>
      <w:r w:rsidRPr="00375F26">
        <w:t>ÚJD SR v roku 2024 posudzoval, hodnotil a schvaľoval dokumentáciu pre:</w:t>
      </w:r>
    </w:p>
    <w:p w14:paraId="5FAE616C" w14:textId="26B69F0A"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stavebné konania vzťahujúce sa k JZ,</w:t>
      </w:r>
    </w:p>
    <w:p w14:paraId="3FDC47F3" w14:textId="657FF71C"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realizáciu prác na dostavbe JE MO 34 vrátane zmien úvodného projektu,</w:t>
      </w:r>
    </w:p>
    <w:p w14:paraId="00C100CF" w14:textId="2699840F"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projektové zmeny na vybraných zariadeniach (</w:t>
      </w:r>
      <w:r w:rsidR="00D4430F">
        <w:rPr>
          <w:rFonts w:eastAsia="Calibri"/>
          <w:color w:val="000000"/>
          <w:szCs w:val="24"/>
          <w:lang w:eastAsia="en-US"/>
        </w:rPr>
        <w:t>ďalej len „</w:t>
      </w:r>
      <w:r w:rsidRPr="00375F26">
        <w:rPr>
          <w:rFonts w:eastAsia="Calibri"/>
          <w:color w:val="000000"/>
          <w:szCs w:val="24"/>
          <w:lang w:eastAsia="en-US"/>
        </w:rPr>
        <w:t>VZ</w:t>
      </w:r>
      <w:r w:rsidR="00D4430F">
        <w:rPr>
          <w:rFonts w:eastAsia="Calibri"/>
          <w:color w:val="000000"/>
          <w:szCs w:val="24"/>
          <w:lang w:eastAsia="en-US"/>
        </w:rPr>
        <w:t>“</w:t>
      </w:r>
      <w:r w:rsidRPr="00375F26">
        <w:rPr>
          <w:rFonts w:eastAsia="Calibri"/>
          <w:color w:val="000000"/>
          <w:szCs w:val="24"/>
          <w:lang w:eastAsia="en-US"/>
        </w:rPr>
        <w:t>) prevádzkovaných JZ,</w:t>
      </w:r>
    </w:p>
    <w:p w14:paraId="0748BC46" w14:textId="6D41EE1B"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predprevádzkové a prevádzkové kontroly VZ,</w:t>
      </w:r>
    </w:p>
    <w:p w14:paraId="0C6B9051" w14:textId="7B89CC8F"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zmeny dokumentácie posúdenej alebo schválenej ÚJD SR,</w:t>
      </w:r>
    </w:p>
    <w:p w14:paraId="158C2BF6" w14:textId="03455A04"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zabezpečovanie kvality VZ a JZ,</w:t>
      </w:r>
    </w:p>
    <w:p w14:paraId="3D7F44DC" w14:textId="559FA633"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systémy manažérstva kvality držiteľov povolení a ich dodávateľov,</w:t>
      </w:r>
    </w:p>
    <w:p w14:paraId="56818EDD" w14:textId="705E4A57"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organizačné zmeny držiteľov povolení,</w:t>
      </w:r>
    </w:p>
    <w:p w14:paraId="43529BD6" w14:textId="5CA16188"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prípravu vybraných zamestnancov a odborne spôsobilých zamestnancov držiteľov povolení,</w:t>
      </w:r>
    </w:p>
    <w:p w14:paraId="53313BA1" w14:textId="22BE6040"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plány fyzickej ochrany prevádzkovaných JZ,</w:t>
      </w:r>
    </w:p>
    <w:p w14:paraId="22C975FE" w14:textId="39B303E9"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prepravu JM a RAM,</w:t>
      </w:r>
    </w:p>
    <w:p w14:paraId="25C05755" w14:textId="44730B72"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nakladanie s VJP a RAO,</w:t>
      </w:r>
    </w:p>
    <w:p w14:paraId="5EE32B59" w14:textId="4916C2F5"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vyraďovanie JE Bohunice A-1 a JE Bohunice V-1 z prevádzky,</w:t>
      </w:r>
    </w:p>
    <w:p w14:paraId="4C02DC82" w14:textId="45F74E85" w:rsidR="00BE0A83" w:rsidRPr="00375F26" w:rsidRDefault="00BE0A83" w:rsidP="00BE0A83">
      <w:pPr>
        <w:numPr>
          <w:ilvl w:val="0"/>
          <w:numId w:val="7"/>
        </w:numPr>
        <w:tabs>
          <w:tab w:val="left" w:pos="360"/>
        </w:tabs>
        <w:autoSpaceDE w:val="0"/>
        <w:autoSpaceDN w:val="0"/>
        <w:adjustRightInd w:val="0"/>
        <w:ind w:left="714" w:hanging="357"/>
        <w:jc w:val="both"/>
        <w:rPr>
          <w:rFonts w:eastAsia="Calibri"/>
          <w:color w:val="000000"/>
          <w:szCs w:val="24"/>
          <w:lang w:eastAsia="en-US"/>
        </w:rPr>
      </w:pPr>
      <w:r w:rsidRPr="00375F26">
        <w:rPr>
          <w:rFonts w:eastAsia="Calibri"/>
          <w:color w:val="000000"/>
          <w:szCs w:val="24"/>
          <w:lang w:eastAsia="en-US"/>
        </w:rPr>
        <w:t>havarijné plánovanie.</w:t>
      </w:r>
    </w:p>
    <w:p w14:paraId="24D245A3" w14:textId="77777777" w:rsidR="00BE0A83" w:rsidRPr="00375F26" w:rsidRDefault="00BE0A83" w:rsidP="00BE0A83">
      <w:pPr>
        <w:jc w:val="both"/>
      </w:pPr>
    </w:p>
    <w:p w14:paraId="55ACD8EC" w14:textId="31C652F6" w:rsidR="00BE0A83" w:rsidRPr="00375F26" w:rsidRDefault="00BE0A83" w:rsidP="00BE0A83">
      <w:pPr>
        <w:jc w:val="both"/>
      </w:pPr>
      <w:r w:rsidRPr="00375F26">
        <w:t xml:space="preserve">V súvislosti s dostavbou 3. a 4. bloku JE MO 34 úrad vykonal množstvo </w:t>
      </w:r>
      <w:proofErr w:type="spellStart"/>
      <w:r w:rsidRPr="00375F26">
        <w:t>pomontážnych</w:t>
      </w:r>
      <w:proofErr w:type="spellEnd"/>
      <w:r w:rsidRPr="00375F26">
        <w:t xml:space="preserve"> kontrol zhody, ktorých cieľom bolo overiť súlad nainštalovaných technologických zariadení s projektom a schválenými požiadavkami na ich kvalitu. Taktiež kontroloval priebeh vybraných </w:t>
      </w:r>
      <w:r w:rsidRPr="00375F26">
        <w:lastRenderedPageBreak/>
        <w:t>testov a prác súvisiacich s uvádzaním 3. bloku do prevádzky. Ďalej pokračovalo posudzovanie dokumentácie systému manažérstva kvality a požiadaviek na kvalitu vybraných zariadení v zmysle príslušných vyhlášok ÚJD SR. Počet rozhodnutí vydaných úradom v roku 2024 je uvedený v Tab. 1.</w:t>
      </w:r>
    </w:p>
    <w:p w14:paraId="3933EB72" w14:textId="77777777" w:rsidR="008E41F3" w:rsidRPr="00375F26" w:rsidRDefault="008E41F3" w:rsidP="007364EC">
      <w:pPr>
        <w:autoSpaceDE w:val="0"/>
        <w:autoSpaceDN w:val="0"/>
        <w:adjustRightInd w:val="0"/>
        <w:jc w:val="both"/>
        <w:rPr>
          <w:color w:val="000000"/>
          <w:szCs w:val="24"/>
        </w:rPr>
      </w:pPr>
    </w:p>
    <w:p w14:paraId="1B1ED1E0" w14:textId="0950F780" w:rsidR="00150582" w:rsidRPr="0036514D" w:rsidRDefault="00150582" w:rsidP="00150582">
      <w:pPr>
        <w:autoSpaceDE w:val="0"/>
        <w:autoSpaceDN w:val="0"/>
        <w:adjustRightInd w:val="0"/>
        <w:rPr>
          <w:sz w:val="22"/>
          <w:szCs w:val="22"/>
        </w:rPr>
      </w:pPr>
      <w:r w:rsidRPr="00375F26">
        <w:rPr>
          <w:sz w:val="22"/>
          <w:szCs w:val="22"/>
        </w:rPr>
        <w:t>Tab. 1 Počet rozhodnutí ÚJD</w:t>
      </w:r>
      <w:r w:rsidR="003B702F" w:rsidRPr="00375F26">
        <w:rPr>
          <w:sz w:val="22"/>
          <w:szCs w:val="22"/>
        </w:rPr>
        <w:t> </w:t>
      </w:r>
      <w:r w:rsidRPr="00375F26">
        <w:rPr>
          <w:sz w:val="22"/>
          <w:szCs w:val="22"/>
        </w:rPr>
        <w:t>SR vydaných v roku 202</w:t>
      </w:r>
      <w:r w:rsidR="00BE0A83" w:rsidRPr="00375F26">
        <w:rPr>
          <w:sz w:val="22"/>
          <w:szCs w:val="22"/>
        </w:rPr>
        <w:t>4</w:t>
      </w:r>
    </w:p>
    <w:tbl>
      <w:tblPr>
        <w:tblStyle w:val="Mriekatabuky2"/>
        <w:tblW w:w="9067" w:type="dxa"/>
        <w:tblLook w:val="04A0" w:firstRow="1" w:lastRow="0" w:firstColumn="1" w:lastColumn="0" w:noHBand="0" w:noVBand="1"/>
      </w:tblPr>
      <w:tblGrid>
        <w:gridCol w:w="4531"/>
        <w:gridCol w:w="4536"/>
      </w:tblGrid>
      <w:tr w:rsidR="006F6F8C" w:rsidRPr="006F6F8C" w14:paraId="2D1181E0" w14:textId="77777777" w:rsidTr="002A5325">
        <w:trPr>
          <w:trHeight w:val="388"/>
        </w:trPr>
        <w:tc>
          <w:tcPr>
            <w:tcW w:w="4531" w:type="dxa"/>
            <w:shd w:val="clear" w:color="auto" w:fill="D9D9D9" w:themeFill="background1" w:themeFillShade="D9"/>
            <w:hideMark/>
          </w:tcPr>
          <w:p w14:paraId="62AB8891" w14:textId="77777777" w:rsidR="006F6F8C" w:rsidRPr="00197F21" w:rsidRDefault="006F6F8C" w:rsidP="006F6F8C">
            <w:pPr>
              <w:autoSpaceDE w:val="0"/>
              <w:autoSpaceDN w:val="0"/>
              <w:adjustRightInd w:val="0"/>
              <w:jc w:val="center"/>
              <w:rPr>
                <w:b/>
                <w:bCs/>
                <w:color w:val="000000" w:themeColor="text1"/>
                <w:sz w:val="22"/>
                <w:szCs w:val="22"/>
              </w:rPr>
            </w:pPr>
            <w:r w:rsidRPr="00197F21">
              <w:rPr>
                <w:b/>
                <w:bCs/>
                <w:color w:val="000000" w:themeColor="text1"/>
                <w:sz w:val="22"/>
                <w:szCs w:val="22"/>
              </w:rPr>
              <w:t>Druh rozhodnutia</w:t>
            </w:r>
          </w:p>
        </w:tc>
        <w:tc>
          <w:tcPr>
            <w:tcW w:w="4536" w:type="dxa"/>
            <w:shd w:val="clear" w:color="auto" w:fill="D9D9D9" w:themeFill="background1" w:themeFillShade="D9"/>
            <w:hideMark/>
          </w:tcPr>
          <w:p w14:paraId="69A2FEAF" w14:textId="77777777" w:rsidR="006F6F8C" w:rsidRPr="00197F21" w:rsidRDefault="006F6F8C" w:rsidP="006F6F8C">
            <w:pPr>
              <w:autoSpaceDE w:val="0"/>
              <w:autoSpaceDN w:val="0"/>
              <w:adjustRightInd w:val="0"/>
              <w:jc w:val="center"/>
              <w:rPr>
                <w:b/>
                <w:bCs/>
                <w:color w:val="000000" w:themeColor="text1"/>
                <w:sz w:val="22"/>
                <w:szCs w:val="22"/>
              </w:rPr>
            </w:pPr>
            <w:r w:rsidRPr="00197F21">
              <w:rPr>
                <w:b/>
                <w:bCs/>
                <w:color w:val="000000" w:themeColor="text1"/>
                <w:sz w:val="22"/>
                <w:szCs w:val="22"/>
              </w:rPr>
              <w:t>Počet vydaných rozhodnutí</w:t>
            </w:r>
          </w:p>
        </w:tc>
      </w:tr>
      <w:tr w:rsidR="006F6F8C" w:rsidRPr="006F6F8C" w14:paraId="64B5F82A" w14:textId="77777777" w:rsidTr="002A5325">
        <w:trPr>
          <w:trHeight w:val="291"/>
        </w:trPr>
        <w:tc>
          <w:tcPr>
            <w:tcW w:w="4531" w:type="dxa"/>
            <w:hideMark/>
          </w:tcPr>
          <w:p w14:paraId="13B04359"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atómový zákon</w:t>
            </w:r>
          </w:p>
        </w:tc>
        <w:tc>
          <w:tcPr>
            <w:tcW w:w="4536" w:type="dxa"/>
            <w:hideMark/>
          </w:tcPr>
          <w:p w14:paraId="6C14600E" w14:textId="459419C3" w:rsidR="006F6F8C" w:rsidRPr="00197F21" w:rsidRDefault="00BE0A83" w:rsidP="00883430">
            <w:pPr>
              <w:jc w:val="center"/>
              <w:rPr>
                <w:color w:val="000000" w:themeColor="text1"/>
                <w:sz w:val="22"/>
                <w:szCs w:val="22"/>
              </w:rPr>
            </w:pPr>
            <w:r>
              <w:rPr>
                <w:color w:val="000000" w:themeColor="text1"/>
                <w:sz w:val="22"/>
                <w:szCs w:val="22"/>
              </w:rPr>
              <w:t>433</w:t>
            </w:r>
          </w:p>
        </w:tc>
      </w:tr>
      <w:tr w:rsidR="006F6F8C" w:rsidRPr="006F6F8C" w14:paraId="37023701" w14:textId="77777777" w:rsidTr="002A5325">
        <w:trPr>
          <w:trHeight w:val="293"/>
        </w:trPr>
        <w:tc>
          <w:tcPr>
            <w:tcW w:w="4531" w:type="dxa"/>
            <w:hideMark/>
          </w:tcPr>
          <w:p w14:paraId="33FE3F7F"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stavebný úrad</w:t>
            </w:r>
          </w:p>
        </w:tc>
        <w:tc>
          <w:tcPr>
            <w:tcW w:w="4536" w:type="dxa"/>
            <w:hideMark/>
          </w:tcPr>
          <w:p w14:paraId="3BD6B59E" w14:textId="6235D0C8" w:rsidR="006F6F8C" w:rsidRPr="00197F21" w:rsidRDefault="00D4430F" w:rsidP="00883430">
            <w:pPr>
              <w:ind w:right="-110"/>
              <w:jc w:val="center"/>
              <w:rPr>
                <w:color w:val="000000" w:themeColor="text1"/>
                <w:sz w:val="22"/>
                <w:szCs w:val="22"/>
              </w:rPr>
            </w:pPr>
            <w:r>
              <w:rPr>
                <w:color w:val="000000" w:themeColor="text1"/>
                <w:sz w:val="22"/>
                <w:szCs w:val="22"/>
              </w:rPr>
              <w:t xml:space="preserve">  </w:t>
            </w:r>
            <w:r w:rsidR="00BE0A83">
              <w:rPr>
                <w:color w:val="000000" w:themeColor="text1"/>
                <w:sz w:val="22"/>
                <w:szCs w:val="22"/>
              </w:rPr>
              <w:t>5</w:t>
            </w:r>
          </w:p>
        </w:tc>
      </w:tr>
      <w:tr w:rsidR="006F6F8C" w:rsidRPr="006F6F8C" w14:paraId="215F3E3B" w14:textId="77777777" w:rsidTr="002A5325">
        <w:trPr>
          <w:trHeight w:val="293"/>
        </w:trPr>
        <w:tc>
          <w:tcPr>
            <w:tcW w:w="4531" w:type="dxa"/>
            <w:hideMark/>
          </w:tcPr>
          <w:p w14:paraId="6B04FB93"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prerušenie správneho konania</w:t>
            </w:r>
          </w:p>
        </w:tc>
        <w:tc>
          <w:tcPr>
            <w:tcW w:w="4536" w:type="dxa"/>
            <w:hideMark/>
          </w:tcPr>
          <w:p w14:paraId="39342AEB" w14:textId="4B86613D" w:rsidR="006F6F8C" w:rsidRPr="00197F21" w:rsidRDefault="00883430" w:rsidP="00883430">
            <w:pPr>
              <w:jc w:val="center"/>
              <w:rPr>
                <w:color w:val="000000" w:themeColor="text1"/>
                <w:sz w:val="22"/>
                <w:szCs w:val="22"/>
              </w:rPr>
            </w:pPr>
            <w:r w:rsidRPr="00197F21">
              <w:rPr>
                <w:color w:val="000000" w:themeColor="text1"/>
                <w:sz w:val="22"/>
                <w:szCs w:val="22"/>
              </w:rPr>
              <w:t xml:space="preserve"> </w:t>
            </w:r>
            <w:r w:rsidR="00BE0A83">
              <w:rPr>
                <w:color w:val="000000" w:themeColor="text1"/>
                <w:sz w:val="22"/>
                <w:szCs w:val="22"/>
              </w:rPr>
              <w:t>107</w:t>
            </w:r>
          </w:p>
        </w:tc>
      </w:tr>
      <w:tr w:rsidR="006F6F8C" w:rsidRPr="006F6F8C" w14:paraId="781652E1" w14:textId="77777777" w:rsidTr="002A5325">
        <w:trPr>
          <w:trHeight w:val="293"/>
        </w:trPr>
        <w:tc>
          <w:tcPr>
            <w:tcW w:w="4531" w:type="dxa"/>
            <w:hideMark/>
          </w:tcPr>
          <w:p w14:paraId="5DE33480"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zastavenie správneho konania</w:t>
            </w:r>
          </w:p>
        </w:tc>
        <w:tc>
          <w:tcPr>
            <w:tcW w:w="4536" w:type="dxa"/>
            <w:hideMark/>
          </w:tcPr>
          <w:p w14:paraId="7061EEE2" w14:textId="02F9047E" w:rsidR="006F6F8C" w:rsidRPr="00197F21" w:rsidRDefault="005F50C7" w:rsidP="00883430">
            <w:pPr>
              <w:ind w:right="-110"/>
              <w:jc w:val="center"/>
              <w:rPr>
                <w:color w:val="000000" w:themeColor="text1"/>
                <w:sz w:val="22"/>
                <w:szCs w:val="22"/>
              </w:rPr>
            </w:pPr>
            <w:r>
              <w:rPr>
                <w:color w:val="000000" w:themeColor="text1"/>
                <w:sz w:val="22"/>
                <w:szCs w:val="22"/>
              </w:rPr>
              <w:t xml:space="preserve">  </w:t>
            </w:r>
            <w:r w:rsidR="00BE0A83">
              <w:rPr>
                <w:color w:val="000000" w:themeColor="text1"/>
                <w:sz w:val="22"/>
                <w:szCs w:val="22"/>
              </w:rPr>
              <w:t>6</w:t>
            </w:r>
          </w:p>
        </w:tc>
      </w:tr>
      <w:tr w:rsidR="006F6F8C" w:rsidRPr="006F6F8C" w14:paraId="365E83D9" w14:textId="77777777" w:rsidTr="002A5325">
        <w:trPr>
          <w:trHeight w:val="293"/>
        </w:trPr>
        <w:tc>
          <w:tcPr>
            <w:tcW w:w="4531" w:type="dxa"/>
          </w:tcPr>
          <w:p w14:paraId="1EBBEB08" w14:textId="252C0F2C"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uloženie pokuty</w:t>
            </w:r>
          </w:p>
        </w:tc>
        <w:tc>
          <w:tcPr>
            <w:tcW w:w="4536" w:type="dxa"/>
          </w:tcPr>
          <w:p w14:paraId="2A346048" w14:textId="4597724E" w:rsidR="006F6F8C" w:rsidRPr="00197F21" w:rsidRDefault="00883430" w:rsidP="00883430">
            <w:pPr>
              <w:ind w:right="-110"/>
              <w:jc w:val="center"/>
              <w:rPr>
                <w:color w:val="000000" w:themeColor="text1"/>
                <w:sz w:val="22"/>
                <w:szCs w:val="22"/>
              </w:rPr>
            </w:pPr>
            <w:r w:rsidRPr="00197F21">
              <w:rPr>
                <w:color w:val="000000" w:themeColor="text1"/>
                <w:sz w:val="22"/>
                <w:szCs w:val="22"/>
              </w:rPr>
              <w:t xml:space="preserve">  </w:t>
            </w:r>
            <w:r w:rsidR="00D4430F">
              <w:rPr>
                <w:color w:val="000000" w:themeColor="text1"/>
                <w:sz w:val="22"/>
                <w:szCs w:val="22"/>
              </w:rPr>
              <w:t xml:space="preserve"> </w:t>
            </w:r>
            <w:r w:rsidR="00BE0A83">
              <w:rPr>
                <w:color w:val="000000" w:themeColor="text1"/>
                <w:sz w:val="22"/>
                <w:szCs w:val="22"/>
              </w:rPr>
              <w:t>2</w:t>
            </w:r>
          </w:p>
        </w:tc>
      </w:tr>
      <w:tr w:rsidR="006F6F8C" w:rsidRPr="006F6F8C" w14:paraId="061CBD25" w14:textId="77777777" w:rsidTr="002A5325">
        <w:trPr>
          <w:trHeight w:val="293"/>
        </w:trPr>
        <w:tc>
          <w:tcPr>
            <w:tcW w:w="4531" w:type="dxa"/>
            <w:hideMark/>
          </w:tcPr>
          <w:p w14:paraId="0B766878"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rozkladové konanie</w:t>
            </w:r>
          </w:p>
        </w:tc>
        <w:tc>
          <w:tcPr>
            <w:tcW w:w="4536" w:type="dxa"/>
            <w:hideMark/>
          </w:tcPr>
          <w:p w14:paraId="58927844" w14:textId="5B2B655A" w:rsidR="006F6F8C" w:rsidRPr="00197F21" w:rsidRDefault="00BE0A83" w:rsidP="00883430">
            <w:pPr>
              <w:ind w:right="-252"/>
              <w:jc w:val="center"/>
              <w:rPr>
                <w:color w:val="000000" w:themeColor="text1"/>
                <w:sz w:val="22"/>
                <w:szCs w:val="22"/>
              </w:rPr>
            </w:pPr>
            <w:r>
              <w:rPr>
                <w:color w:val="000000" w:themeColor="text1"/>
                <w:sz w:val="22"/>
                <w:szCs w:val="22"/>
              </w:rPr>
              <w:t>1</w:t>
            </w:r>
          </w:p>
        </w:tc>
      </w:tr>
      <w:tr w:rsidR="006F6F8C" w:rsidRPr="006F6F8C" w14:paraId="631D384C" w14:textId="77777777" w:rsidTr="00F81E64">
        <w:trPr>
          <w:trHeight w:val="293"/>
        </w:trPr>
        <w:tc>
          <w:tcPr>
            <w:tcW w:w="4531" w:type="dxa"/>
            <w:shd w:val="clear" w:color="auto" w:fill="auto"/>
            <w:hideMark/>
          </w:tcPr>
          <w:p w14:paraId="1790F243" w14:textId="77777777" w:rsidR="006F6F8C" w:rsidRPr="00197F21" w:rsidRDefault="006F6F8C" w:rsidP="00F81E64">
            <w:pPr>
              <w:autoSpaceDE w:val="0"/>
              <w:autoSpaceDN w:val="0"/>
              <w:adjustRightInd w:val="0"/>
              <w:rPr>
                <w:b/>
                <w:bCs/>
                <w:color w:val="000000" w:themeColor="text1"/>
                <w:sz w:val="22"/>
                <w:szCs w:val="22"/>
              </w:rPr>
            </w:pPr>
            <w:r w:rsidRPr="00197F21">
              <w:rPr>
                <w:b/>
                <w:bCs/>
                <w:color w:val="000000" w:themeColor="text1"/>
                <w:sz w:val="22"/>
                <w:szCs w:val="22"/>
              </w:rPr>
              <w:t>Spolu</w:t>
            </w:r>
          </w:p>
        </w:tc>
        <w:tc>
          <w:tcPr>
            <w:tcW w:w="4536" w:type="dxa"/>
            <w:shd w:val="clear" w:color="auto" w:fill="auto"/>
            <w:hideMark/>
          </w:tcPr>
          <w:p w14:paraId="2EAAA233" w14:textId="7A6D847F" w:rsidR="006F6F8C" w:rsidRPr="00197F21" w:rsidRDefault="00BE0A83" w:rsidP="006F6F8C">
            <w:pPr>
              <w:autoSpaceDE w:val="0"/>
              <w:autoSpaceDN w:val="0"/>
              <w:adjustRightInd w:val="0"/>
              <w:jc w:val="center"/>
              <w:rPr>
                <w:b/>
                <w:bCs/>
                <w:color w:val="000000" w:themeColor="text1"/>
                <w:sz w:val="22"/>
                <w:szCs w:val="22"/>
              </w:rPr>
            </w:pPr>
            <w:r>
              <w:rPr>
                <w:b/>
                <w:bCs/>
                <w:color w:val="000000" w:themeColor="text1"/>
                <w:sz w:val="22"/>
                <w:szCs w:val="22"/>
              </w:rPr>
              <w:t>554</w:t>
            </w:r>
          </w:p>
        </w:tc>
      </w:tr>
    </w:tbl>
    <w:p w14:paraId="216C80E3" w14:textId="77777777" w:rsidR="005909B0" w:rsidRPr="005909B0" w:rsidRDefault="005909B0" w:rsidP="005909B0"/>
    <w:p w14:paraId="5A9A2CC1" w14:textId="239C88F8" w:rsidR="00ED4D0E" w:rsidRPr="00375F26" w:rsidRDefault="00ED4D0E" w:rsidP="006D7BB1">
      <w:pPr>
        <w:pStyle w:val="Nadpis3"/>
        <w:tabs>
          <w:tab w:val="clear" w:pos="1440"/>
          <w:tab w:val="num" w:pos="709"/>
        </w:tabs>
        <w:ind w:left="357" w:hanging="357"/>
        <w:rPr>
          <w:color w:val="000000" w:themeColor="text1"/>
        </w:rPr>
      </w:pPr>
      <w:bookmarkStart w:id="13" w:name="_Toc289762594"/>
      <w:bookmarkStart w:id="14" w:name="_Toc193697642"/>
      <w:r w:rsidRPr="00375F26">
        <w:rPr>
          <w:color w:val="000000" w:themeColor="text1"/>
        </w:rPr>
        <w:t>Inšpekčná činnosť</w:t>
      </w:r>
      <w:bookmarkEnd w:id="13"/>
      <w:bookmarkEnd w:id="14"/>
    </w:p>
    <w:p w14:paraId="5293994D" w14:textId="77777777" w:rsidR="00CA46DC" w:rsidRPr="00375F26" w:rsidRDefault="00CA46DC" w:rsidP="00CA46DC">
      <w:pPr>
        <w:jc w:val="both"/>
      </w:pPr>
    </w:p>
    <w:p w14:paraId="5A7BCAF3" w14:textId="7ACA304D" w:rsidR="00CA46DC" w:rsidRPr="00375F26" w:rsidRDefault="00CA46DC" w:rsidP="00CA46DC">
      <w:pPr>
        <w:jc w:val="both"/>
        <w:rPr>
          <w:color w:val="000000" w:themeColor="text1"/>
        </w:rPr>
      </w:pPr>
      <w:r w:rsidRPr="00375F26">
        <w:rPr>
          <w:color w:val="000000" w:themeColor="text1"/>
        </w:rPr>
        <w:t>Inšpekčnou činnosťou sa rozumie proces, ktorým sa kontroluje dodržiavanie požiadaviek a plnenie povinností ustanovených v atómovom zákone a jeho vykonávacích právnych predpisoch, v stavebnom zákone a jeho vykonávacích právnych predpisoch, plnenie povinností vyplývajúcich z rozhodnutí ÚJD SR, ako aj plnenie opatrení na odstránenie nedostatkov z protokolov.</w:t>
      </w:r>
      <w:r w:rsidR="00A7477D">
        <w:rPr>
          <w:color w:val="000000" w:themeColor="text1"/>
        </w:rPr>
        <w:t xml:space="preserve"> </w:t>
      </w:r>
      <w:r w:rsidRPr="00375F26">
        <w:rPr>
          <w:color w:val="000000" w:themeColor="text1"/>
        </w:rPr>
        <w:t>Inšpekčnú činnosť vykonávajú inšpektori jadrovej bezpečnosti ÚJD SR. Harmonogram plánovaných kontrol stanovuje Inšpekčný plán, ktorý je zostavený tak, aby bolo možné vykonávať priebežné a systematické hodnotenie dodržiavania legislatívnych požiadaviek. Úrad spracováva Predbežný inšpekčný plán na tri roky a Inšpekčný plán na príslušný rok. Okrem plánovaných kontrol vykonávajú inšpektori tiež neplánované kontroly, ktoré sú vyvolané stavom v JZ (napr. výstavba a montáž, etapy spúšťania) alebo prevádzkovými udalosťami (</w:t>
      </w:r>
      <w:r w:rsidR="00A7477D">
        <w:rPr>
          <w:color w:val="000000" w:themeColor="text1"/>
        </w:rPr>
        <w:t>ďalej len „</w:t>
      </w:r>
      <w:r w:rsidRPr="00375F26">
        <w:rPr>
          <w:color w:val="000000" w:themeColor="text1"/>
        </w:rPr>
        <w:t>PU</w:t>
      </w:r>
      <w:r w:rsidR="00A7477D">
        <w:rPr>
          <w:color w:val="000000" w:themeColor="text1"/>
        </w:rPr>
        <w:t>“</w:t>
      </w:r>
      <w:r w:rsidRPr="00375F26">
        <w:rPr>
          <w:color w:val="000000" w:themeColor="text1"/>
        </w:rPr>
        <w:t>). Medzi neplánované kontroly sa radia aj inšpekcie</w:t>
      </w:r>
      <w:r w:rsidR="001A6BF9">
        <w:rPr>
          <w:color w:val="000000" w:themeColor="text1"/>
        </w:rPr>
        <w:t xml:space="preserve"> </w:t>
      </w:r>
      <w:r w:rsidRPr="00375F26">
        <w:rPr>
          <w:color w:val="000000" w:themeColor="text1"/>
        </w:rPr>
        <w:t>MAAE v oblasti evidencie a kontroly JM, ktorých termín je ÚJD SR a príslušnému držiteľovi povolenia ohlásený až bezprostredne pred vykonaním samotnej kontroly.</w:t>
      </w:r>
    </w:p>
    <w:p w14:paraId="631A4801" w14:textId="4063B5A2" w:rsidR="00DF5212" w:rsidRPr="00CA46DC" w:rsidRDefault="00CA46DC" w:rsidP="00CA46DC">
      <w:pPr>
        <w:jc w:val="both"/>
        <w:rPr>
          <w:color w:val="000000" w:themeColor="text1"/>
        </w:rPr>
      </w:pPr>
      <w:r w:rsidRPr="00375F26">
        <w:rPr>
          <w:color w:val="000000" w:themeColor="text1"/>
        </w:rPr>
        <w:t>Na rok 2024 bolo plánovaných 180 inšpekcií, z toho bolo z objektívnych príčin 7 zrušených.</w:t>
      </w:r>
      <w:r w:rsidR="00DF5212">
        <w:rPr>
          <w:color w:val="000000" w:themeColor="text1"/>
        </w:rPr>
        <w:t xml:space="preserve"> </w:t>
      </w:r>
      <w:r w:rsidR="00DF5212" w:rsidRPr="00DF5212">
        <w:rPr>
          <w:color w:val="000000" w:themeColor="text1"/>
        </w:rPr>
        <w:t>Neplánovaných inšpekcií sa v roku 2024 vykonalo 16. Spolu bolo vykonaných 189 inšpekcií, pričom 56 inšpekcií bolo k 21. 3. 2025 ešte rozpracovaných a ukončených bolo 133 inšpekcií. Z ukončených inšpekcií skončilo 7 inšpekcií formou protokolu a ostatné sú ukončené záznamom.</w:t>
      </w:r>
    </w:p>
    <w:p w14:paraId="747D65B2" w14:textId="73FD8090" w:rsidR="00CA46DC" w:rsidRPr="00375F26" w:rsidRDefault="00CA46DC" w:rsidP="00CA46DC">
      <w:pPr>
        <w:jc w:val="both"/>
        <w:rPr>
          <w:color w:val="000000" w:themeColor="text1"/>
        </w:rPr>
      </w:pPr>
      <w:r w:rsidRPr="00375F26">
        <w:rPr>
          <w:color w:val="000000" w:themeColor="text1"/>
        </w:rPr>
        <w:t>Prehľad vykonaných inšpekcií v roku 2024 je uvedený v Tab. 2.</w:t>
      </w:r>
    </w:p>
    <w:p w14:paraId="55BEC5CB" w14:textId="77777777" w:rsidR="00160687" w:rsidRPr="00375F26" w:rsidRDefault="00160687" w:rsidP="00160687">
      <w:pPr>
        <w:autoSpaceDE w:val="0"/>
        <w:autoSpaceDN w:val="0"/>
        <w:adjustRightInd w:val="0"/>
        <w:jc w:val="both"/>
        <w:rPr>
          <w:color w:val="000000" w:themeColor="text1"/>
          <w:szCs w:val="24"/>
        </w:rPr>
      </w:pPr>
    </w:p>
    <w:p w14:paraId="12B6E7D2" w14:textId="098BD2F7" w:rsidR="00160687" w:rsidRPr="0036514D" w:rsidRDefault="00160687" w:rsidP="00160687">
      <w:pPr>
        <w:autoSpaceDE w:val="0"/>
        <w:autoSpaceDN w:val="0"/>
        <w:adjustRightInd w:val="0"/>
        <w:jc w:val="both"/>
        <w:rPr>
          <w:color w:val="000000" w:themeColor="text1"/>
          <w:sz w:val="22"/>
          <w:szCs w:val="22"/>
        </w:rPr>
      </w:pPr>
      <w:r w:rsidRPr="00375F26">
        <w:rPr>
          <w:color w:val="000000" w:themeColor="text1"/>
          <w:sz w:val="22"/>
          <w:szCs w:val="22"/>
        </w:rPr>
        <w:t>Tab. 2 Prehľad vykonaných inšpekcií v roku 202</w:t>
      </w:r>
      <w:r w:rsidR="00CA46DC" w:rsidRPr="00375F26">
        <w:rPr>
          <w:color w:val="000000" w:themeColor="text1"/>
          <w:sz w:val="22"/>
          <w:szCs w:val="22"/>
        </w:rPr>
        <w:t>4</w:t>
      </w:r>
    </w:p>
    <w:tbl>
      <w:tblPr>
        <w:tblW w:w="9066" w:type="dxa"/>
        <w:tblLayout w:type="fixed"/>
        <w:tblCellMar>
          <w:right w:w="0" w:type="dxa"/>
        </w:tblCellMar>
        <w:tblLook w:val="00A0" w:firstRow="1" w:lastRow="0" w:firstColumn="1" w:lastColumn="0" w:noHBand="0" w:noVBand="0"/>
      </w:tblPr>
      <w:tblGrid>
        <w:gridCol w:w="2814"/>
        <w:gridCol w:w="1131"/>
        <w:gridCol w:w="1273"/>
        <w:gridCol w:w="1131"/>
        <w:gridCol w:w="1435"/>
        <w:gridCol w:w="1282"/>
      </w:tblGrid>
      <w:tr w:rsidR="00160687" w:rsidRPr="00197F21" w14:paraId="103D6E1A"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82C6C" w14:textId="77777777" w:rsidR="00160687" w:rsidRPr="00197F21" w:rsidRDefault="00160687" w:rsidP="00160687">
            <w:pPr>
              <w:autoSpaceDE w:val="0"/>
              <w:autoSpaceDN w:val="0"/>
              <w:adjustRightInd w:val="0"/>
              <w:jc w:val="center"/>
              <w:rPr>
                <w:b/>
                <w:bCs/>
                <w:color w:val="000000" w:themeColor="text1"/>
                <w:sz w:val="22"/>
                <w:szCs w:val="22"/>
              </w:rPr>
            </w:pPr>
            <w:r w:rsidRPr="00197F21">
              <w:rPr>
                <w:b/>
                <w:bCs/>
                <w:color w:val="000000" w:themeColor="text1"/>
                <w:sz w:val="22"/>
                <w:szCs w:val="22"/>
              </w:rPr>
              <w:t>JZ/iné</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CE981"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Tímové</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96AB2A"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Špeciálne</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15808"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Rutinné</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AE25A"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Neplánované</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A806C"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Spolu</w:t>
            </w:r>
          </w:p>
        </w:tc>
      </w:tr>
      <w:tr w:rsidR="00CA46DC" w:rsidRPr="00197F21" w14:paraId="2104868A"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1FB59E22"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JE Bohunice V-2</w:t>
            </w:r>
          </w:p>
        </w:tc>
        <w:tc>
          <w:tcPr>
            <w:tcW w:w="1131" w:type="dxa"/>
            <w:tcBorders>
              <w:top w:val="single" w:sz="4" w:space="0" w:color="auto"/>
              <w:left w:val="single" w:sz="4" w:space="0" w:color="auto"/>
              <w:bottom w:val="single" w:sz="4" w:space="0" w:color="auto"/>
              <w:right w:val="single" w:sz="4" w:space="0" w:color="auto"/>
            </w:tcBorders>
          </w:tcPr>
          <w:p w14:paraId="15804B28" w14:textId="40163B06" w:rsidR="00CA46DC" w:rsidRPr="00CA46DC" w:rsidRDefault="00CA46DC" w:rsidP="00CA46DC">
            <w:pPr>
              <w:jc w:val="center"/>
              <w:rPr>
                <w:color w:val="000000" w:themeColor="text1"/>
                <w:sz w:val="22"/>
                <w:szCs w:val="22"/>
              </w:rPr>
            </w:pPr>
            <w:r w:rsidRPr="00CA46DC">
              <w:rPr>
                <w:sz w:val="22"/>
                <w:szCs w:val="22"/>
              </w:rPr>
              <w:t>11</w:t>
            </w:r>
          </w:p>
        </w:tc>
        <w:tc>
          <w:tcPr>
            <w:tcW w:w="1273" w:type="dxa"/>
            <w:tcBorders>
              <w:top w:val="single" w:sz="4" w:space="0" w:color="auto"/>
              <w:left w:val="single" w:sz="4" w:space="0" w:color="auto"/>
              <w:bottom w:val="single" w:sz="4" w:space="0" w:color="auto"/>
              <w:right w:val="single" w:sz="4" w:space="0" w:color="auto"/>
            </w:tcBorders>
          </w:tcPr>
          <w:p w14:paraId="75CFF7F9" w14:textId="1655EE1C" w:rsidR="00CA46DC" w:rsidRPr="00CA46DC" w:rsidRDefault="00CA46DC" w:rsidP="00CA46DC">
            <w:pPr>
              <w:jc w:val="center"/>
              <w:rPr>
                <w:color w:val="000000" w:themeColor="text1"/>
                <w:sz w:val="22"/>
                <w:szCs w:val="22"/>
              </w:rPr>
            </w:pPr>
            <w:r>
              <w:rPr>
                <w:sz w:val="22"/>
                <w:szCs w:val="22"/>
              </w:rPr>
              <w:t xml:space="preserve"> </w:t>
            </w:r>
            <w:r w:rsidRPr="00CA46DC">
              <w:rPr>
                <w:sz w:val="22"/>
                <w:szCs w:val="22"/>
              </w:rPr>
              <w:t>22</w:t>
            </w:r>
          </w:p>
        </w:tc>
        <w:tc>
          <w:tcPr>
            <w:tcW w:w="1131" w:type="dxa"/>
            <w:tcBorders>
              <w:top w:val="single" w:sz="4" w:space="0" w:color="auto"/>
              <w:left w:val="single" w:sz="4" w:space="0" w:color="auto"/>
              <w:bottom w:val="single" w:sz="4" w:space="0" w:color="auto"/>
              <w:right w:val="single" w:sz="4" w:space="0" w:color="auto"/>
            </w:tcBorders>
          </w:tcPr>
          <w:p w14:paraId="4668FF5F" w14:textId="002DE2F1" w:rsidR="00CA46DC" w:rsidRPr="00CA46DC" w:rsidRDefault="00CA46DC" w:rsidP="00CA46DC">
            <w:pPr>
              <w:jc w:val="center"/>
              <w:rPr>
                <w:color w:val="000000" w:themeColor="text1"/>
                <w:sz w:val="22"/>
                <w:szCs w:val="22"/>
              </w:rPr>
            </w:pPr>
            <w:r w:rsidRPr="00CA46DC">
              <w:rPr>
                <w:sz w:val="22"/>
                <w:szCs w:val="22"/>
              </w:rPr>
              <w:t>5</w:t>
            </w:r>
          </w:p>
        </w:tc>
        <w:tc>
          <w:tcPr>
            <w:tcW w:w="1435" w:type="dxa"/>
            <w:tcBorders>
              <w:top w:val="single" w:sz="4" w:space="0" w:color="auto"/>
              <w:left w:val="single" w:sz="4" w:space="0" w:color="auto"/>
              <w:bottom w:val="single" w:sz="4" w:space="0" w:color="auto"/>
              <w:right w:val="single" w:sz="4" w:space="0" w:color="auto"/>
            </w:tcBorders>
          </w:tcPr>
          <w:p w14:paraId="4519B95A" w14:textId="5C71000F" w:rsidR="00CA46DC" w:rsidRPr="00CA46DC" w:rsidRDefault="00CA46DC" w:rsidP="00CA46DC">
            <w:pPr>
              <w:ind w:right="-138"/>
              <w:jc w:val="center"/>
              <w:rPr>
                <w:color w:val="000000" w:themeColor="text1"/>
                <w:sz w:val="22"/>
                <w:szCs w:val="22"/>
              </w:rPr>
            </w:pPr>
            <w:r w:rsidRPr="00CA46DC">
              <w:rPr>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6E8835F" w14:textId="33304D72" w:rsidR="00CA46DC" w:rsidRPr="00CA46DC" w:rsidRDefault="00CA46DC" w:rsidP="00CA46DC">
            <w:pPr>
              <w:ind w:right="-128"/>
              <w:jc w:val="center"/>
              <w:rPr>
                <w:b/>
                <w:bCs/>
                <w:color w:val="000000" w:themeColor="text1"/>
                <w:sz w:val="22"/>
                <w:szCs w:val="22"/>
              </w:rPr>
            </w:pPr>
            <w:r w:rsidRPr="00CA46DC">
              <w:rPr>
                <w:sz w:val="22"/>
                <w:szCs w:val="22"/>
              </w:rPr>
              <w:t>38</w:t>
            </w:r>
          </w:p>
        </w:tc>
      </w:tr>
      <w:tr w:rsidR="00CA46DC" w:rsidRPr="00197F21" w14:paraId="3619459F"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45AA2A5C"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JE Mochovce 1, 2</w:t>
            </w:r>
          </w:p>
        </w:tc>
        <w:tc>
          <w:tcPr>
            <w:tcW w:w="1131" w:type="dxa"/>
            <w:tcBorders>
              <w:top w:val="single" w:sz="4" w:space="0" w:color="auto"/>
              <w:left w:val="single" w:sz="4" w:space="0" w:color="auto"/>
              <w:bottom w:val="single" w:sz="4" w:space="0" w:color="auto"/>
              <w:right w:val="single" w:sz="4" w:space="0" w:color="auto"/>
            </w:tcBorders>
          </w:tcPr>
          <w:p w14:paraId="2C27D72D" w14:textId="3363D538" w:rsidR="00CA46DC" w:rsidRPr="00CA46DC" w:rsidRDefault="00CA46DC" w:rsidP="00CA46DC">
            <w:pPr>
              <w:jc w:val="center"/>
              <w:rPr>
                <w:color w:val="000000" w:themeColor="text1"/>
                <w:sz w:val="22"/>
                <w:szCs w:val="22"/>
              </w:rPr>
            </w:pPr>
            <w:r w:rsidRPr="00CA46DC">
              <w:rPr>
                <w:sz w:val="22"/>
                <w:szCs w:val="22"/>
              </w:rPr>
              <w:t>12</w:t>
            </w:r>
          </w:p>
        </w:tc>
        <w:tc>
          <w:tcPr>
            <w:tcW w:w="1273" w:type="dxa"/>
            <w:tcBorders>
              <w:top w:val="single" w:sz="4" w:space="0" w:color="auto"/>
              <w:left w:val="single" w:sz="4" w:space="0" w:color="auto"/>
              <w:bottom w:val="single" w:sz="4" w:space="0" w:color="auto"/>
              <w:right w:val="single" w:sz="4" w:space="0" w:color="auto"/>
            </w:tcBorders>
          </w:tcPr>
          <w:p w14:paraId="0F76A554" w14:textId="7C173D53" w:rsidR="00CA46DC" w:rsidRPr="00CA46DC" w:rsidRDefault="00A174FC" w:rsidP="00CA46DC">
            <w:pPr>
              <w:jc w:val="center"/>
              <w:rPr>
                <w:color w:val="000000" w:themeColor="text1"/>
                <w:sz w:val="22"/>
                <w:szCs w:val="22"/>
              </w:rPr>
            </w:pPr>
            <w:r>
              <w:rPr>
                <w:sz w:val="22"/>
                <w:szCs w:val="22"/>
              </w:rPr>
              <w:t xml:space="preserve"> </w:t>
            </w:r>
            <w:r w:rsidR="00CA46DC" w:rsidRPr="00CA46DC">
              <w:rPr>
                <w:sz w:val="22"/>
                <w:szCs w:val="22"/>
              </w:rPr>
              <w:t>18</w:t>
            </w:r>
          </w:p>
        </w:tc>
        <w:tc>
          <w:tcPr>
            <w:tcW w:w="1131" w:type="dxa"/>
            <w:tcBorders>
              <w:top w:val="single" w:sz="4" w:space="0" w:color="auto"/>
              <w:left w:val="single" w:sz="4" w:space="0" w:color="auto"/>
              <w:bottom w:val="single" w:sz="4" w:space="0" w:color="auto"/>
              <w:right w:val="single" w:sz="4" w:space="0" w:color="auto"/>
            </w:tcBorders>
          </w:tcPr>
          <w:p w14:paraId="55B14209" w14:textId="589FE3AF" w:rsidR="00CA46DC" w:rsidRPr="00CA46DC" w:rsidRDefault="00CA46DC" w:rsidP="00CA46DC">
            <w:pPr>
              <w:jc w:val="center"/>
              <w:rPr>
                <w:color w:val="000000" w:themeColor="text1"/>
                <w:sz w:val="22"/>
                <w:szCs w:val="22"/>
              </w:rPr>
            </w:pPr>
            <w:r w:rsidRPr="00CA46DC">
              <w:rPr>
                <w:sz w:val="22"/>
                <w:szCs w:val="22"/>
              </w:rPr>
              <w:t>4</w:t>
            </w:r>
          </w:p>
        </w:tc>
        <w:tc>
          <w:tcPr>
            <w:tcW w:w="1435" w:type="dxa"/>
            <w:tcBorders>
              <w:top w:val="single" w:sz="4" w:space="0" w:color="auto"/>
              <w:left w:val="single" w:sz="4" w:space="0" w:color="auto"/>
              <w:bottom w:val="single" w:sz="4" w:space="0" w:color="auto"/>
              <w:right w:val="single" w:sz="4" w:space="0" w:color="auto"/>
            </w:tcBorders>
          </w:tcPr>
          <w:p w14:paraId="0C3F27CB" w14:textId="420D1882" w:rsidR="00CA46DC" w:rsidRPr="00CA46DC" w:rsidRDefault="00CA46DC" w:rsidP="00CA46DC">
            <w:pPr>
              <w:ind w:right="-138"/>
              <w:jc w:val="center"/>
              <w:rPr>
                <w:color w:val="000000" w:themeColor="text1"/>
                <w:sz w:val="22"/>
                <w:szCs w:val="22"/>
              </w:rPr>
            </w:pPr>
            <w:r w:rsidRPr="00CA46DC">
              <w:rPr>
                <w:sz w:val="22"/>
                <w:szCs w:val="22"/>
              </w:rPr>
              <w:t>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DE64606" w14:textId="30F91C06" w:rsidR="00CA46DC" w:rsidRPr="00CA46DC" w:rsidRDefault="00CA46DC" w:rsidP="00CA46DC">
            <w:pPr>
              <w:ind w:right="-128"/>
              <w:jc w:val="center"/>
              <w:rPr>
                <w:b/>
                <w:bCs/>
                <w:color w:val="000000" w:themeColor="text1"/>
                <w:sz w:val="22"/>
                <w:szCs w:val="22"/>
              </w:rPr>
            </w:pPr>
            <w:r w:rsidRPr="00CA46DC">
              <w:rPr>
                <w:sz w:val="22"/>
                <w:szCs w:val="22"/>
              </w:rPr>
              <w:t>36</w:t>
            </w:r>
          </w:p>
        </w:tc>
      </w:tr>
      <w:tr w:rsidR="00CA46DC" w:rsidRPr="00197F21" w14:paraId="630CA74C"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0290BEE8"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JE Mochovce 3, 4</w:t>
            </w:r>
          </w:p>
        </w:tc>
        <w:tc>
          <w:tcPr>
            <w:tcW w:w="1131" w:type="dxa"/>
            <w:tcBorders>
              <w:top w:val="single" w:sz="4" w:space="0" w:color="auto"/>
              <w:left w:val="single" w:sz="4" w:space="0" w:color="auto"/>
              <w:bottom w:val="single" w:sz="4" w:space="0" w:color="auto"/>
              <w:right w:val="single" w:sz="4" w:space="0" w:color="auto"/>
            </w:tcBorders>
          </w:tcPr>
          <w:p w14:paraId="05F86B1B" w14:textId="78959225" w:rsidR="00CA46DC" w:rsidRPr="00CA46DC" w:rsidRDefault="00CA46DC" w:rsidP="00CA46DC">
            <w:pPr>
              <w:ind w:right="-158"/>
              <w:rPr>
                <w:color w:val="000000" w:themeColor="text1"/>
                <w:sz w:val="22"/>
                <w:szCs w:val="22"/>
              </w:rPr>
            </w:pPr>
            <w:r>
              <w:rPr>
                <w:sz w:val="22"/>
                <w:szCs w:val="22"/>
              </w:rPr>
              <w:t xml:space="preserve">         </w:t>
            </w:r>
            <w:r w:rsidRPr="00CA46DC">
              <w:rPr>
                <w:sz w:val="22"/>
                <w:szCs w:val="22"/>
              </w:rPr>
              <w:t>3</w:t>
            </w:r>
          </w:p>
        </w:tc>
        <w:tc>
          <w:tcPr>
            <w:tcW w:w="1273" w:type="dxa"/>
            <w:tcBorders>
              <w:top w:val="single" w:sz="4" w:space="0" w:color="auto"/>
              <w:left w:val="single" w:sz="4" w:space="0" w:color="auto"/>
              <w:bottom w:val="single" w:sz="4" w:space="0" w:color="auto"/>
              <w:right w:val="single" w:sz="4" w:space="0" w:color="auto"/>
            </w:tcBorders>
          </w:tcPr>
          <w:p w14:paraId="26318D5B" w14:textId="120F2B35" w:rsidR="00CA46DC" w:rsidRPr="00CA46DC" w:rsidRDefault="00CA46DC" w:rsidP="00CA46DC">
            <w:pPr>
              <w:ind w:right="-155"/>
              <w:rPr>
                <w:color w:val="000000" w:themeColor="text1"/>
                <w:sz w:val="22"/>
                <w:szCs w:val="22"/>
              </w:rPr>
            </w:pPr>
            <w:r>
              <w:rPr>
                <w:sz w:val="22"/>
                <w:szCs w:val="22"/>
              </w:rPr>
              <w:t xml:space="preserve">         </w:t>
            </w:r>
            <w:r w:rsidRPr="00CA46DC">
              <w:rPr>
                <w:sz w:val="22"/>
                <w:szCs w:val="22"/>
              </w:rPr>
              <w:t>13</w:t>
            </w:r>
          </w:p>
        </w:tc>
        <w:tc>
          <w:tcPr>
            <w:tcW w:w="1131" w:type="dxa"/>
            <w:tcBorders>
              <w:top w:val="single" w:sz="4" w:space="0" w:color="auto"/>
              <w:left w:val="single" w:sz="4" w:space="0" w:color="auto"/>
              <w:bottom w:val="single" w:sz="4" w:space="0" w:color="auto"/>
              <w:right w:val="single" w:sz="4" w:space="0" w:color="auto"/>
            </w:tcBorders>
          </w:tcPr>
          <w:p w14:paraId="56089C69" w14:textId="036079E1" w:rsidR="00CA46DC" w:rsidRPr="00CA46DC" w:rsidRDefault="00CA46DC" w:rsidP="00CA46DC">
            <w:pPr>
              <w:jc w:val="center"/>
              <w:rPr>
                <w:color w:val="000000" w:themeColor="text1"/>
                <w:sz w:val="22"/>
                <w:szCs w:val="22"/>
              </w:rPr>
            </w:pPr>
            <w:r w:rsidRPr="00CA46DC">
              <w:rPr>
                <w:sz w:val="22"/>
                <w:szCs w:val="22"/>
              </w:rPr>
              <w:t>1</w:t>
            </w:r>
          </w:p>
        </w:tc>
        <w:tc>
          <w:tcPr>
            <w:tcW w:w="1435" w:type="dxa"/>
            <w:tcBorders>
              <w:top w:val="single" w:sz="4" w:space="0" w:color="auto"/>
              <w:left w:val="single" w:sz="4" w:space="0" w:color="auto"/>
              <w:bottom w:val="single" w:sz="4" w:space="0" w:color="auto"/>
              <w:right w:val="single" w:sz="4" w:space="0" w:color="auto"/>
            </w:tcBorders>
          </w:tcPr>
          <w:p w14:paraId="23655A3A" w14:textId="07B3DAF7" w:rsidR="00CA46DC" w:rsidRPr="00CA46DC" w:rsidRDefault="00CA46DC" w:rsidP="00CA46DC">
            <w:pPr>
              <w:ind w:right="-138"/>
              <w:jc w:val="center"/>
              <w:rPr>
                <w:color w:val="000000" w:themeColor="text1"/>
                <w:sz w:val="22"/>
                <w:szCs w:val="22"/>
              </w:rPr>
            </w:pPr>
            <w:r w:rsidRPr="00CA46DC">
              <w:rPr>
                <w:sz w:val="22"/>
                <w:szCs w:val="22"/>
              </w:rPr>
              <w:t>3</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243186C" w14:textId="5651351E" w:rsidR="00CA46DC" w:rsidRPr="00CA46DC" w:rsidRDefault="00CA46DC" w:rsidP="00CA46DC">
            <w:pPr>
              <w:ind w:right="-128"/>
              <w:jc w:val="center"/>
              <w:rPr>
                <w:b/>
                <w:bCs/>
                <w:color w:val="000000" w:themeColor="text1"/>
                <w:sz w:val="22"/>
                <w:szCs w:val="22"/>
              </w:rPr>
            </w:pPr>
            <w:r w:rsidRPr="00CA46DC">
              <w:rPr>
                <w:sz w:val="22"/>
                <w:szCs w:val="22"/>
              </w:rPr>
              <w:t>20</w:t>
            </w:r>
          </w:p>
        </w:tc>
      </w:tr>
      <w:tr w:rsidR="00CA46DC" w:rsidRPr="00197F21" w14:paraId="73A2BFB1"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777AF410"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JAVYS, a. s.</w:t>
            </w:r>
          </w:p>
        </w:tc>
        <w:tc>
          <w:tcPr>
            <w:tcW w:w="1131" w:type="dxa"/>
            <w:tcBorders>
              <w:top w:val="single" w:sz="4" w:space="0" w:color="auto"/>
              <w:left w:val="single" w:sz="4" w:space="0" w:color="auto"/>
              <w:bottom w:val="single" w:sz="4" w:space="0" w:color="auto"/>
              <w:right w:val="single" w:sz="4" w:space="0" w:color="auto"/>
            </w:tcBorders>
          </w:tcPr>
          <w:p w14:paraId="42F1F868" w14:textId="6FC39FFA" w:rsidR="00CA46DC" w:rsidRPr="00CA46DC" w:rsidRDefault="00CA46DC" w:rsidP="00CA46DC">
            <w:pPr>
              <w:ind w:right="-158"/>
              <w:rPr>
                <w:color w:val="000000" w:themeColor="text1"/>
                <w:sz w:val="22"/>
                <w:szCs w:val="22"/>
              </w:rPr>
            </w:pPr>
            <w:r>
              <w:rPr>
                <w:sz w:val="22"/>
                <w:szCs w:val="22"/>
              </w:rPr>
              <w:t xml:space="preserve">         </w:t>
            </w:r>
            <w:r w:rsidRPr="00CA46DC">
              <w:rPr>
                <w:sz w:val="22"/>
                <w:szCs w:val="22"/>
              </w:rPr>
              <w:t>4</w:t>
            </w:r>
          </w:p>
        </w:tc>
        <w:tc>
          <w:tcPr>
            <w:tcW w:w="1273" w:type="dxa"/>
            <w:tcBorders>
              <w:top w:val="single" w:sz="4" w:space="0" w:color="auto"/>
              <w:left w:val="single" w:sz="4" w:space="0" w:color="auto"/>
              <w:bottom w:val="single" w:sz="4" w:space="0" w:color="auto"/>
              <w:right w:val="single" w:sz="4" w:space="0" w:color="auto"/>
            </w:tcBorders>
          </w:tcPr>
          <w:p w14:paraId="57D38B84" w14:textId="30D2DCBA" w:rsidR="00CA46DC" w:rsidRPr="00CA46DC" w:rsidRDefault="00CA46DC" w:rsidP="00CA46DC">
            <w:pPr>
              <w:jc w:val="center"/>
              <w:rPr>
                <w:color w:val="000000" w:themeColor="text1"/>
                <w:sz w:val="22"/>
                <w:szCs w:val="22"/>
              </w:rPr>
            </w:pPr>
            <w:r>
              <w:rPr>
                <w:sz w:val="22"/>
                <w:szCs w:val="22"/>
              </w:rPr>
              <w:t xml:space="preserve"> </w:t>
            </w:r>
            <w:r w:rsidRPr="00CA46DC">
              <w:rPr>
                <w:sz w:val="22"/>
                <w:szCs w:val="22"/>
              </w:rPr>
              <w:t>20</w:t>
            </w:r>
          </w:p>
        </w:tc>
        <w:tc>
          <w:tcPr>
            <w:tcW w:w="1131" w:type="dxa"/>
            <w:tcBorders>
              <w:top w:val="single" w:sz="4" w:space="0" w:color="auto"/>
              <w:left w:val="single" w:sz="4" w:space="0" w:color="auto"/>
              <w:bottom w:val="single" w:sz="4" w:space="0" w:color="auto"/>
              <w:right w:val="single" w:sz="4" w:space="0" w:color="auto"/>
            </w:tcBorders>
          </w:tcPr>
          <w:p w14:paraId="699C29B5" w14:textId="7DDAC398" w:rsidR="00CA46DC" w:rsidRPr="00CA46DC" w:rsidRDefault="00CA46DC" w:rsidP="00CA46DC">
            <w:pPr>
              <w:jc w:val="center"/>
              <w:rPr>
                <w:color w:val="000000" w:themeColor="text1"/>
                <w:sz w:val="22"/>
                <w:szCs w:val="22"/>
              </w:rPr>
            </w:pPr>
            <w:r w:rsidRPr="00CA46DC">
              <w:rPr>
                <w:sz w:val="22"/>
                <w:szCs w:val="22"/>
              </w:rPr>
              <w:t>8</w:t>
            </w:r>
          </w:p>
        </w:tc>
        <w:tc>
          <w:tcPr>
            <w:tcW w:w="1435" w:type="dxa"/>
            <w:tcBorders>
              <w:top w:val="single" w:sz="4" w:space="0" w:color="auto"/>
              <w:left w:val="single" w:sz="4" w:space="0" w:color="auto"/>
              <w:bottom w:val="single" w:sz="4" w:space="0" w:color="auto"/>
              <w:right w:val="single" w:sz="4" w:space="0" w:color="auto"/>
            </w:tcBorders>
          </w:tcPr>
          <w:p w14:paraId="26F8EE08" w14:textId="15523324" w:rsidR="00CA46DC" w:rsidRPr="00CA46DC" w:rsidRDefault="00CA46DC" w:rsidP="00CA46DC">
            <w:pPr>
              <w:ind w:right="-138"/>
              <w:jc w:val="center"/>
              <w:rPr>
                <w:color w:val="000000" w:themeColor="text1"/>
                <w:sz w:val="22"/>
                <w:szCs w:val="22"/>
              </w:rPr>
            </w:pPr>
            <w:r w:rsidRPr="00CA46DC">
              <w:rPr>
                <w:sz w:val="22"/>
                <w:szCs w:val="22"/>
              </w:rPr>
              <w:t>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6D06440" w14:textId="1BFFAA8B" w:rsidR="00CA46DC" w:rsidRPr="00CA46DC" w:rsidRDefault="00CA46DC" w:rsidP="00CA46DC">
            <w:pPr>
              <w:ind w:right="-128"/>
              <w:jc w:val="center"/>
              <w:rPr>
                <w:b/>
                <w:bCs/>
                <w:color w:val="000000" w:themeColor="text1"/>
                <w:sz w:val="22"/>
                <w:szCs w:val="22"/>
              </w:rPr>
            </w:pPr>
            <w:r w:rsidRPr="00CA46DC">
              <w:rPr>
                <w:sz w:val="22"/>
                <w:szCs w:val="22"/>
              </w:rPr>
              <w:t>34</w:t>
            </w:r>
          </w:p>
        </w:tc>
      </w:tr>
      <w:tr w:rsidR="00CA46DC" w:rsidRPr="00197F21" w14:paraId="400054A4"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45A0DE57"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VUJE, a. s.</w:t>
            </w:r>
          </w:p>
        </w:tc>
        <w:tc>
          <w:tcPr>
            <w:tcW w:w="1131" w:type="dxa"/>
            <w:tcBorders>
              <w:top w:val="single" w:sz="4" w:space="0" w:color="auto"/>
              <w:left w:val="single" w:sz="4" w:space="0" w:color="auto"/>
              <w:bottom w:val="single" w:sz="4" w:space="0" w:color="auto"/>
              <w:right w:val="single" w:sz="4" w:space="0" w:color="auto"/>
            </w:tcBorders>
          </w:tcPr>
          <w:p w14:paraId="477E7EF4" w14:textId="2CFF479B" w:rsidR="00CA46DC" w:rsidRPr="00CA46DC" w:rsidRDefault="00CA46DC" w:rsidP="00CA46DC">
            <w:pPr>
              <w:ind w:right="-158"/>
              <w:rPr>
                <w:color w:val="000000" w:themeColor="text1"/>
                <w:sz w:val="22"/>
                <w:szCs w:val="22"/>
              </w:rPr>
            </w:pPr>
            <w:r>
              <w:rPr>
                <w:sz w:val="22"/>
                <w:szCs w:val="22"/>
              </w:rPr>
              <w:t xml:space="preserve">         </w:t>
            </w:r>
            <w:r w:rsidRPr="00CA46DC">
              <w:rPr>
                <w:sz w:val="22"/>
                <w:szCs w:val="22"/>
              </w:rPr>
              <w:t>1</w:t>
            </w:r>
          </w:p>
        </w:tc>
        <w:tc>
          <w:tcPr>
            <w:tcW w:w="1273" w:type="dxa"/>
            <w:tcBorders>
              <w:top w:val="single" w:sz="4" w:space="0" w:color="auto"/>
              <w:left w:val="single" w:sz="4" w:space="0" w:color="auto"/>
              <w:bottom w:val="single" w:sz="4" w:space="0" w:color="auto"/>
              <w:right w:val="single" w:sz="4" w:space="0" w:color="auto"/>
            </w:tcBorders>
          </w:tcPr>
          <w:p w14:paraId="5AD93E31" w14:textId="11D9C1A7" w:rsidR="00CA46DC" w:rsidRPr="00CA46DC" w:rsidRDefault="00CA46DC" w:rsidP="00CA46DC">
            <w:pPr>
              <w:ind w:right="-155"/>
              <w:jc w:val="center"/>
              <w:rPr>
                <w:color w:val="000000" w:themeColor="text1"/>
                <w:sz w:val="22"/>
                <w:szCs w:val="22"/>
              </w:rPr>
            </w:pPr>
            <w:r w:rsidRPr="00CA46DC">
              <w:rPr>
                <w:sz w:val="22"/>
                <w:szCs w:val="22"/>
              </w:rPr>
              <w:t>2</w:t>
            </w:r>
          </w:p>
        </w:tc>
        <w:tc>
          <w:tcPr>
            <w:tcW w:w="1131" w:type="dxa"/>
            <w:tcBorders>
              <w:top w:val="single" w:sz="4" w:space="0" w:color="auto"/>
              <w:left w:val="single" w:sz="4" w:space="0" w:color="auto"/>
              <w:bottom w:val="single" w:sz="4" w:space="0" w:color="auto"/>
              <w:right w:val="single" w:sz="4" w:space="0" w:color="auto"/>
            </w:tcBorders>
          </w:tcPr>
          <w:p w14:paraId="5B33B8B0" w14:textId="23EB3750" w:rsidR="00CA46DC" w:rsidRPr="00CA46DC" w:rsidRDefault="00A174FC" w:rsidP="00CA46DC">
            <w:pPr>
              <w:jc w:val="center"/>
              <w:rPr>
                <w:color w:val="000000" w:themeColor="text1"/>
                <w:sz w:val="22"/>
                <w:szCs w:val="22"/>
              </w:rPr>
            </w:pPr>
            <w:r>
              <w:rPr>
                <w:sz w:val="22"/>
                <w:szCs w:val="22"/>
              </w:rPr>
              <w:t xml:space="preserve"> </w:t>
            </w:r>
            <w:r w:rsidR="00CA46DC" w:rsidRPr="00CA46DC">
              <w:rPr>
                <w:sz w:val="22"/>
                <w:szCs w:val="22"/>
              </w:rPr>
              <w:t>0</w:t>
            </w:r>
          </w:p>
        </w:tc>
        <w:tc>
          <w:tcPr>
            <w:tcW w:w="1435" w:type="dxa"/>
            <w:tcBorders>
              <w:top w:val="single" w:sz="4" w:space="0" w:color="auto"/>
              <w:left w:val="single" w:sz="4" w:space="0" w:color="auto"/>
              <w:bottom w:val="single" w:sz="4" w:space="0" w:color="auto"/>
              <w:right w:val="single" w:sz="4" w:space="0" w:color="auto"/>
            </w:tcBorders>
          </w:tcPr>
          <w:p w14:paraId="6A411E70" w14:textId="0E0E8EDB" w:rsidR="00CA46DC" w:rsidRPr="00CA46DC" w:rsidRDefault="00A174FC" w:rsidP="00CA46DC">
            <w:pPr>
              <w:ind w:right="-138"/>
              <w:jc w:val="center"/>
              <w:rPr>
                <w:color w:val="000000" w:themeColor="text1"/>
                <w:sz w:val="22"/>
                <w:szCs w:val="22"/>
              </w:rPr>
            </w:pPr>
            <w:r>
              <w:rPr>
                <w:sz w:val="22"/>
                <w:szCs w:val="22"/>
              </w:rPr>
              <w:t xml:space="preserve"> </w:t>
            </w:r>
            <w:r w:rsidR="00CA46DC" w:rsidRPr="00CA46DC">
              <w:rPr>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F399B1B" w14:textId="375DF9D3" w:rsidR="00CA46DC" w:rsidRPr="00CA46DC" w:rsidRDefault="00CA46DC" w:rsidP="00CA46DC">
            <w:pPr>
              <w:ind w:right="-270"/>
              <w:rPr>
                <w:b/>
                <w:bCs/>
                <w:color w:val="000000" w:themeColor="text1"/>
                <w:sz w:val="22"/>
                <w:szCs w:val="22"/>
              </w:rPr>
            </w:pPr>
            <w:r>
              <w:rPr>
                <w:sz w:val="22"/>
                <w:szCs w:val="22"/>
              </w:rPr>
              <w:t xml:space="preserve">            </w:t>
            </w:r>
            <w:r w:rsidRPr="00CA46DC">
              <w:rPr>
                <w:sz w:val="22"/>
                <w:szCs w:val="22"/>
              </w:rPr>
              <w:t>3</w:t>
            </w:r>
          </w:p>
        </w:tc>
      </w:tr>
      <w:tr w:rsidR="00CA46DC" w:rsidRPr="00197F21" w14:paraId="22E8DAEB"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67BBFEC1" w14:textId="2B45DA40" w:rsidR="00CA46DC" w:rsidRPr="00E826C3" w:rsidRDefault="00CA46DC" w:rsidP="00CA46DC">
            <w:pPr>
              <w:tabs>
                <w:tab w:val="left" w:pos="-720"/>
                <w:tab w:val="left" w:pos="435"/>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preprava JM a RAO</w:t>
            </w:r>
          </w:p>
        </w:tc>
        <w:tc>
          <w:tcPr>
            <w:tcW w:w="1131" w:type="dxa"/>
            <w:tcBorders>
              <w:top w:val="single" w:sz="4" w:space="0" w:color="auto"/>
              <w:left w:val="single" w:sz="4" w:space="0" w:color="auto"/>
              <w:bottom w:val="single" w:sz="4" w:space="0" w:color="auto"/>
              <w:right w:val="single" w:sz="4" w:space="0" w:color="auto"/>
            </w:tcBorders>
          </w:tcPr>
          <w:p w14:paraId="32291086" w14:textId="3CFBA1C2" w:rsidR="00CA46DC" w:rsidRPr="00CA46DC" w:rsidRDefault="00A174FC" w:rsidP="00A174FC">
            <w:pPr>
              <w:ind w:right="-158"/>
              <w:rPr>
                <w:color w:val="000000" w:themeColor="text1"/>
                <w:sz w:val="22"/>
                <w:szCs w:val="22"/>
              </w:rPr>
            </w:pPr>
            <w:r>
              <w:rPr>
                <w:sz w:val="22"/>
                <w:szCs w:val="22"/>
              </w:rPr>
              <w:t xml:space="preserve">         </w:t>
            </w:r>
            <w:r w:rsidR="00CA46DC" w:rsidRPr="00CA46DC">
              <w:rPr>
                <w:sz w:val="22"/>
                <w:szCs w:val="22"/>
              </w:rPr>
              <w:t>0</w:t>
            </w:r>
          </w:p>
        </w:tc>
        <w:tc>
          <w:tcPr>
            <w:tcW w:w="1273" w:type="dxa"/>
            <w:tcBorders>
              <w:top w:val="single" w:sz="4" w:space="0" w:color="auto"/>
              <w:left w:val="single" w:sz="4" w:space="0" w:color="auto"/>
              <w:bottom w:val="single" w:sz="4" w:space="0" w:color="auto"/>
              <w:right w:val="single" w:sz="4" w:space="0" w:color="auto"/>
            </w:tcBorders>
          </w:tcPr>
          <w:p w14:paraId="6C6BB96C" w14:textId="697761AE" w:rsidR="00CA46DC" w:rsidRPr="00CA46DC" w:rsidRDefault="00CA46DC" w:rsidP="00CA46DC">
            <w:pPr>
              <w:ind w:right="-155"/>
              <w:rPr>
                <w:color w:val="000000" w:themeColor="text1"/>
                <w:sz w:val="22"/>
                <w:szCs w:val="22"/>
              </w:rPr>
            </w:pPr>
            <w:r>
              <w:rPr>
                <w:sz w:val="22"/>
                <w:szCs w:val="22"/>
              </w:rPr>
              <w:t xml:space="preserve">         </w:t>
            </w:r>
            <w:r w:rsidRPr="00CA46DC">
              <w:rPr>
                <w:sz w:val="22"/>
                <w:szCs w:val="22"/>
              </w:rPr>
              <w:t>14</w:t>
            </w:r>
          </w:p>
        </w:tc>
        <w:tc>
          <w:tcPr>
            <w:tcW w:w="1131" w:type="dxa"/>
            <w:tcBorders>
              <w:top w:val="single" w:sz="4" w:space="0" w:color="auto"/>
              <w:left w:val="single" w:sz="4" w:space="0" w:color="auto"/>
              <w:bottom w:val="single" w:sz="4" w:space="0" w:color="auto"/>
              <w:right w:val="single" w:sz="4" w:space="0" w:color="auto"/>
            </w:tcBorders>
          </w:tcPr>
          <w:p w14:paraId="7BB54EC7" w14:textId="11B5CF82" w:rsidR="00CA46DC" w:rsidRPr="00CA46DC" w:rsidRDefault="00A174FC" w:rsidP="00CA46DC">
            <w:pPr>
              <w:jc w:val="center"/>
              <w:rPr>
                <w:color w:val="000000" w:themeColor="text1"/>
                <w:sz w:val="22"/>
                <w:szCs w:val="22"/>
              </w:rPr>
            </w:pPr>
            <w:r>
              <w:rPr>
                <w:sz w:val="22"/>
                <w:szCs w:val="22"/>
              </w:rPr>
              <w:t xml:space="preserve"> </w:t>
            </w:r>
            <w:r w:rsidR="00CA46DC" w:rsidRPr="00CA46DC">
              <w:rPr>
                <w:sz w:val="22"/>
                <w:szCs w:val="22"/>
              </w:rPr>
              <w:t>0</w:t>
            </w:r>
          </w:p>
        </w:tc>
        <w:tc>
          <w:tcPr>
            <w:tcW w:w="1435" w:type="dxa"/>
            <w:tcBorders>
              <w:top w:val="single" w:sz="4" w:space="0" w:color="auto"/>
              <w:left w:val="single" w:sz="4" w:space="0" w:color="auto"/>
              <w:bottom w:val="single" w:sz="4" w:space="0" w:color="auto"/>
              <w:right w:val="single" w:sz="4" w:space="0" w:color="auto"/>
            </w:tcBorders>
          </w:tcPr>
          <w:p w14:paraId="759C33E2" w14:textId="417DB17B" w:rsidR="00CA46DC" w:rsidRPr="00CA46DC" w:rsidRDefault="00A174FC" w:rsidP="00CA46DC">
            <w:pPr>
              <w:ind w:right="-138"/>
              <w:jc w:val="center"/>
              <w:rPr>
                <w:color w:val="000000" w:themeColor="text1"/>
                <w:sz w:val="22"/>
                <w:szCs w:val="22"/>
              </w:rPr>
            </w:pPr>
            <w:r>
              <w:rPr>
                <w:sz w:val="22"/>
                <w:szCs w:val="22"/>
              </w:rPr>
              <w:t xml:space="preserve"> </w:t>
            </w:r>
            <w:r w:rsidR="00CA46DC" w:rsidRPr="00CA46DC">
              <w:rPr>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47F4E3B" w14:textId="6130F52B" w:rsidR="00CA46DC" w:rsidRPr="00CA46DC" w:rsidRDefault="00CA46DC" w:rsidP="00CA46DC">
            <w:pPr>
              <w:ind w:right="-270"/>
              <w:rPr>
                <w:b/>
                <w:bCs/>
                <w:color w:val="000000" w:themeColor="text1"/>
                <w:sz w:val="22"/>
                <w:szCs w:val="22"/>
              </w:rPr>
            </w:pPr>
            <w:r>
              <w:rPr>
                <w:sz w:val="22"/>
                <w:szCs w:val="22"/>
              </w:rPr>
              <w:t xml:space="preserve">         </w:t>
            </w:r>
            <w:r w:rsidR="00A174FC">
              <w:rPr>
                <w:sz w:val="22"/>
                <w:szCs w:val="22"/>
              </w:rPr>
              <w:t xml:space="preserve"> </w:t>
            </w:r>
            <w:r w:rsidRPr="00CA46DC">
              <w:rPr>
                <w:sz w:val="22"/>
                <w:szCs w:val="22"/>
              </w:rPr>
              <w:t>14</w:t>
            </w:r>
          </w:p>
        </w:tc>
      </w:tr>
      <w:tr w:rsidR="00CA46DC" w:rsidRPr="00197F21" w14:paraId="650C7DAB"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5A2326A9"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kontrola a evidencia JM</w:t>
            </w:r>
          </w:p>
        </w:tc>
        <w:tc>
          <w:tcPr>
            <w:tcW w:w="1131" w:type="dxa"/>
            <w:tcBorders>
              <w:top w:val="single" w:sz="4" w:space="0" w:color="auto"/>
              <w:left w:val="single" w:sz="4" w:space="0" w:color="auto"/>
              <w:bottom w:val="single" w:sz="4" w:space="0" w:color="auto"/>
              <w:right w:val="single" w:sz="4" w:space="0" w:color="auto"/>
            </w:tcBorders>
          </w:tcPr>
          <w:p w14:paraId="118F1191" w14:textId="73AA7B07" w:rsidR="00CA46DC" w:rsidRPr="00CA46DC" w:rsidRDefault="00A174FC" w:rsidP="00A174FC">
            <w:pPr>
              <w:ind w:right="-158"/>
              <w:rPr>
                <w:color w:val="000000" w:themeColor="text1"/>
                <w:sz w:val="22"/>
                <w:szCs w:val="22"/>
              </w:rPr>
            </w:pPr>
            <w:r>
              <w:rPr>
                <w:sz w:val="22"/>
                <w:szCs w:val="22"/>
              </w:rPr>
              <w:t xml:space="preserve">         </w:t>
            </w:r>
            <w:r w:rsidR="00CA46DC" w:rsidRPr="00CA46DC">
              <w:rPr>
                <w:sz w:val="22"/>
                <w:szCs w:val="22"/>
              </w:rPr>
              <w:t>0</w:t>
            </w:r>
          </w:p>
        </w:tc>
        <w:tc>
          <w:tcPr>
            <w:tcW w:w="1273" w:type="dxa"/>
            <w:tcBorders>
              <w:top w:val="single" w:sz="4" w:space="0" w:color="auto"/>
              <w:left w:val="single" w:sz="4" w:space="0" w:color="auto"/>
              <w:bottom w:val="single" w:sz="4" w:space="0" w:color="auto"/>
              <w:right w:val="single" w:sz="4" w:space="0" w:color="auto"/>
            </w:tcBorders>
          </w:tcPr>
          <w:p w14:paraId="38A197EE" w14:textId="650AC6BE" w:rsidR="00CA46DC" w:rsidRPr="00CA46DC" w:rsidRDefault="00CA46DC" w:rsidP="00CA46DC">
            <w:pPr>
              <w:jc w:val="center"/>
              <w:rPr>
                <w:color w:val="000000" w:themeColor="text1"/>
                <w:sz w:val="22"/>
                <w:szCs w:val="22"/>
              </w:rPr>
            </w:pPr>
            <w:r>
              <w:rPr>
                <w:sz w:val="22"/>
                <w:szCs w:val="22"/>
              </w:rPr>
              <w:t xml:space="preserve">  </w:t>
            </w:r>
            <w:r w:rsidRPr="00CA46DC">
              <w:rPr>
                <w:sz w:val="22"/>
                <w:szCs w:val="22"/>
              </w:rPr>
              <w:t>30</w:t>
            </w:r>
          </w:p>
        </w:tc>
        <w:tc>
          <w:tcPr>
            <w:tcW w:w="1131" w:type="dxa"/>
            <w:tcBorders>
              <w:top w:val="single" w:sz="4" w:space="0" w:color="auto"/>
              <w:left w:val="single" w:sz="4" w:space="0" w:color="auto"/>
              <w:bottom w:val="single" w:sz="4" w:space="0" w:color="auto"/>
              <w:right w:val="single" w:sz="4" w:space="0" w:color="auto"/>
            </w:tcBorders>
          </w:tcPr>
          <w:p w14:paraId="2A4E5E67" w14:textId="06E660BB" w:rsidR="00CA46DC" w:rsidRPr="00CA46DC" w:rsidRDefault="00A174FC" w:rsidP="00CA46DC">
            <w:pPr>
              <w:jc w:val="center"/>
              <w:rPr>
                <w:color w:val="000000" w:themeColor="text1"/>
                <w:sz w:val="22"/>
                <w:szCs w:val="22"/>
              </w:rPr>
            </w:pPr>
            <w:r>
              <w:rPr>
                <w:sz w:val="22"/>
                <w:szCs w:val="22"/>
              </w:rPr>
              <w:t xml:space="preserve"> </w:t>
            </w:r>
            <w:r w:rsidR="00CA46DC" w:rsidRPr="00CA46DC">
              <w:rPr>
                <w:sz w:val="22"/>
                <w:szCs w:val="22"/>
              </w:rPr>
              <w:t>0</w:t>
            </w:r>
          </w:p>
        </w:tc>
        <w:tc>
          <w:tcPr>
            <w:tcW w:w="1435" w:type="dxa"/>
            <w:tcBorders>
              <w:top w:val="single" w:sz="4" w:space="0" w:color="auto"/>
              <w:left w:val="single" w:sz="4" w:space="0" w:color="auto"/>
              <w:bottom w:val="single" w:sz="4" w:space="0" w:color="auto"/>
              <w:right w:val="single" w:sz="4" w:space="0" w:color="auto"/>
            </w:tcBorders>
          </w:tcPr>
          <w:p w14:paraId="1B886033" w14:textId="2691C6A0" w:rsidR="00CA46DC" w:rsidRPr="00CA46DC" w:rsidRDefault="00CA46DC" w:rsidP="00CA46DC">
            <w:pPr>
              <w:jc w:val="center"/>
              <w:rPr>
                <w:color w:val="000000" w:themeColor="text1"/>
                <w:sz w:val="22"/>
                <w:szCs w:val="22"/>
              </w:rPr>
            </w:pPr>
            <w:r>
              <w:rPr>
                <w:sz w:val="22"/>
                <w:szCs w:val="22"/>
              </w:rPr>
              <w:t xml:space="preserve">  </w:t>
            </w:r>
            <w:r w:rsidR="00A174FC">
              <w:rPr>
                <w:sz w:val="22"/>
                <w:szCs w:val="22"/>
              </w:rPr>
              <w:t xml:space="preserve"> </w:t>
            </w:r>
            <w:r w:rsidRPr="00CA46DC">
              <w:rPr>
                <w:sz w:val="22"/>
                <w:szCs w:val="22"/>
              </w:rPr>
              <w:t>9</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9DF42A4" w14:textId="7A2B10D0" w:rsidR="00CA46DC" w:rsidRPr="00CA46DC" w:rsidRDefault="00CA46DC" w:rsidP="00CA46DC">
            <w:pPr>
              <w:ind w:right="-128"/>
              <w:rPr>
                <w:b/>
                <w:bCs/>
                <w:color w:val="000000" w:themeColor="text1"/>
                <w:sz w:val="22"/>
                <w:szCs w:val="22"/>
              </w:rPr>
            </w:pPr>
            <w:r>
              <w:rPr>
                <w:sz w:val="22"/>
                <w:szCs w:val="22"/>
              </w:rPr>
              <w:t xml:space="preserve">         </w:t>
            </w:r>
            <w:r w:rsidR="00A174FC">
              <w:rPr>
                <w:sz w:val="22"/>
                <w:szCs w:val="22"/>
              </w:rPr>
              <w:t xml:space="preserve"> </w:t>
            </w:r>
            <w:r w:rsidRPr="00CA46DC">
              <w:rPr>
                <w:sz w:val="22"/>
                <w:szCs w:val="22"/>
              </w:rPr>
              <w:t>39</w:t>
            </w:r>
          </w:p>
        </w:tc>
      </w:tr>
      <w:tr w:rsidR="00CA46DC" w:rsidRPr="00197F21" w14:paraId="65912C4A"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tcPr>
          <w:p w14:paraId="2B3DFF22" w14:textId="77777777" w:rsidR="00CA46DC" w:rsidRPr="00E826C3" w:rsidRDefault="00CA46DC" w:rsidP="00CA46DC">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ostatné inšpekcie</w:t>
            </w:r>
          </w:p>
        </w:tc>
        <w:tc>
          <w:tcPr>
            <w:tcW w:w="1131" w:type="dxa"/>
            <w:tcBorders>
              <w:top w:val="single" w:sz="4" w:space="0" w:color="auto"/>
              <w:left w:val="single" w:sz="4" w:space="0" w:color="auto"/>
              <w:bottom w:val="single" w:sz="4" w:space="0" w:color="auto"/>
              <w:right w:val="single" w:sz="4" w:space="0" w:color="auto"/>
            </w:tcBorders>
          </w:tcPr>
          <w:p w14:paraId="0471986B" w14:textId="31FDE37A" w:rsidR="00CA46DC" w:rsidRPr="00CA46DC" w:rsidRDefault="00A174FC" w:rsidP="00A174FC">
            <w:pPr>
              <w:ind w:right="-158"/>
              <w:rPr>
                <w:color w:val="000000" w:themeColor="text1"/>
                <w:sz w:val="22"/>
                <w:szCs w:val="22"/>
              </w:rPr>
            </w:pPr>
            <w:r>
              <w:rPr>
                <w:sz w:val="22"/>
                <w:szCs w:val="22"/>
              </w:rPr>
              <w:t xml:space="preserve">         </w:t>
            </w:r>
            <w:r w:rsidR="00CA46DC" w:rsidRPr="00CA46DC">
              <w:rPr>
                <w:sz w:val="22"/>
                <w:szCs w:val="22"/>
              </w:rPr>
              <w:t>1</w:t>
            </w:r>
          </w:p>
        </w:tc>
        <w:tc>
          <w:tcPr>
            <w:tcW w:w="1273" w:type="dxa"/>
            <w:tcBorders>
              <w:top w:val="single" w:sz="4" w:space="0" w:color="auto"/>
              <w:left w:val="single" w:sz="4" w:space="0" w:color="auto"/>
              <w:bottom w:val="single" w:sz="4" w:space="0" w:color="auto"/>
              <w:right w:val="single" w:sz="4" w:space="0" w:color="auto"/>
            </w:tcBorders>
          </w:tcPr>
          <w:p w14:paraId="14F0E4EA" w14:textId="442BF2B4" w:rsidR="00CA46DC" w:rsidRPr="00CA46DC" w:rsidRDefault="00CA46DC" w:rsidP="00CA46DC">
            <w:pPr>
              <w:ind w:right="-155"/>
              <w:rPr>
                <w:color w:val="000000" w:themeColor="text1"/>
                <w:sz w:val="22"/>
                <w:szCs w:val="22"/>
              </w:rPr>
            </w:pPr>
            <w:r>
              <w:rPr>
                <w:sz w:val="22"/>
                <w:szCs w:val="22"/>
              </w:rPr>
              <w:t xml:space="preserve">           </w:t>
            </w:r>
            <w:r w:rsidRPr="00CA46DC">
              <w:rPr>
                <w:sz w:val="22"/>
                <w:szCs w:val="22"/>
              </w:rPr>
              <w:t>4</w:t>
            </w:r>
          </w:p>
        </w:tc>
        <w:tc>
          <w:tcPr>
            <w:tcW w:w="1131" w:type="dxa"/>
            <w:tcBorders>
              <w:top w:val="single" w:sz="4" w:space="0" w:color="auto"/>
              <w:left w:val="single" w:sz="4" w:space="0" w:color="auto"/>
              <w:bottom w:val="single" w:sz="4" w:space="0" w:color="auto"/>
              <w:right w:val="single" w:sz="4" w:space="0" w:color="auto"/>
            </w:tcBorders>
          </w:tcPr>
          <w:p w14:paraId="788AA6A4" w14:textId="4F19A9BE" w:rsidR="00CA46DC" w:rsidRPr="00CA46DC" w:rsidRDefault="00A174FC" w:rsidP="00CA46DC">
            <w:pPr>
              <w:jc w:val="center"/>
              <w:rPr>
                <w:color w:val="000000" w:themeColor="text1"/>
                <w:sz w:val="22"/>
                <w:szCs w:val="22"/>
              </w:rPr>
            </w:pPr>
            <w:r>
              <w:rPr>
                <w:sz w:val="22"/>
                <w:szCs w:val="22"/>
              </w:rPr>
              <w:t xml:space="preserve"> </w:t>
            </w:r>
            <w:r w:rsidR="00CA46DC" w:rsidRPr="00CA46DC">
              <w:rPr>
                <w:sz w:val="22"/>
                <w:szCs w:val="22"/>
              </w:rPr>
              <w:t>0</w:t>
            </w:r>
          </w:p>
        </w:tc>
        <w:tc>
          <w:tcPr>
            <w:tcW w:w="1435" w:type="dxa"/>
            <w:tcBorders>
              <w:top w:val="single" w:sz="4" w:space="0" w:color="auto"/>
              <w:left w:val="single" w:sz="4" w:space="0" w:color="auto"/>
              <w:bottom w:val="single" w:sz="4" w:space="0" w:color="auto"/>
              <w:right w:val="single" w:sz="4" w:space="0" w:color="auto"/>
            </w:tcBorders>
          </w:tcPr>
          <w:p w14:paraId="7A27E646" w14:textId="5F8B32DC" w:rsidR="00CA46DC" w:rsidRPr="00CA46DC" w:rsidRDefault="00A174FC" w:rsidP="00CA46DC">
            <w:pPr>
              <w:ind w:left="-135" w:right="-138" w:firstLine="135"/>
              <w:jc w:val="center"/>
              <w:rPr>
                <w:color w:val="000000" w:themeColor="text1"/>
                <w:sz w:val="22"/>
                <w:szCs w:val="22"/>
              </w:rPr>
            </w:pPr>
            <w:r>
              <w:rPr>
                <w:sz w:val="22"/>
                <w:szCs w:val="22"/>
              </w:rPr>
              <w:t xml:space="preserve"> </w:t>
            </w:r>
            <w:r w:rsidR="00CA46DC" w:rsidRPr="00CA46DC">
              <w:rPr>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7B9FFA4" w14:textId="1678D443" w:rsidR="00CA46DC" w:rsidRPr="00CA46DC" w:rsidRDefault="00CA46DC" w:rsidP="00CA46DC">
            <w:pPr>
              <w:tabs>
                <w:tab w:val="left" w:pos="420"/>
                <w:tab w:val="left" w:pos="705"/>
                <w:tab w:val="left" w:pos="847"/>
              </w:tabs>
              <w:ind w:right="-270"/>
              <w:rPr>
                <w:b/>
                <w:bCs/>
                <w:color w:val="000000" w:themeColor="text1"/>
                <w:sz w:val="22"/>
                <w:szCs w:val="22"/>
              </w:rPr>
            </w:pPr>
            <w:r>
              <w:rPr>
                <w:sz w:val="22"/>
                <w:szCs w:val="22"/>
              </w:rPr>
              <w:t xml:space="preserve">           </w:t>
            </w:r>
            <w:r w:rsidRPr="00CA46DC">
              <w:rPr>
                <w:sz w:val="22"/>
                <w:szCs w:val="22"/>
              </w:rPr>
              <w:t>5</w:t>
            </w:r>
          </w:p>
        </w:tc>
      </w:tr>
      <w:tr w:rsidR="00CA46DC" w:rsidRPr="00CA46DC" w14:paraId="4C753C9E" w14:textId="77777777" w:rsidTr="00AF6844">
        <w:trPr>
          <w:trHeight w:val="296"/>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14:paraId="0D5CFA70" w14:textId="77777777" w:rsidR="00CA46DC" w:rsidRPr="00CA46DC" w:rsidRDefault="00CA46DC" w:rsidP="00CA46DC">
            <w:pPr>
              <w:tabs>
                <w:tab w:val="left" w:pos="-720"/>
                <w:tab w:val="left" w:pos="2713"/>
                <w:tab w:val="left" w:pos="6866"/>
              </w:tabs>
              <w:autoSpaceDE w:val="0"/>
              <w:autoSpaceDN w:val="0"/>
              <w:adjustRightInd w:val="0"/>
              <w:rPr>
                <w:b/>
                <w:color w:val="000000" w:themeColor="text1"/>
                <w:sz w:val="22"/>
                <w:szCs w:val="22"/>
              </w:rPr>
            </w:pPr>
            <w:r w:rsidRPr="00CA46DC">
              <w:rPr>
                <w:b/>
                <w:color w:val="000000" w:themeColor="text1"/>
                <w:sz w:val="22"/>
                <w:szCs w:val="22"/>
              </w:rPr>
              <w:t>Spolu</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3004F36" w14:textId="586ADABA" w:rsidR="00CA46DC" w:rsidRPr="00CA46DC" w:rsidRDefault="00CA46DC" w:rsidP="00CA46DC">
            <w:pPr>
              <w:ind w:right="-16"/>
              <w:jc w:val="center"/>
              <w:rPr>
                <w:b/>
                <w:color w:val="000000" w:themeColor="text1"/>
                <w:sz w:val="22"/>
                <w:szCs w:val="22"/>
              </w:rPr>
            </w:pPr>
            <w:r>
              <w:rPr>
                <w:b/>
                <w:sz w:val="22"/>
                <w:szCs w:val="22"/>
              </w:rPr>
              <w:t xml:space="preserve"> </w:t>
            </w:r>
            <w:r w:rsidRPr="00CA46DC">
              <w:rPr>
                <w:b/>
                <w:sz w:val="22"/>
                <w:szCs w:val="22"/>
              </w:rPr>
              <w:t>32</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7DEBB11E" w14:textId="0B8D0726" w:rsidR="00CA46DC" w:rsidRPr="00CA46DC" w:rsidRDefault="00CA46DC" w:rsidP="00CA46DC">
            <w:pPr>
              <w:jc w:val="center"/>
              <w:rPr>
                <w:b/>
                <w:color w:val="000000" w:themeColor="text1"/>
                <w:sz w:val="22"/>
                <w:szCs w:val="22"/>
              </w:rPr>
            </w:pPr>
            <w:r w:rsidRPr="00CA46DC">
              <w:rPr>
                <w:b/>
                <w:sz w:val="22"/>
                <w:szCs w:val="22"/>
              </w:rPr>
              <w:t>123</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55F6B852" w14:textId="14B26B71" w:rsidR="00CA46DC" w:rsidRPr="00CA46DC" w:rsidRDefault="00CA46DC" w:rsidP="00CA46DC">
            <w:pPr>
              <w:jc w:val="center"/>
              <w:rPr>
                <w:b/>
                <w:color w:val="000000" w:themeColor="text1"/>
                <w:sz w:val="22"/>
                <w:szCs w:val="22"/>
              </w:rPr>
            </w:pPr>
            <w:r w:rsidRPr="00CA46DC">
              <w:rPr>
                <w:b/>
                <w:sz w:val="22"/>
                <w:szCs w:val="22"/>
              </w:rPr>
              <w:t>18</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509F555" w14:textId="5F25689F" w:rsidR="00CA46DC" w:rsidRPr="00CA46DC" w:rsidRDefault="00CA46DC" w:rsidP="00CA46DC">
            <w:pPr>
              <w:jc w:val="center"/>
              <w:rPr>
                <w:b/>
                <w:color w:val="000000" w:themeColor="text1"/>
                <w:sz w:val="22"/>
                <w:szCs w:val="22"/>
              </w:rPr>
            </w:pPr>
            <w:r>
              <w:rPr>
                <w:b/>
                <w:sz w:val="22"/>
                <w:szCs w:val="22"/>
              </w:rPr>
              <w:t xml:space="preserve"> </w:t>
            </w:r>
            <w:r w:rsidRPr="00CA46DC">
              <w:rPr>
                <w:b/>
                <w:sz w:val="22"/>
                <w:szCs w:val="22"/>
              </w:rPr>
              <w:t>16</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A15AC07" w14:textId="415D1061" w:rsidR="00CA46DC" w:rsidRPr="00CA46DC" w:rsidRDefault="00CA46DC" w:rsidP="00CA46DC">
            <w:pPr>
              <w:jc w:val="center"/>
              <w:rPr>
                <w:rStyle w:val="apple-converted-space"/>
                <w:b/>
                <w:sz w:val="22"/>
                <w:szCs w:val="22"/>
              </w:rPr>
            </w:pPr>
            <w:r w:rsidRPr="00CA46DC">
              <w:rPr>
                <w:b/>
                <w:sz w:val="22"/>
                <w:szCs w:val="22"/>
              </w:rPr>
              <w:t>189</w:t>
            </w:r>
          </w:p>
        </w:tc>
      </w:tr>
    </w:tbl>
    <w:p w14:paraId="38D0ECAF" w14:textId="77777777" w:rsidR="00ED4D0E" w:rsidRPr="00CA46DC" w:rsidRDefault="00ED4D0E" w:rsidP="00776652">
      <w:pPr>
        <w:rPr>
          <w:b/>
          <w:color w:val="000000" w:themeColor="text1"/>
          <w:sz w:val="22"/>
          <w:szCs w:val="22"/>
        </w:rPr>
      </w:pPr>
    </w:p>
    <w:p w14:paraId="3E4F86BB" w14:textId="77777777" w:rsidR="00ED4D0E" w:rsidRPr="00CB2B8B" w:rsidRDefault="00ED4D0E" w:rsidP="00CB2B8B">
      <w:pPr>
        <w:pStyle w:val="Nadpis3"/>
        <w:tabs>
          <w:tab w:val="clear" w:pos="1440"/>
          <w:tab w:val="num" w:pos="709"/>
        </w:tabs>
        <w:ind w:left="357" w:hanging="357"/>
        <w:rPr>
          <w:color w:val="000000" w:themeColor="text1"/>
        </w:rPr>
      </w:pPr>
      <w:bookmarkStart w:id="15" w:name="_Toc193697643"/>
      <w:r w:rsidRPr="00CB2B8B">
        <w:rPr>
          <w:color w:val="000000" w:themeColor="text1"/>
        </w:rPr>
        <w:t>Vynucovanie práva</w:t>
      </w:r>
      <w:bookmarkEnd w:id="15"/>
    </w:p>
    <w:p w14:paraId="79C215AB" w14:textId="77777777" w:rsidR="00ED4D0E" w:rsidRPr="00A408BF" w:rsidRDefault="00ED4D0E" w:rsidP="005B072A">
      <w:pPr>
        <w:rPr>
          <w:color w:val="000000" w:themeColor="text1"/>
        </w:rPr>
      </w:pPr>
    </w:p>
    <w:p w14:paraId="224CF82F" w14:textId="77777777" w:rsidR="007817B8" w:rsidRPr="00375F26" w:rsidRDefault="007817B8" w:rsidP="007817B8">
      <w:pPr>
        <w:jc w:val="both"/>
      </w:pPr>
      <w:r w:rsidRPr="00375F26">
        <w:t xml:space="preserve">V prípade, že inšpekčná činnosť preukáže nedostatky v niektorej z </w:t>
      </w:r>
      <w:proofErr w:type="spellStart"/>
      <w:r w:rsidRPr="00375F26">
        <w:t>dozorovaných</w:t>
      </w:r>
      <w:proofErr w:type="spellEnd"/>
      <w:r w:rsidRPr="00375F26">
        <w:t xml:space="preserve"> oblastí, v protokole z inšpekcie sa držiteľovi povolenia nariadi odstránenie nedostatkov so záväznými termínmi ich plnenia. Držiteľ povolenia je potom povinný oznámiť ÚJD SR spôsob a termín odstránenia nedostatku. Ak </w:t>
      </w:r>
      <w:proofErr w:type="spellStart"/>
      <w:r w:rsidRPr="00375F26">
        <w:t>dozorovaný</w:t>
      </w:r>
      <w:proofErr w:type="spellEnd"/>
      <w:r w:rsidRPr="00375F26">
        <w:t xml:space="preserve"> subjekt opatrenia neplní, ako aj v prípade vážneho porušenia ustanovení atómového zákona alebo požiadaviek jeho vykonávacích vyhlášok, môže ÚJD SR začať správne konanie, ktorého výsledkom môže byť:</w:t>
      </w:r>
    </w:p>
    <w:p w14:paraId="7DD9E502" w14:textId="0C98A21D" w:rsidR="007817B8" w:rsidRPr="00375F26" w:rsidRDefault="007817B8" w:rsidP="007817B8">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uloženie pokuty,</w:t>
      </w:r>
    </w:p>
    <w:p w14:paraId="2B3377F0" w14:textId="6B1E5FC0" w:rsidR="007817B8" w:rsidRPr="00375F26" w:rsidRDefault="007817B8" w:rsidP="007817B8">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obmedzenie rozsahu alebo platnosti povolenia,</w:t>
      </w:r>
    </w:p>
    <w:p w14:paraId="708CEF8D" w14:textId="0FFA1F78" w:rsidR="007817B8" w:rsidRPr="00375F26" w:rsidRDefault="007817B8" w:rsidP="007817B8">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uloženie vykonania nevyhnutných opatrení,</w:t>
      </w:r>
    </w:p>
    <w:p w14:paraId="69CEEB5B" w14:textId="59408507" w:rsidR="007817B8" w:rsidRPr="00375F26" w:rsidRDefault="007817B8" w:rsidP="007817B8">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zastavenie prevádzky JZ,</w:t>
      </w:r>
    </w:p>
    <w:p w14:paraId="4227FB11" w14:textId="72394458" w:rsidR="007817B8" w:rsidRPr="00375F26" w:rsidRDefault="007817B8" w:rsidP="007817B8">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odňatie preukazu o osobitnej odbornej spôsobilosti alebo preukazu o odbornej spôsobilosti natrvalo.</w:t>
      </w:r>
    </w:p>
    <w:p w14:paraId="12D7A26E" w14:textId="77777777" w:rsidR="007817B8" w:rsidRPr="00375F26" w:rsidRDefault="007817B8" w:rsidP="007817B8">
      <w:pPr>
        <w:jc w:val="both"/>
      </w:pPr>
    </w:p>
    <w:p w14:paraId="420B7639" w14:textId="318D5363" w:rsidR="00AD4626" w:rsidRPr="00375F26" w:rsidRDefault="00AD4626" w:rsidP="00AD4626">
      <w:pPr>
        <w:jc w:val="both"/>
      </w:pPr>
      <w:r w:rsidRPr="00375F26">
        <w:t>Za porušenie atómového zákona ÚJD SR v roku 2024 uložil dve pokuty.</w:t>
      </w:r>
      <w:r w:rsidR="0069251F">
        <w:t xml:space="preserve"> </w:t>
      </w:r>
      <w:r w:rsidRPr="00375F26">
        <w:t>Na základe nesplnenia opatrenia z inšpekcie č. 215/2019 držiteľovi povolenia, S</w:t>
      </w:r>
      <w:r w:rsidR="006B0B94">
        <w:t>E</w:t>
      </w:r>
      <w:r w:rsidRPr="00375F26">
        <w:t>, a.</w:t>
      </w:r>
      <w:r w:rsidR="00E73972">
        <w:t xml:space="preserve"> </w:t>
      </w:r>
      <w:r w:rsidRPr="00375F26">
        <w:t xml:space="preserve">s., bola uložená pokuta v sume 200 000 eur za nevykonanie opatrenia na odstránenie nedostatkov podľa § 31 ods. 11 písm. h) atómového zákona v  termíne stanovenom ÚJD SR.  </w:t>
      </w:r>
    </w:p>
    <w:p w14:paraId="4CC33CB4" w14:textId="31C13112" w:rsidR="00AD4626" w:rsidRDefault="00AD4626" w:rsidP="00AD4626">
      <w:pPr>
        <w:jc w:val="both"/>
      </w:pPr>
      <w:r w:rsidRPr="00375F26">
        <w:t>Na základe zistení v rámci inšpekcie č. 847/2023 držiteľovi povolenia, SAM INDUSTRIES</w:t>
      </w:r>
      <w:r w:rsidR="00E73972">
        <w:t>,</w:t>
      </w:r>
      <w:r w:rsidRPr="00375F26">
        <w:t xml:space="preserve"> </w:t>
      </w:r>
      <w:r w:rsidR="0069251F">
        <w:br/>
      </w:r>
      <w:r w:rsidRPr="00375F26">
        <w:t>a.  s., bola uložená pokuta v sume 2 500 eur za porušenie § 13 ods. 1 písm. a) atómového zákona.</w:t>
      </w:r>
    </w:p>
    <w:p w14:paraId="5B84418D" w14:textId="69916729" w:rsidR="00556304" w:rsidRPr="00375F26" w:rsidRDefault="00556304" w:rsidP="00AD4626">
      <w:pPr>
        <w:jc w:val="both"/>
      </w:pPr>
      <w:r>
        <w:t>Za pochybenie personálu pri reakcii na PU na EMO1 boli odobraté</w:t>
      </w:r>
      <w:r w:rsidR="00AB39BB">
        <w:t xml:space="preserve"> </w:t>
      </w:r>
      <w:r w:rsidR="00AB39BB" w:rsidRPr="00AB39BB">
        <w:t>oprávnenia osobitnej odbornej spôsobilosti a nariadené mimoriadne vzdelávanie a</w:t>
      </w:r>
      <w:r w:rsidR="00AB39BB">
        <w:t> </w:t>
      </w:r>
      <w:r w:rsidR="00AB39BB" w:rsidRPr="00AB39BB">
        <w:t>skúšky</w:t>
      </w:r>
      <w:r w:rsidR="00AB39BB">
        <w:t>.</w:t>
      </w:r>
    </w:p>
    <w:p w14:paraId="1A0E40F8" w14:textId="78FC909E" w:rsidR="00AD4626" w:rsidRPr="00375F26" w:rsidRDefault="00AD4626" w:rsidP="00AD4626">
      <w:pPr>
        <w:jc w:val="both"/>
      </w:pPr>
      <w:r w:rsidRPr="00375F26">
        <w:t>K inému porušeniu ustanovení atómového zákona alebo požiadaviek jeho vykonávacích vyhlášok vyžadujúcemu aplikovanie nástrojov na vynucovanie práva neprišlo.</w:t>
      </w:r>
    </w:p>
    <w:p w14:paraId="125EC2CE" w14:textId="21992CDE" w:rsidR="008B5359" w:rsidRPr="00375F26" w:rsidRDefault="008B5359" w:rsidP="008C76B1">
      <w:pPr>
        <w:jc w:val="both"/>
      </w:pPr>
    </w:p>
    <w:p w14:paraId="628C5C4D" w14:textId="26012118" w:rsidR="008B5359" w:rsidRPr="00375F26" w:rsidRDefault="008B5359" w:rsidP="008B5359">
      <w:pPr>
        <w:pStyle w:val="Nadpis3"/>
        <w:tabs>
          <w:tab w:val="clear" w:pos="1440"/>
          <w:tab w:val="num" w:pos="709"/>
        </w:tabs>
        <w:ind w:left="357" w:hanging="357"/>
        <w:rPr>
          <w:color w:val="000000" w:themeColor="text1"/>
        </w:rPr>
      </w:pPr>
      <w:bookmarkStart w:id="16" w:name="_Toc193697644"/>
      <w:r w:rsidRPr="00375F26">
        <w:rPr>
          <w:color w:val="000000" w:themeColor="text1"/>
        </w:rPr>
        <w:t>Rozvoj dozorných činností</w:t>
      </w:r>
      <w:bookmarkEnd w:id="16"/>
    </w:p>
    <w:p w14:paraId="3DBDF0EE" w14:textId="77777777" w:rsidR="008B5359" w:rsidRPr="00375F26" w:rsidRDefault="008B5359" w:rsidP="008B5359">
      <w:pPr>
        <w:rPr>
          <w:lang w:val="x-none" w:eastAsia="cs-CZ"/>
        </w:rPr>
      </w:pPr>
    </w:p>
    <w:p w14:paraId="6521D3D0" w14:textId="77777777" w:rsidR="009E26F2" w:rsidRPr="00492456" w:rsidRDefault="009E26F2" w:rsidP="009E26F2">
      <w:pPr>
        <w:jc w:val="both"/>
        <w:rPr>
          <w:lang w:eastAsia="cs-CZ"/>
        </w:rPr>
      </w:pPr>
      <w:r w:rsidRPr="00492456">
        <w:rPr>
          <w:lang w:eastAsia="cs-CZ"/>
        </w:rPr>
        <w:t>Udržiavanie vysokej odbornej úrovne a profesionality zamestnancov dozoru je možné aj vďaka uplatňovaniu výsledkov vedy a výskumu na ÚJD SR a výmene skúseností a poznatkov v rámci aktívnej účasti ÚJD SR v rôznych medzinárodných expertných tímoch.</w:t>
      </w:r>
    </w:p>
    <w:p w14:paraId="509AF82D" w14:textId="464A531C" w:rsidR="009E26F2" w:rsidRPr="00492456" w:rsidRDefault="009E26F2" w:rsidP="009E26F2">
      <w:pPr>
        <w:jc w:val="both"/>
        <w:rPr>
          <w:lang w:eastAsia="cs-CZ"/>
        </w:rPr>
      </w:pPr>
      <w:r w:rsidRPr="00492456">
        <w:rPr>
          <w:lang w:eastAsia="cs-CZ"/>
        </w:rPr>
        <w:t>ÚJD SR je zapojený do výskumného projektu Komisie pre jadrový dozor USA v oblasti ťažkých havárií. Vďaka účasti na projekte má ÚJD SR k dispozícii americký výpočtový program MELCOR (angl.</w:t>
      </w:r>
      <w:r w:rsidR="00C26990" w:rsidRPr="00E73972">
        <w:rPr>
          <w:lang w:eastAsia="cs-CZ"/>
        </w:rPr>
        <w:t xml:space="preserve"> </w:t>
      </w:r>
      <w:r w:rsidRPr="00492456">
        <w:rPr>
          <w:lang w:eastAsia="cs-CZ"/>
        </w:rPr>
        <w:t>„</w:t>
      </w:r>
      <w:proofErr w:type="spellStart"/>
      <w:r w:rsidRPr="00492456">
        <w:rPr>
          <w:lang w:eastAsia="cs-CZ"/>
        </w:rPr>
        <w:t>MELting</w:t>
      </w:r>
      <w:proofErr w:type="spellEnd"/>
      <w:r w:rsidRPr="00492456">
        <w:rPr>
          <w:lang w:eastAsia="cs-CZ"/>
        </w:rPr>
        <w:t xml:space="preserve"> </w:t>
      </w:r>
      <w:proofErr w:type="spellStart"/>
      <w:r w:rsidRPr="00492456">
        <w:rPr>
          <w:lang w:eastAsia="cs-CZ"/>
        </w:rPr>
        <w:t>CORe</w:t>
      </w:r>
      <w:proofErr w:type="spellEnd"/>
      <w:r w:rsidRPr="00492456">
        <w:rPr>
          <w:lang w:eastAsia="cs-CZ"/>
        </w:rPr>
        <w:t xml:space="preserve">“) a jeho doplnkový nástroj MACCS (angl. „MELCOR </w:t>
      </w:r>
      <w:proofErr w:type="spellStart"/>
      <w:r w:rsidRPr="00492456">
        <w:rPr>
          <w:lang w:eastAsia="cs-CZ"/>
        </w:rPr>
        <w:t>Accident</w:t>
      </w:r>
      <w:proofErr w:type="spellEnd"/>
      <w:r w:rsidRPr="00492456">
        <w:rPr>
          <w:lang w:eastAsia="cs-CZ"/>
        </w:rPr>
        <w:t xml:space="preserve"> </w:t>
      </w:r>
      <w:proofErr w:type="spellStart"/>
      <w:r w:rsidRPr="00492456">
        <w:rPr>
          <w:lang w:eastAsia="cs-CZ"/>
        </w:rPr>
        <w:t>Consequence</w:t>
      </w:r>
      <w:proofErr w:type="spellEnd"/>
      <w:r w:rsidRPr="00492456">
        <w:rPr>
          <w:lang w:eastAsia="cs-CZ"/>
        </w:rPr>
        <w:t xml:space="preserve"> </w:t>
      </w:r>
      <w:proofErr w:type="spellStart"/>
      <w:r w:rsidRPr="00492456">
        <w:rPr>
          <w:lang w:eastAsia="cs-CZ"/>
        </w:rPr>
        <w:t>Code</w:t>
      </w:r>
      <w:proofErr w:type="spellEnd"/>
      <w:r w:rsidRPr="00492456">
        <w:rPr>
          <w:lang w:eastAsia="cs-CZ"/>
        </w:rPr>
        <w:t xml:space="preserve"> </w:t>
      </w:r>
      <w:proofErr w:type="spellStart"/>
      <w:r w:rsidRPr="00492456">
        <w:rPr>
          <w:lang w:eastAsia="cs-CZ"/>
        </w:rPr>
        <w:t>System</w:t>
      </w:r>
      <w:proofErr w:type="spellEnd"/>
      <w:r w:rsidRPr="00492456">
        <w:rPr>
          <w:lang w:eastAsia="cs-CZ"/>
        </w:rPr>
        <w:t xml:space="preserve">“). Používa ich na overovacie výpočty analýz ťažkých havárií, ktoré držitelia povolenia predkladajú ÚJD SR v rámci správnych konaní. Počas pracovných stretnutí projektu si jeho členovia vymieňajú skúsenosti a poznatky v oblasti modelovania ťažkých havárií a hodnotenia reakcií JZ na havárie. </w:t>
      </w:r>
    </w:p>
    <w:p w14:paraId="13FCF952" w14:textId="2E0F267A" w:rsidR="009E26F2" w:rsidRPr="00492456" w:rsidRDefault="009E26F2" w:rsidP="009E26F2">
      <w:pPr>
        <w:jc w:val="both"/>
        <w:rPr>
          <w:lang w:eastAsia="cs-CZ"/>
        </w:rPr>
      </w:pPr>
      <w:r w:rsidRPr="00492456">
        <w:rPr>
          <w:lang w:eastAsia="cs-CZ"/>
        </w:rPr>
        <w:t xml:space="preserve">ÚJD SR získava skúsenosti a technické informácie aj účasťou v medzinárodných projektoch a pracovných skupinách </w:t>
      </w:r>
      <w:r w:rsidR="00C26990" w:rsidRPr="00E73972">
        <w:rPr>
          <w:lang w:eastAsia="cs-CZ"/>
        </w:rPr>
        <w:t>Agentúry pre jadrovú energiu pri Organizácii pre ekonomickú spoluprácu a rozvoj (ďalej len „</w:t>
      </w:r>
      <w:r w:rsidRPr="00492456">
        <w:rPr>
          <w:lang w:eastAsia="cs-CZ"/>
        </w:rPr>
        <w:t>OECD/NEA</w:t>
      </w:r>
      <w:r w:rsidR="00C26990" w:rsidRPr="00E73972">
        <w:rPr>
          <w:lang w:eastAsia="cs-CZ"/>
        </w:rPr>
        <w:t>“)</w:t>
      </w:r>
      <w:r w:rsidRPr="00492456">
        <w:rPr>
          <w:lang w:eastAsia="cs-CZ"/>
        </w:rPr>
        <w:t>. V rámci tzv. spoločných projektov (angl. „</w:t>
      </w:r>
      <w:proofErr w:type="spellStart"/>
      <w:r w:rsidRPr="00492456">
        <w:rPr>
          <w:lang w:eastAsia="cs-CZ"/>
        </w:rPr>
        <w:t>joint</w:t>
      </w:r>
      <w:proofErr w:type="spellEnd"/>
      <w:r w:rsidRPr="00492456">
        <w:rPr>
          <w:lang w:eastAsia="cs-CZ"/>
        </w:rPr>
        <w:t xml:space="preserve"> </w:t>
      </w:r>
      <w:proofErr w:type="spellStart"/>
      <w:r w:rsidRPr="00492456">
        <w:rPr>
          <w:lang w:eastAsia="cs-CZ"/>
        </w:rPr>
        <w:t>projects</w:t>
      </w:r>
      <w:proofErr w:type="spellEnd"/>
      <w:r w:rsidRPr="00492456">
        <w:rPr>
          <w:lang w:eastAsia="cs-CZ"/>
        </w:rPr>
        <w:t xml:space="preserve">“) pracovnej skupiny WGAMA (pracovná skupina analýz a riadenia havárií, angl. „WG on </w:t>
      </w:r>
      <w:proofErr w:type="spellStart"/>
      <w:r w:rsidRPr="00492456">
        <w:rPr>
          <w:lang w:eastAsia="cs-CZ"/>
        </w:rPr>
        <w:t>the</w:t>
      </w:r>
      <w:proofErr w:type="spellEnd"/>
      <w:r w:rsidRPr="00492456">
        <w:rPr>
          <w:lang w:eastAsia="cs-CZ"/>
        </w:rPr>
        <w:t xml:space="preserve"> </w:t>
      </w:r>
      <w:proofErr w:type="spellStart"/>
      <w:r w:rsidRPr="00492456">
        <w:rPr>
          <w:lang w:eastAsia="cs-CZ"/>
        </w:rPr>
        <w:t>Analysis</w:t>
      </w:r>
      <w:proofErr w:type="spellEnd"/>
      <w:r w:rsidRPr="00492456">
        <w:rPr>
          <w:lang w:eastAsia="cs-CZ"/>
        </w:rPr>
        <w:t xml:space="preserve"> and Management of </w:t>
      </w:r>
      <w:proofErr w:type="spellStart"/>
      <w:r w:rsidRPr="00492456">
        <w:rPr>
          <w:lang w:eastAsia="cs-CZ"/>
        </w:rPr>
        <w:t>Accidents</w:t>
      </w:r>
      <w:proofErr w:type="spellEnd"/>
      <w:r w:rsidRPr="00492456">
        <w:rPr>
          <w:lang w:eastAsia="cs-CZ"/>
        </w:rPr>
        <w:t>“) bol ÚJD SR od novembra 2020 zapojený do</w:t>
      </w:r>
      <w:r w:rsidRPr="00375F26">
        <w:rPr>
          <w:lang w:val="x-none" w:eastAsia="cs-CZ"/>
        </w:rPr>
        <w:t xml:space="preserve"> </w:t>
      </w:r>
      <w:r w:rsidRPr="00492456">
        <w:rPr>
          <w:lang w:eastAsia="cs-CZ"/>
        </w:rPr>
        <w:t xml:space="preserve">experimentálneho projektu THEMIS (t. j. THAI </w:t>
      </w:r>
      <w:proofErr w:type="spellStart"/>
      <w:r w:rsidRPr="00492456">
        <w:rPr>
          <w:lang w:eastAsia="cs-CZ"/>
        </w:rPr>
        <w:t>Experiments</w:t>
      </w:r>
      <w:proofErr w:type="spellEnd"/>
      <w:r w:rsidRPr="00492456">
        <w:rPr>
          <w:lang w:eastAsia="cs-CZ"/>
        </w:rPr>
        <w:t xml:space="preserve"> on </w:t>
      </w:r>
      <w:proofErr w:type="spellStart"/>
      <w:r w:rsidRPr="00492456">
        <w:rPr>
          <w:lang w:eastAsia="cs-CZ"/>
        </w:rPr>
        <w:t>Mitigation</w:t>
      </w:r>
      <w:proofErr w:type="spellEnd"/>
      <w:r w:rsidRPr="00492456">
        <w:rPr>
          <w:lang w:eastAsia="cs-CZ"/>
        </w:rPr>
        <w:t xml:space="preserve"> </w:t>
      </w:r>
      <w:proofErr w:type="spellStart"/>
      <w:r w:rsidRPr="00492456">
        <w:rPr>
          <w:lang w:eastAsia="cs-CZ"/>
        </w:rPr>
        <w:t>measures</w:t>
      </w:r>
      <w:proofErr w:type="spellEnd"/>
      <w:r w:rsidRPr="00492456">
        <w:rPr>
          <w:lang w:eastAsia="cs-CZ"/>
        </w:rPr>
        <w:t xml:space="preserve">, and </w:t>
      </w:r>
      <w:proofErr w:type="spellStart"/>
      <w:r w:rsidRPr="00492456">
        <w:rPr>
          <w:lang w:eastAsia="cs-CZ"/>
        </w:rPr>
        <w:t>source</w:t>
      </w:r>
      <w:proofErr w:type="spellEnd"/>
      <w:r w:rsidRPr="00492456">
        <w:rPr>
          <w:lang w:eastAsia="cs-CZ"/>
        </w:rPr>
        <w:t xml:space="preserve"> term </w:t>
      </w:r>
      <w:proofErr w:type="spellStart"/>
      <w:r w:rsidRPr="00492456">
        <w:rPr>
          <w:lang w:eastAsia="cs-CZ"/>
        </w:rPr>
        <w:t>issues</w:t>
      </w:r>
      <w:proofErr w:type="spellEnd"/>
      <w:r w:rsidRPr="00492456">
        <w:rPr>
          <w:lang w:eastAsia="cs-CZ"/>
        </w:rPr>
        <w:t xml:space="preserve"> to </w:t>
      </w:r>
      <w:proofErr w:type="spellStart"/>
      <w:r w:rsidRPr="00492456">
        <w:rPr>
          <w:lang w:eastAsia="cs-CZ"/>
        </w:rPr>
        <w:t>support</w:t>
      </w:r>
      <w:proofErr w:type="spellEnd"/>
      <w:r w:rsidRPr="00492456">
        <w:rPr>
          <w:lang w:eastAsia="cs-CZ"/>
        </w:rPr>
        <w:t xml:space="preserve"> </w:t>
      </w:r>
      <w:proofErr w:type="spellStart"/>
      <w:r w:rsidRPr="00492456">
        <w:rPr>
          <w:lang w:eastAsia="cs-CZ"/>
        </w:rPr>
        <w:t>analysis</w:t>
      </w:r>
      <w:proofErr w:type="spellEnd"/>
      <w:r w:rsidRPr="00492456">
        <w:rPr>
          <w:lang w:eastAsia="cs-CZ"/>
        </w:rPr>
        <w:t xml:space="preserve"> and </w:t>
      </w:r>
      <w:proofErr w:type="spellStart"/>
      <w:r w:rsidRPr="00492456">
        <w:rPr>
          <w:lang w:eastAsia="cs-CZ"/>
        </w:rPr>
        <w:t>further</w:t>
      </w:r>
      <w:proofErr w:type="spellEnd"/>
      <w:r w:rsidRPr="00492456">
        <w:rPr>
          <w:lang w:eastAsia="cs-CZ"/>
        </w:rPr>
        <w:t xml:space="preserve"> </w:t>
      </w:r>
      <w:proofErr w:type="spellStart"/>
      <w:r w:rsidRPr="00492456">
        <w:rPr>
          <w:lang w:eastAsia="cs-CZ"/>
        </w:rPr>
        <w:t>Improvement</w:t>
      </w:r>
      <w:proofErr w:type="spellEnd"/>
      <w:r w:rsidRPr="00492456">
        <w:rPr>
          <w:lang w:eastAsia="cs-CZ"/>
        </w:rPr>
        <w:t xml:space="preserve"> of Severe </w:t>
      </w:r>
      <w:proofErr w:type="spellStart"/>
      <w:r w:rsidRPr="00492456">
        <w:rPr>
          <w:lang w:eastAsia="cs-CZ"/>
        </w:rPr>
        <w:t>accident</w:t>
      </w:r>
      <w:proofErr w:type="spellEnd"/>
      <w:r w:rsidRPr="00492456">
        <w:rPr>
          <w:lang w:eastAsia="cs-CZ"/>
        </w:rPr>
        <w:t xml:space="preserve"> management </w:t>
      </w:r>
      <w:proofErr w:type="spellStart"/>
      <w:r w:rsidRPr="00492456">
        <w:rPr>
          <w:lang w:eastAsia="cs-CZ"/>
        </w:rPr>
        <w:t>measures</w:t>
      </w:r>
      <w:proofErr w:type="spellEnd"/>
      <w:r w:rsidRPr="00492456">
        <w:rPr>
          <w:lang w:eastAsia="cs-CZ"/>
        </w:rPr>
        <w:t>). Jeho cieľom bolo experimentálne a analytické skúmanie procesov a javov neskorej fázy ťažkých havárií so zameraním sa na správanie typických horľavých/výbušných plynov a štiepnych produktov v priestoroch ochrannej obálky reaktorov. Projekt mal pôvodne trvať do 30.</w:t>
      </w:r>
      <w:r w:rsidR="00D26519" w:rsidRPr="001E0901">
        <w:rPr>
          <w:lang w:eastAsia="cs-CZ"/>
        </w:rPr>
        <w:t xml:space="preserve"> 4. </w:t>
      </w:r>
      <w:r w:rsidRPr="00492456">
        <w:rPr>
          <w:lang w:eastAsia="cs-CZ"/>
        </w:rPr>
        <w:t xml:space="preserve">2024. Všetky plánované experimenty boli k tomuto termínu úspešne zrealizované. </w:t>
      </w:r>
      <w:r w:rsidRPr="00492456">
        <w:rPr>
          <w:lang w:eastAsia="cs-CZ"/>
        </w:rPr>
        <w:lastRenderedPageBreak/>
        <w:t xml:space="preserve">Členovia riadiaceho výboru na záverečnom zasadaní v apríli schválili bezodplatné (teda bez ďalších finančných nákladov pre existujúcich partnerov) predĺženie projektu do konca septembra 2024, neskôr, na žiadosť sekretariátu THEMIS, až do konca roku 2024. V priebehu mája až septembra 2024 boli postupne vydané zostávajúce technické dokumenty. Riadiaci výbor schválil aj 3-ročnú lehotu obmedzujúcu prístup k výsledkom projektu iba na partnerov projektu (do júla 2027). Počas tejto lehoty musí prípadný prístup iných záujemcov k výsledkom schváliť riadiaci výbor. Na záverečnom zasadaní orgánov projektu sa uskutočnila aj tretia diskusia o potenciálnom pokračovaní projektu THEMIS formou fázy II. ÚJD SR je aktívne zapojený aj do činnosti skupiny na vedenie k bezpečnosti a kultúru bezpečnosti WGLSC (angl. „WG on </w:t>
      </w:r>
      <w:proofErr w:type="spellStart"/>
      <w:r w:rsidRPr="00492456">
        <w:rPr>
          <w:lang w:eastAsia="cs-CZ"/>
        </w:rPr>
        <w:t>Leadership</w:t>
      </w:r>
      <w:proofErr w:type="spellEnd"/>
      <w:r w:rsidRPr="00492456">
        <w:rPr>
          <w:lang w:eastAsia="cs-CZ"/>
        </w:rPr>
        <w:t xml:space="preserve"> and </w:t>
      </w:r>
      <w:proofErr w:type="spellStart"/>
      <w:r w:rsidRPr="00492456">
        <w:rPr>
          <w:lang w:eastAsia="cs-CZ"/>
        </w:rPr>
        <w:t>Safety</w:t>
      </w:r>
      <w:proofErr w:type="spellEnd"/>
      <w:r w:rsidRPr="00492456">
        <w:rPr>
          <w:lang w:eastAsia="cs-CZ"/>
        </w:rPr>
        <w:t xml:space="preserve"> </w:t>
      </w:r>
      <w:proofErr w:type="spellStart"/>
      <w:r w:rsidRPr="00492456">
        <w:rPr>
          <w:lang w:eastAsia="cs-CZ"/>
        </w:rPr>
        <w:t>Culture</w:t>
      </w:r>
      <w:proofErr w:type="spellEnd"/>
      <w:r w:rsidRPr="00492456">
        <w:rPr>
          <w:lang w:eastAsia="cs-CZ"/>
        </w:rPr>
        <w:t>“). V roku 2024 boli dve pracovné stretnutia tejto skupiny. V rámci jesenného stretnutia sa uskutočnil aj mini-workshop o zodpovednostne orientovanom prístupe a o predpisovo orientovanom prístupe k regulácii. Pracovné skupiny OECD/NEA organizujú aj rôzne medzinárodné konferencie, semináre a pracovné stretnutia zamerané na riešenie aktuálnych otázok bezpečnosti JZ, výmenu skúseností a vzájomnú pomoc. Experti ÚJD SR sa aktívne zapájajú do prípravy a posudzovania mnohých odborných referátov, návrhov a koncepcií. Prispieva to k ich ďalšiemu odbornému rastu, informovanosti a výmene poznatkov a skúseností v oblasti zvyšovania jadrovej bezpečnosti.</w:t>
      </w:r>
    </w:p>
    <w:p w14:paraId="660222CE" w14:textId="17664767" w:rsidR="009E26F2" w:rsidRPr="00492456" w:rsidRDefault="009E26F2" w:rsidP="009E26F2">
      <w:pPr>
        <w:jc w:val="both"/>
        <w:rPr>
          <w:lang w:eastAsia="cs-CZ"/>
        </w:rPr>
      </w:pPr>
      <w:r w:rsidRPr="00492456">
        <w:rPr>
          <w:lang w:eastAsia="cs-CZ"/>
        </w:rPr>
        <w:t>ÚJD SR v rámci medzinárodnej spolupráce v oblasti jadrovej bezpečnosti pomáha aj pri rozvoji jadrových dozorných orgánov iných krajín. Príkladom takejto pomoci sú projekty EK na podporu Úradu jadrového dozoru Iránu (</w:t>
      </w:r>
      <w:proofErr w:type="spellStart"/>
      <w:r w:rsidRPr="00492456">
        <w:rPr>
          <w:lang w:eastAsia="cs-CZ"/>
        </w:rPr>
        <w:t>Iranian</w:t>
      </w:r>
      <w:proofErr w:type="spellEnd"/>
      <w:r w:rsidRPr="00492456">
        <w:rPr>
          <w:lang w:eastAsia="cs-CZ"/>
        </w:rPr>
        <w:t xml:space="preserve"> </w:t>
      </w:r>
      <w:proofErr w:type="spellStart"/>
      <w:r w:rsidRPr="00492456">
        <w:rPr>
          <w:lang w:eastAsia="cs-CZ"/>
        </w:rPr>
        <w:t>Nuclear</w:t>
      </w:r>
      <w:proofErr w:type="spellEnd"/>
      <w:r w:rsidRPr="00492456">
        <w:rPr>
          <w:lang w:eastAsia="cs-CZ"/>
        </w:rPr>
        <w:t xml:space="preserve"> </w:t>
      </w:r>
      <w:proofErr w:type="spellStart"/>
      <w:r w:rsidRPr="00492456">
        <w:rPr>
          <w:lang w:eastAsia="cs-CZ"/>
        </w:rPr>
        <w:t>Regulatory</w:t>
      </w:r>
      <w:proofErr w:type="spellEnd"/>
      <w:r w:rsidRPr="00492456">
        <w:rPr>
          <w:lang w:eastAsia="cs-CZ"/>
        </w:rPr>
        <w:t xml:space="preserve"> </w:t>
      </w:r>
      <w:proofErr w:type="spellStart"/>
      <w:r w:rsidRPr="00492456">
        <w:rPr>
          <w:lang w:eastAsia="cs-CZ"/>
        </w:rPr>
        <w:t>Authority</w:t>
      </w:r>
      <w:proofErr w:type="spellEnd"/>
      <w:r w:rsidRPr="00492456">
        <w:rPr>
          <w:lang w:eastAsia="cs-CZ"/>
        </w:rPr>
        <w:t xml:space="preserve">, </w:t>
      </w:r>
      <w:r w:rsidR="001A14BD" w:rsidRPr="001E0901">
        <w:rPr>
          <w:lang w:eastAsia="cs-CZ"/>
        </w:rPr>
        <w:t>ďalej len „</w:t>
      </w:r>
      <w:r w:rsidRPr="00492456">
        <w:rPr>
          <w:lang w:eastAsia="cs-CZ"/>
        </w:rPr>
        <w:t>INRA</w:t>
      </w:r>
      <w:r w:rsidR="001A14BD" w:rsidRPr="001E0901">
        <w:rPr>
          <w:lang w:eastAsia="cs-CZ"/>
        </w:rPr>
        <w:t>“</w:t>
      </w:r>
      <w:r w:rsidRPr="00492456">
        <w:rPr>
          <w:lang w:eastAsia="cs-CZ"/>
        </w:rPr>
        <w:t>), Úradu jadrového dozoru Ghany (</w:t>
      </w:r>
      <w:proofErr w:type="spellStart"/>
      <w:r w:rsidRPr="00492456">
        <w:rPr>
          <w:lang w:eastAsia="cs-CZ"/>
        </w:rPr>
        <w:t>Nuclear</w:t>
      </w:r>
      <w:proofErr w:type="spellEnd"/>
      <w:r w:rsidRPr="00492456">
        <w:rPr>
          <w:lang w:eastAsia="cs-CZ"/>
        </w:rPr>
        <w:t xml:space="preserve"> </w:t>
      </w:r>
      <w:proofErr w:type="spellStart"/>
      <w:r w:rsidRPr="00492456">
        <w:rPr>
          <w:lang w:eastAsia="cs-CZ"/>
        </w:rPr>
        <w:t>Regulatory</w:t>
      </w:r>
      <w:proofErr w:type="spellEnd"/>
      <w:r w:rsidRPr="00492456">
        <w:rPr>
          <w:lang w:eastAsia="cs-CZ"/>
        </w:rPr>
        <w:t xml:space="preserve"> </w:t>
      </w:r>
      <w:proofErr w:type="spellStart"/>
      <w:r w:rsidRPr="00492456">
        <w:rPr>
          <w:lang w:eastAsia="cs-CZ"/>
        </w:rPr>
        <w:t>Authority</w:t>
      </w:r>
      <w:proofErr w:type="spellEnd"/>
      <w:r w:rsidRPr="00492456">
        <w:rPr>
          <w:lang w:eastAsia="cs-CZ"/>
        </w:rPr>
        <w:t>, Ghana) a Úradu jadrového dozoru Turecka (</w:t>
      </w:r>
      <w:proofErr w:type="spellStart"/>
      <w:r w:rsidRPr="00492456">
        <w:rPr>
          <w:lang w:eastAsia="cs-CZ"/>
        </w:rPr>
        <w:t>Nuclear</w:t>
      </w:r>
      <w:proofErr w:type="spellEnd"/>
      <w:r w:rsidRPr="00492456">
        <w:rPr>
          <w:lang w:eastAsia="cs-CZ"/>
        </w:rPr>
        <w:t xml:space="preserve"> </w:t>
      </w:r>
      <w:proofErr w:type="spellStart"/>
      <w:r w:rsidRPr="00492456">
        <w:rPr>
          <w:lang w:eastAsia="cs-CZ"/>
        </w:rPr>
        <w:t>Regulatory</w:t>
      </w:r>
      <w:proofErr w:type="spellEnd"/>
      <w:r w:rsidRPr="00492456">
        <w:rPr>
          <w:lang w:eastAsia="cs-CZ"/>
        </w:rPr>
        <w:t xml:space="preserve"> </w:t>
      </w:r>
      <w:proofErr w:type="spellStart"/>
      <w:r w:rsidRPr="00492456">
        <w:rPr>
          <w:lang w:eastAsia="cs-CZ"/>
        </w:rPr>
        <w:t>Authority</w:t>
      </w:r>
      <w:proofErr w:type="spellEnd"/>
      <w:r w:rsidRPr="00492456">
        <w:rPr>
          <w:lang w:eastAsia="cs-CZ"/>
        </w:rPr>
        <w:t>,</w:t>
      </w:r>
      <w:r w:rsidR="00492456">
        <w:rPr>
          <w:lang w:eastAsia="cs-CZ"/>
        </w:rPr>
        <w:t xml:space="preserve"> </w:t>
      </w:r>
      <w:r w:rsidR="001A14BD" w:rsidRPr="001E0901">
        <w:rPr>
          <w:lang w:eastAsia="cs-CZ"/>
        </w:rPr>
        <w:t>ďalej len „</w:t>
      </w:r>
      <w:r w:rsidRPr="00492456">
        <w:rPr>
          <w:lang w:eastAsia="cs-CZ"/>
        </w:rPr>
        <w:t>NDK</w:t>
      </w:r>
      <w:r w:rsidR="001A14BD" w:rsidRPr="001E0901">
        <w:rPr>
          <w:lang w:eastAsia="cs-CZ"/>
        </w:rPr>
        <w:t>“</w:t>
      </w:r>
      <w:r w:rsidRPr="00492456">
        <w:rPr>
          <w:lang w:eastAsia="cs-CZ"/>
        </w:rPr>
        <w:t>) a jeho technických podporných organizácií (</w:t>
      </w:r>
      <w:r w:rsidR="00E9573A" w:rsidRPr="001E0901">
        <w:rPr>
          <w:lang w:eastAsia="cs-CZ"/>
        </w:rPr>
        <w:t>ďalej len „</w:t>
      </w:r>
      <w:r w:rsidRPr="00492456">
        <w:rPr>
          <w:lang w:eastAsia="cs-CZ"/>
        </w:rPr>
        <w:t>TSO</w:t>
      </w:r>
      <w:r w:rsidR="00E9573A" w:rsidRPr="001E0901">
        <w:rPr>
          <w:lang w:eastAsia="cs-CZ"/>
        </w:rPr>
        <w:t>“</w:t>
      </w:r>
      <w:r w:rsidRPr="00492456">
        <w:rPr>
          <w:lang w:eastAsia="cs-CZ"/>
        </w:rPr>
        <w:t>). Ich cieľom je zvyšovanie schopností dozorov tretích krajín v oblasti jadrovej a radiačnej bezpečnosti prostredníctvom výmeny skúseností a podpory využitia najlepšej medzinárodnej praxe. Do projektov EK je ÚJD SR zapojený v rámci konzorcia s firmou ENCO a viacerými partnerskými dozormi krajín EÚ. V projekte na podporu INRA sú okrem ÚJD SR dozory Českej republiky, Maďarska a Slovinska. V projekte podporujúcom dozor Ghany sú dozory Maďarska a Slovinska. V rámci projektov na podporu INRA a NRA Ghany nevykonával ÚJD SR v roku 2024 žiadne aktivity. Do projektu EK podporujúcom turecký jadrový dozor NDK a jeho TSO pri uvádzaní novej JE do prevádzky je zapojené široké spektrum organizácií. Okrem ÚJD SR sú to dozory a ich TSO z Maďarska, Slovinska, ako aj TSO z Českej republiky (ÚJV, SÚRO), Fínska (STUK International) a Nemecka (TUEV-</w:t>
      </w:r>
      <w:proofErr w:type="spellStart"/>
      <w:r w:rsidRPr="00492456">
        <w:rPr>
          <w:lang w:eastAsia="cs-CZ"/>
        </w:rPr>
        <w:t>Nord</w:t>
      </w:r>
      <w:proofErr w:type="spellEnd"/>
      <w:r w:rsidRPr="00492456">
        <w:rPr>
          <w:lang w:eastAsia="cs-CZ"/>
        </w:rPr>
        <w:t>). V rámci tohto projektu sa v roku 2024 realizovalo množstvo aktivít s priamou účasťou expertov ÚJD SR. Bol to napr. workshop o dozornom rámci pre uvádzanie JE do prevádzky (angl. „</w:t>
      </w:r>
      <w:proofErr w:type="spellStart"/>
      <w:r w:rsidRPr="00492456">
        <w:rPr>
          <w:lang w:eastAsia="cs-CZ"/>
        </w:rPr>
        <w:t>Regulatory</w:t>
      </w:r>
      <w:proofErr w:type="spellEnd"/>
      <w:r w:rsidRPr="00492456">
        <w:rPr>
          <w:lang w:eastAsia="cs-CZ"/>
        </w:rPr>
        <w:t xml:space="preserve"> </w:t>
      </w:r>
      <w:proofErr w:type="spellStart"/>
      <w:r w:rsidRPr="00492456">
        <w:rPr>
          <w:lang w:eastAsia="cs-CZ"/>
        </w:rPr>
        <w:t>framework</w:t>
      </w:r>
      <w:proofErr w:type="spellEnd"/>
      <w:r w:rsidRPr="00492456">
        <w:rPr>
          <w:lang w:eastAsia="cs-CZ"/>
        </w:rPr>
        <w:t xml:space="preserve"> </w:t>
      </w:r>
      <w:proofErr w:type="spellStart"/>
      <w:r w:rsidRPr="00492456">
        <w:rPr>
          <w:lang w:eastAsia="cs-CZ"/>
        </w:rPr>
        <w:t>for</w:t>
      </w:r>
      <w:proofErr w:type="spellEnd"/>
      <w:r w:rsidRPr="00492456">
        <w:rPr>
          <w:lang w:eastAsia="cs-CZ"/>
        </w:rPr>
        <w:t xml:space="preserve"> NPP </w:t>
      </w:r>
      <w:proofErr w:type="spellStart"/>
      <w:r w:rsidRPr="00492456">
        <w:rPr>
          <w:lang w:eastAsia="cs-CZ"/>
        </w:rPr>
        <w:t>commissioning</w:t>
      </w:r>
      <w:proofErr w:type="spellEnd"/>
      <w:r w:rsidRPr="00492456">
        <w:rPr>
          <w:lang w:eastAsia="cs-CZ"/>
        </w:rPr>
        <w:t>“), či dva turnusy školenia so zameraním na previerku a hodnotenie bezpečnostných zdôvodnení na podporu uvádzania do prevádzky (angl. „</w:t>
      </w:r>
      <w:proofErr w:type="spellStart"/>
      <w:r w:rsidRPr="00492456">
        <w:rPr>
          <w:lang w:eastAsia="cs-CZ"/>
        </w:rPr>
        <w:t>Training</w:t>
      </w:r>
      <w:proofErr w:type="spellEnd"/>
      <w:r w:rsidRPr="00492456">
        <w:rPr>
          <w:lang w:eastAsia="cs-CZ"/>
        </w:rPr>
        <w:t xml:space="preserve"> </w:t>
      </w:r>
      <w:proofErr w:type="spellStart"/>
      <w:r w:rsidRPr="00492456">
        <w:rPr>
          <w:lang w:eastAsia="cs-CZ"/>
        </w:rPr>
        <w:t>course</w:t>
      </w:r>
      <w:proofErr w:type="spellEnd"/>
      <w:r w:rsidRPr="00492456">
        <w:rPr>
          <w:lang w:eastAsia="cs-CZ"/>
        </w:rPr>
        <w:t xml:space="preserve"> on </w:t>
      </w:r>
      <w:proofErr w:type="spellStart"/>
      <w:r w:rsidRPr="00492456">
        <w:rPr>
          <w:lang w:eastAsia="cs-CZ"/>
        </w:rPr>
        <w:t>regulatory</w:t>
      </w:r>
      <w:proofErr w:type="spellEnd"/>
      <w:r w:rsidRPr="00492456">
        <w:rPr>
          <w:lang w:eastAsia="cs-CZ"/>
        </w:rPr>
        <w:t xml:space="preserve"> </w:t>
      </w:r>
      <w:proofErr w:type="spellStart"/>
      <w:r w:rsidRPr="00492456">
        <w:rPr>
          <w:lang w:eastAsia="cs-CZ"/>
        </w:rPr>
        <w:t>review</w:t>
      </w:r>
      <w:proofErr w:type="spellEnd"/>
      <w:r w:rsidRPr="00492456">
        <w:rPr>
          <w:lang w:eastAsia="cs-CZ"/>
        </w:rPr>
        <w:t xml:space="preserve"> of </w:t>
      </w:r>
      <w:proofErr w:type="spellStart"/>
      <w:r w:rsidRPr="00492456">
        <w:rPr>
          <w:lang w:eastAsia="cs-CZ"/>
        </w:rPr>
        <w:t>safety</w:t>
      </w:r>
      <w:proofErr w:type="spellEnd"/>
      <w:r w:rsidRPr="00492456">
        <w:rPr>
          <w:lang w:eastAsia="cs-CZ"/>
        </w:rPr>
        <w:t xml:space="preserve"> </w:t>
      </w:r>
      <w:proofErr w:type="spellStart"/>
      <w:r w:rsidRPr="00492456">
        <w:rPr>
          <w:lang w:eastAsia="cs-CZ"/>
        </w:rPr>
        <w:t>justifications</w:t>
      </w:r>
      <w:proofErr w:type="spellEnd"/>
      <w:r w:rsidRPr="00492456">
        <w:rPr>
          <w:lang w:eastAsia="cs-CZ"/>
        </w:rPr>
        <w:t xml:space="preserve"> in </w:t>
      </w:r>
      <w:proofErr w:type="spellStart"/>
      <w:r w:rsidRPr="00492456">
        <w:rPr>
          <w:lang w:eastAsia="cs-CZ"/>
        </w:rPr>
        <w:t>commissioning</w:t>
      </w:r>
      <w:proofErr w:type="spellEnd"/>
      <w:r w:rsidRPr="00492456">
        <w:rPr>
          <w:lang w:eastAsia="cs-CZ"/>
        </w:rPr>
        <w:t>“). Uskutočnili aj dve školenia tureckých špecialistov na pracoviskách na Slovensku, tzv. „on-</w:t>
      </w:r>
      <w:proofErr w:type="spellStart"/>
      <w:r w:rsidRPr="00492456">
        <w:rPr>
          <w:lang w:eastAsia="cs-CZ"/>
        </w:rPr>
        <w:t>job</w:t>
      </w:r>
      <w:proofErr w:type="spellEnd"/>
      <w:r w:rsidRPr="00492456">
        <w:rPr>
          <w:lang w:eastAsia="cs-CZ"/>
        </w:rPr>
        <w:t xml:space="preserve"> </w:t>
      </w:r>
      <w:proofErr w:type="spellStart"/>
      <w:r w:rsidRPr="00492456">
        <w:rPr>
          <w:lang w:eastAsia="cs-CZ"/>
        </w:rPr>
        <w:t>training</w:t>
      </w:r>
      <w:proofErr w:type="spellEnd"/>
      <w:r w:rsidRPr="00492456">
        <w:rPr>
          <w:lang w:eastAsia="cs-CZ"/>
        </w:rPr>
        <w:t>“. V septembri bolo školenie na pracovisku ÚJD SR v Bratislave a v JE Mochovce zamerané na vykonávanie previerok a hodnotenia dozorom počas uvádzania do prevádzky. V decembri to bolo školenie v oblasti dozorných činností súvisiacich s prvým zavezením jadrového paliva do reaktora a nasledujúcimi vsádzkami (na pracovisku ÚJD SR v Bratislave). Medzi aktivitami v roku 2024 bola aj previerka existujúceho dozorného rámca Turecka pre etapu uvádzania do prevádzky, dotazníkový prieskum na vybrané témy (napr. kvalifikácia personálu, kultúra bezpečnosti, rozhodovanie na základe rizika atď.), či podpora NDK pri vývoji a zlepšení postupov a návodov dozoru na činnosti počas uvádzania do prevádzky.</w:t>
      </w:r>
    </w:p>
    <w:p w14:paraId="5B0DC7BE" w14:textId="36C6121F" w:rsidR="008B5359" w:rsidRPr="00492456" w:rsidRDefault="009E26F2" w:rsidP="009E26F2">
      <w:pPr>
        <w:jc w:val="both"/>
        <w:rPr>
          <w:lang w:eastAsia="cs-CZ"/>
        </w:rPr>
      </w:pPr>
      <w:r w:rsidRPr="00492456">
        <w:rPr>
          <w:lang w:eastAsia="cs-CZ"/>
        </w:rPr>
        <w:t>Experti ÚJD SR sa aktívne zapájajú do riešenia kľúčových úloh v zmysle priorít WENRA</w:t>
      </w:r>
      <w:r w:rsidR="007C560B" w:rsidRPr="001E0901">
        <w:rPr>
          <w:lang w:eastAsia="cs-CZ"/>
        </w:rPr>
        <w:t xml:space="preserve"> (angl. Western </w:t>
      </w:r>
      <w:proofErr w:type="spellStart"/>
      <w:r w:rsidR="007C560B" w:rsidRPr="001E0901">
        <w:rPr>
          <w:lang w:eastAsia="cs-CZ"/>
        </w:rPr>
        <w:t>European</w:t>
      </w:r>
      <w:proofErr w:type="spellEnd"/>
      <w:r w:rsidR="007C560B" w:rsidRPr="001E0901">
        <w:rPr>
          <w:lang w:eastAsia="cs-CZ"/>
        </w:rPr>
        <w:t xml:space="preserve"> </w:t>
      </w:r>
      <w:proofErr w:type="spellStart"/>
      <w:r w:rsidR="007C560B" w:rsidRPr="001E0901">
        <w:rPr>
          <w:lang w:eastAsia="cs-CZ"/>
        </w:rPr>
        <w:t>Nuclear</w:t>
      </w:r>
      <w:proofErr w:type="spellEnd"/>
      <w:r w:rsidR="007C560B" w:rsidRPr="001E0901">
        <w:rPr>
          <w:lang w:eastAsia="cs-CZ"/>
        </w:rPr>
        <w:t xml:space="preserve"> </w:t>
      </w:r>
      <w:proofErr w:type="spellStart"/>
      <w:r w:rsidR="007C560B" w:rsidRPr="001E0901">
        <w:rPr>
          <w:lang w:eastAsia="cs-CZ"/>
        </w:rPr>
        <w:t>Regulators</w:t>
      </w:r>
      <w:proofErr w:type="spellEnd"/>
      <w:r w:rsidR="007C560B" w:rsidRPr="001E0901">
        <w:rPr>
          <w:lang w:eastAsia="cs-CZ"/>
        </w:rPr>
        <w:t xml:space="preserve"> Association)</w:t>
      </w:r>
      <w:r w:rsidRPr="00492456">
        <w:rPr>
          <w:lang w:eastAsia="cs-CZ"/>
        </w:rPr>
        <w:t xml:space="preserve"> v rámci dvoch pracovných skupín (</w:t>
      </w:r>
      <w:r w:rsidR="007C560B" w:rsidRPr="001E0901">
        <w:rPr>
          <w:lang w:eastAsia="cs-CZ"/>
        </w:rPr>
        <w:t>ďalej len „</w:t>
      </w:r>
      <w:r w:rsidRPr="00492456">
        <w:rPr>
          <w:lang w:eastAsia="cs-CZ"/>
        </w:rPr>
        <w:t>PS</w:t>
      </w:r>
      <w:r w:rsidR="007C560B" w:rsidRPr="001E0901">
        <w:rPr>
          <w:lang w:eastAsia="cs-CZ"/>
        </w:rPr>
        <w:t>“</w:t>
      </w:r>
      <w:r w:rsidRPr="00492456">
        <w:rPr>
          <w:lang w:eastAsia="cs-CZ"/>
        </w:rPr>
        <w:t xml:space="preserve">) WENRA – PS pre harmonizáciu požiadaviek na bezpečnosť jadrových reaktorov </w:t>
      </w:r>
      <w:r w:rsidRPr="00492456">
        <w:rPr>
          <w:lang w:eastAsia="cs-CZ"/>
        </w:rPr>
        <w:lastRenderedPageBreak/>
        <w:t>(RHWG</w:t>
      </w:r>
      <w:r w:rsidR="007C560B" w:rsidRPr="001E0901">
        <w:rPr>
          <w:lang w:eastAsia="cs-CZ"/>
        </w:rPr>
        <w:t xml:space="preserve"> – angl. </w:t>
      </w:r>
      <w:proofErr w:type="spellStart"/>
      <w:r w:rsidR="007C560B" w:rsidRPr="001E0901">
        <w:rPr>
          <w:lang w:eastAsia="cs-CZ"/>
        </w:rPr>
        <w:t>Reactor</w:t>
      </w:r>
      <w:proofErr w:type="spellEnd"/>
      <w:r w:rsidR="007C560B" w:rsidRPr="001E0901">
        <w:rPr>
          <w:lang w:eastAsia="cs-CZ"/>
        </w:rPr>
        <w:t xml:space="preserve"> </w:t>
      </w:r>
      <w:proofErr w:type="spellStart"/>
      <w:r w:rsidR="007C560B" w:rsidRPr="001E0901">
        <w:rPr>
          <w:lang w:eastAsia="cs-CZ"/>
        </w:rPr>
        <w:t>Harmonisation</w:t>
      </w:r>
      <w:proofErr w:type="spellEnd"/>
      <w:r w:rsidR="007C560B" w:rsidRPr="001E0901">
        <w:rPr>
          <w:lang w:eastAsia="cs-CZ"/>
        </w:rPr>
        <w:t xml:space="preserve"> </w:t>
      </w:r>
      <w:proofErr w:type="spellStart"/>
      <w:r w:rsidR="007C560B" w:rsidRPr="001E0901">
        <w:rPr>
          <w:lang w:eastAsia="cs-CZ"/>
        </w:rPr>
        <w:t>Working</w:t>
      </w:r>
      <w:proofErr w:type="spellEnd"/>
      <w:r w:rsidR="007C560B" w:rsidRPr="001E0901">
        <w:rPr>
          <w:lang w:eastAsia="cs-CZ"/>
        </w:rPr>
        <w:t xml:space="preserve"> Group</w:t>
      </w:r>
      <w:r w:rsidRPr="00492456">
        <w:rPr>
          <w:lang w:eastAsia="cs-CZ"/>
        </w:rPr>
        <w:t xml:space="preserve">) a PS pre harmonizáciu požiadaviek na bezpečnosť nakladania s </w:t>
      </w:r>
      <w:r w:rsidR="00D438AD" w:rsidRPr="001E0901">
        <w:rPr>
          <w:lang w:eastAsia="cs-CZ"/>
        </w:rPr>
        <w:t>RAO</w:t>
      </w:r>
      <w:r w:rsidRPr="00492456">
        <w:rPr>
          <w:lang w:eastAsia="cs-CZ"/>
        </w:rPr>
        <w:t xml:space="preserve"> a vyraďovania JZ z prevádzky (WGWD</w:t>
      </w:r>
      <w:r w:rsidR="007C560B" w:rsidRPr="001E0901">
        <w:rPr>
          <w:lang w:eastAsia="cs-CZ"/>
        </w:rPr>
        <w:t xml:space="preserve"> – angl. </w:t>
      </w:r>
      <w:proofErr w:type="spellStart"/>
      <w:r w:rsidR="007C560B" w:rsidRPr="001E0901">
        <w:rPr>
          <w:lang w:eastAsia="cs-CZ"/>
        </w:rPr>
        <w:t>Working</w:t>
      </w:r>
      <w:proofErr w:type="spellEnd"/>
      <w:r w:rsidR="007C560B" w:rsidRPr="001E0901">
        <w:rPr>
          <w:lang w:eastAsia="cs-CZ"/>
        </w:rPr>
        <w:t xml:space="preserve"> Group on </w:t>
      </w:r>
      <w:proofErr w:type="spellStart"/>
      <w:r w:rsidR="007C560B" w:rsidRPr="001E0901">
        <w:rPr>
          <w:lang w:eastAsia="cs-CZ"/>
        </w:rPr>
        <w:t>Waste</w:t>
      </w:r>
      <w:proofErr w:type="spellEnd"/>
      <w:r w:rsidR="007C560B" w:rsidRPr="001E0901">
        <w:rPr>
          <w:lang w:eastAsia="cs-CZ"/>
        </w:rPr>
        <w:t xml:space="preserve"> and </w:t>
      </w:r>
      <w:proofErr w:type="spellStart"/>
      <w:r w:rsidR="007C560B" w:rsidRPr="001E0901">
        <w:rPr>
          <w:lang w:eastAsia="cs-CZ"/>
        </w:rPr>
        <w:t>Decommissioning</w:t>
      </w:r>
      <w:proofErr w:type="spellEnd"/>
      <w:r w:rsidRPr="00492456">
        <w:rPr>
          <w:lang w:eastAsia="cs-CZ"/>
        </w:rPr>
        <w:t>). Cieľom RHWG je neustále zvyšovanie bezpečnosti jadrových reaktorov a harmonizácia bezpečnostných štandardov členských štátov. Preto vytvorila bezpečnostné referenčné úrovne (</w:t>
      </w:r>
      <w:r w:rsidR="007C560B" w:rsidRPr="001E0901">
        <w:rPr>
          <w:lang w:eastAsia="cs-CZ"/>
        </w:rPr>
        <w:t>ďalej len „</w:t>
      </w:r>
      <w:r w:rsidRPr="00492456">
        <w:rPr>
          <w:lang w:eastAsia="cs-CZ"/>
        </w:rPr>
        <w:t>BRÚ</w:t>
      </w:r>
      <w:r w:rsidR="007C560B" w:rsidRPr="001E0901">
        <w:rPr>
          <w:lang w:eastAsia="cs-CZ"/>
        </w:rPr>
        <w:t>“</w:t>
      </w:r>
      <w:r w:rsidRPr="00492456">
        <w:rPr>
          <w:lang w:eastAsia="cs-CZ"/>
        </w:rPr>
        <w:t>, angl. „</w:t>
      </w:r>
      <w:proofErr w:type="spellStart"/>
      <w:r w:rsidRPr="00492456">
        <w:rPr>
          <w:lang w:eastAsia="cs-CZ"/>
        </w:rPr>
        <w:t>SRLs</w:t>
      </w:r>
      <w:proofErr w:type="spellEnd"/>
      <w:r w:rsidRPr="00492456">
        <w:rPr>
          <w:lang w:eastAsia="cs-CZ"/>
        </w:rPr>
        <w:t>“) pre existujúce jadrové elektrárne. Členské krajiny sa tieto BRÚ zaviazali implementovať do svojho dozorného rámca, ako ich aj pravidelne aktualizovať na základe nových skúseností a poznatkov. V roku 2024 pokračovalo porovnávanie implementácie referenčných úrovní 2020 do národnej legislatívy členských krajín v oblasti manažérskeho systému, riadenia starnutia, vnútorných ohrození a vonkajších ohrození. Pokračovala aj diskusia o uplatnení bezpečnostných cieľov WENRA (angl. „</w:t>
      </w:r>
      <w:proofErr w:type="spellStart"/>
      <w:r w:rsidRPr="00492456">
        <w:rPr>
          <w:lang w:eastAsia="cs-CZ"/>
        </w:rPr>
        <w:t>safety</w:t>
      </w:r>
      <w:proofErr w:type="spellEnd"/>
      <w:r w:rsidRPr="00492456">
        <w:rPr>
          <w:lang w:eastAsia="cs-CZ"/>
        </w:rPr>
        <w:t xml:space="preserve"> </w:t>
      </w:r>
      <w:proofErr w:type="spellStart"/>
      <w:r w:rsidRPr="00492456">
        <w:rPr>
          <w:lang w:eastAsia="cs-CZ"/>
        </w:rPr>
        <w:t>objectives</w:t>
      </w:r>
      <w:proofErr w:type="spellEnd"/>
      <w:r w:rsidRPr="00492456">
        <w:rPr>
          <w:lang w:eastAsia="cs-CZ"/>
        </w:rPr>
        <w:t>“) pri nových typoch reaktorov. Ukazuje sa, že pohľad na potrebu zmeny existujúcich bezpečnostných cieľov nie je v rámci RHWG jednotný. Cieľom WGWD je harmonizácia národnej legislatívy členských krajín v štyroch tematických oblastiach: skladovanie RAO a VJP, vyraďovanie</w:t>
      </w:r>
      <w:r w:rsidR="00D438AD" w:rsidRPr="001E0901">
        <w:rPr>
          <w:lang w:eastAsia="cs-CZ"/>
        </w:rPr>
        <w:t xml:space="preserve"> JZ</w:t>
      </w:r>
      <w:r w:rsidRPr="00492456">
        <w:rPr>
          <w:lang w:eastAsia="cs-CZ"/>
        </w:rPr>
        <w:t xml:space="preserve"> z prevádzky, ukladanie RAO a spracovanie RAO. Pre každú tematickú oblasť existuje samostatný súbor BRÚ. Aj v roku 2024 pokračovali aktivity zamerané na zjednotenie existujúcich referenčných úrovní tak, aby boli spoločné pre všetky tri pracovné skupiny WENRA (RHWG, WGWD, WGRR – skupina výskumných reaktorov</w:t>
      </w:r>
      <w:r w:rsidR="00F10CC4" w:rsidRPr="001E0901">
        <w:rPr>
          <w:lang w:eastAsia="cs-CZ"/>
        </w:rPr>
        <w:t xml:space="preserve"> (angl. </w:t>
      </w:r>
      <w:proofErr w:type="spellStart"/>
      <w:r w:rsidR="00F10CC4" w:rsidRPr="001E0901">
        <w:rPr>
          <w:lang w:eastAsia="cs-CZ"/>
        </w:rPr>
        <w:t>Working</w:t>
      </w:r>
      <w:proofErr w:type="spellEnd"/>
      <w:r w:rsidR="00F10CC4" w:rsidRPr="001E0901">
        <w:rPr>
          <w:lang w:eastAsia="cs-CZ"/>
        </w:rPr>
        <w:t xml:space="preserve"> Group on </w:t>
      </w:r>
      <w:proofErr w:type="spellStart"/>
      <w:r w:rsidR="00F10CC4" w:rsidRPr="001E0901">
        <w:rPr>
          <w:lang w:eastAsia="cs-CZ"/>
        </w:rPr>
        <w:t>Research</w:t>
      </w:r>
      <w:proofErr w:type="spellEnd"/>
      <w:r w:rsidR="00F10CC4" w:rsidRPr="001E0901">
        <w:rPr>
          <w:lang w:eastAsia="cs-CZ"/>
        </w:rPr>
        <w:t xml:space="preserve"> </w:t>
      </w:r>
      <w:proofErr w:type="spellStart"/>
      <w:r w:rsidR="00F10CC4" w:rsidRPr="001E0901">
        <w:rPr>
          <w:lang w:eastAsia="cs-CZ"/>
        </w:rPr>
        <w:t>Reactors</w:t>
      </w:r>
      <w:proofErr w:type="spellEnd"/>
      <w:r w:rsidRPr="00492456">
        <w:rPr>
          <w:lang w:eastAsia="cs-CZ"/>
        </w:rPr>
        <w:t>). Doteraz bol spracovaný návrh zlúčenia BRÚ WENRA v oblastiach politika, prevádzkujúca organizácia a manažérsky systém. Pre špecifiká legislatívneho rámca niektorých členských krajín v oblasti RAO a vyraďovania JZ však plenárne zasadanie WENRA v novembri 2024 rozhodlo o modifikácii aktivity. WGWD dostalo úlohu skombinovať svoje štyri tematické skupiny BRÚ do jediného súboru a RHWG s WGRR majú vzájomne harmonizovať svoje BRÚ.</w:t>
      </w:r>
    </w:p>
    <w:p w14:paraId="0C5B1732" w14:textId="77777777" w:rsidR="008B5359" w:rsidRPr="008C76B1" w:rsidRDefault="008B5359" w:rsidP="008C76B1">
      <w:pPr>
        <w:jc w:val="both"/>
      </w:pPr>
    </w:p>
    <w:p w14:paraId="42CAF725" w14:textId="50EA8275" w:rsidR="005B6B8A" w:rsidRPr="00AF3821" w:rsidRDefault="003E535A" w:rsidP="005B072A">
      <w:pPr>
        <w:pStyle w:val="Nadpis2"/>
        <w:tabs>
          <w:tab w:val="num" w:pos="0"/>
        </w:tabs>
        <w:ind w:left="0" w:firstLine="0"/>
        <w:rPr>
          <w:bCs/>
          <w:sz w:val="28"/>
          <w:szCs w:val="28"/>
          <w:u w:val="single"/>
        </w:rPr>
      </w:pPr>
      <w:bookmarkStart w:id="17" w:name="_Toc285032443"/>
      <w:bookmarkStart w:id="18" w:name="_Toc476146449"/>
      <w:bookmarkStart w:id="19" w:name="_Toc193697645"/>
      <w:r w:rsidRPr="00AF3821">
        <w:rPr>
          <w:bCs/>
          <w:sz w:val="28"/>
          <w:szCs w:val="28"/>
          <w:u w:val="single"/>
        </w:rPr>
        <w:t>Oblasti výkonu dozoru</w:t>
      </w:r>
      <w:bookmarkEnd w:id="17"/>
      <w:bookmarkEnd w:id="18"/>
      <w:bookmarkEnd w:id="19"/>
    </w:p>
    <w:p w14:paraId="26A5D704" w14:textId="77777777" w:rsidR="00B54092" w:rsidRPr="00A408BF" w:rsidRDefault="00B54092" w:rsidP="005B072A">
      <w:pPr>
        <w:rPr>
          <w:color w:val="000000" w:themeColor="text1"/>
        </w:rPr>
      </w:pPr>
    </w:p>
    <w:p w14:paraId="1E26ADD4" w14:textId="52B0822F" w:rsidR="00FA7DCF" w:rsidRPr="00561827" w:rsidRDefault="00C94A12" w:rsidP="00BD6834">
      <w:pPr>
        <w:pStyle w:val="Nadpis3"/>
        <w:tabs>
          <w:tab w:val="clear" w:pos="1440"/>
          <w:tab w:val="num" w:pos="709"/>
        </w:tabs>
        <w:ind w:left="357" w:hanging="357"/>
        <w:rPr>
          <w:color w:val="000000" w:themeColor="text1"/>
        </w:rPr>
      </w:pPr>
      <w:bookmarkStart w:id="20" w:name="_Toc193697646"/>
      <w:bookmarkStart w:id="21" w:name="_Toc132187134"/>
      <w:bookmarkStart w:id="22" w:name="_Toc158112586"/>
      <w:bookmarkStart w:id="23" w:name="_Toc162317355"/>
      <w:bookmarkStart w:id="24" w:name="_Toc285032444"/>
      <w:r w:rsidRPr="00561827">
        <w:rPr>
          <w:color w:val="000000" w:themeColor="text1"/>
        </w:rPr>
        <w:t xml:space="preserve">Jadrové </w:t>
      </w:r>
      <w:r w:rsidR="003E535A">
        <w:rPr>
          <w:color w:val="000000" w:themeColor="text1"/>
        </w:rPr>
        <w:t>zariadenia</w:t>
      </w:r>
      <w:bookmarkEnd w:id="20"/>
      <w:r w:rsidRPr="00561827">
        <w:rPr>
          <w:color w:val="000000" w:themeColor="text1"/>
        </w:rPr>
        <w:t xml:space="preserve"> </w:t>
      </w:r>
      <w:bookmarkStart w:id="25" w:name="_Toc158112587"/>
      <w:bookmarkStart w:id="26" w:name="_Toc162317356"/>
      <w:bookmarkStart w:id="27" w:name="_Toc285032445"/>
      <w:bookmarkEnd w:id="21"/>
      <w:bookmarkEnd w:id="22"/>
      <w:bookmarkEnd w:id="23"/>
      <w:bookmarkEnd w:id="24"/>
    </w:p>
    <w:p w14:paraId="47E452F8" w14:textId="77777777" w:rsidR="008839C6" w:rsidRPr="00A408BF" w:rsidRDefault="008839C6" w:rsidP="005B072A">
      <w:pPr>
        <w:rPr>
          <w:color w:val="000000" w:themeColor="text1"/>
        </w:rPr>
      </w:pPr>
    </w:p>
    <w:p w14:paraId="195CDE58" w14:textId="475A6F9D" w:rsidR="008839C6" w:rsidRPr="00492456" w:rsidRDefault="00C94A12" w:rsidP="00D20844">
      <w:pPr>
        <w:pStyle w:val="Nadpis4"/>
        <w:ind w:hanging="1728"/>
        <w:rPr>
          <w:b w:val="0"/>
          <w:u w:val="single"/>
          <w:lang w:val="sk-SK"/>
        </w:rPr>
      </w:pPr>
      <w:r w:rsidRPr="00F229CB">
        <w:rPr>
          <w:b w:val="0"/>
          <w:u w:val="single"/>
        </w:rPr>
        <w:t xml:space="preserve"> </w:t>
      </w:r>
      <w:bookmarkStart w:id="28" w:name="_Toc193697647"/>
      <w:r w:rsidRPr="00492456">
        <w:rPr>
          <w:b w:val="0"/>
          <w:u w:val="single"/>
          <w:lang w:val="sk-SK"/>
        </w:rPr>
        <w:t>Prevádzkované jadrové elektrárne</w:t>
      </w:r>
      <w:bookmarkEnd w:id="25"/>
      <w:bookmarkEnd w:id="26"/>
      <w:bookmarkEnd w:id="27"/>
      <w:bookmarkEnd w:id="28"/>
    </w:p>
    <w:p w14:paraId="7378B944" w14:textId="644D60CA" w:rsidR="00457931" w:rsidRDefault="00457931" w:rsidP="005B072A">
      <w:pPr>
        <w:rPr>
          <w:color w:val="000000" w:themeColor="text1"/>
          <w:lang w:val="x-none" w:eastAsia="x-none"/>
        </w:rPr>
      </w:pPr>
    </w:p>
    <w:p w14:paraId="25B9F769" w14:textId="77777777" w:rsidR="00561827" w:rsidRPr="00561827" w:rsidRDefault="00561827" w:rsidP="00561827">
      <w:pPr>
        <w:rPr>
          <w:b/>
          <w:i/>
          <w:color w:val="000000" w:themeColor="text1"/>
          <w:lang w:eastAsia="x-none"/>
        </w:rPr>
      </w:pPr>
      <w:r w:rsidRPr="00561827">
        <w:rPr>
          <w:b/>
          <w:i/>
          <w:color w:val="000000" w:themeColor="text1"/>
          <w:lang w:eastAsia="x-none"/>
        </w:rPr>
        <w:t>Hodnotenie bezpečnostných indikátorov prevádzkovaných JE</w:t>
      </w:r>
    </w:p>
    <w:p w14:paraId="0F3A25D5" w14:textId="000BEF40" w:rsidR="00CA46DC" w:rsidRPr="00375F26" w:rsidRDefault="00CA46DC" w:rsidP="00CA46DC">
      <w:pPr>
        <w:jc w:val="both"/>
        <w:rPr>
          <w:color w:val="000000" w:themeColor="text1"/>
          <w:szCs w:val="24"/>
          <w:lang w:eastAsia="x-none"/>
        </w:rPr>
      </w:pPr>
      <w:r w:rsidRPr="00375F26">
        <w:rPr>
          <w:color w:val="000000" w:themeColor="text1"/>
          <w:szCs w:val="24"/>
          <w:lang w:eastAsia="x-none"/>
        </w:rPr>
        <w:t xml:space="preserve">Hodnotenie prevádzky JE bezpečnostnými indikátormi vykonáva ÚJD SR priebežne a ročne vyhodnocuje. Prevádzkovaných päť blokov JE (JE Bohunice V-2, JE Mochovce 1, 2 a 3) </w:t>
      </w:r>
      <w:r w:rsidR="00DA399C">
        <w:rPr>
          <w:color w:val="000000" w:themeColor="text1"/>
          <w:szCs w:val="24"/>
          <w:lang w:eastAsia="x-none"/>
        </w:rPr>
        <w:t>je</w:t>
      </w:r>
      <w:r w:rsidRPr="00375F26">
        <w:rPr>
          <w:color w:val="000000" w:themeColor="text1"/>
          <w:szCs w:val="24"/>
          <w:lang w:eastAsia="x-none"/>
        </w:rPr>
        <w:t xml:space="preserve"> hodnoten</w:t>
      </w:r>
      <w:r w:rsidR="00DA399C">
        <w:rPr>
          <w:color w:val="000000" w:themeColor="text1"/>
          <w:szCs w:val="24"/>
          <w:lang w:eastAsia="x-none"/>
        </w:rPr>
        <w:t>ých</w:t>
      </w:r>
      <w:r w:rsidRPr="00375F26">
        <w:rPr>
          <w:color w:val="000000" w:themeColor="text1"/>
          <w:szCs w:val="24"/>
          <w:lang w:eastAsia="x-none"/>
        </w:rPr>
        <w:t xml:space="preserve"> indikátormi v štyroch špecifických oblastiach prevádzky: významné udalosti, ľudský faktor (</w:t>
      </w:r>
      <w:r w:rsidR="00F46DFE">
        <w:rPr>
          <w:color w:val="000000" w:themeColor="text1"/>
          <w:szCs w:val="24"/>
          <w:lang w:eastAsia="x-none"/>
        </w:rPr>
        <w:t>ďalej len „</w:t>
      </w:r>
      <w:r w:rsidRPr="00375F26">
        <w:rPr>
          <w:color w:val="000000" w:themeColor="text1"/>
          <w:szCs w:val="24"/>
          <w:lang w:eastAsia="x-none"/>
        </w:rPr>
        <w:t>ĽF</w:t>
      </w:r>
      <w:r w:rsidR="00F46DFE">
        <w:rPr>
          <w:color w:val="000000" w:themeColor="text1"/>
          <w:szCs w:val="24"/>
          <w:lang w:eastAsia="x-none"/>
        </w:rPr>
        <w:t>“</w:t>
      </w:r>
      <w:r w:rsidRPr="00375F26">
        <w:rPr>
          <w:color w:val="000000" w:themeColor="text1"/>
          <w:szCs w:val="24"/>
          <w:lang w:eastAsia="x-none"/>
        </w:rPr>
        <w:t>), prevádzka bezpečnostných systémov a tesnosť bariér.</w:t>
      </w:r>
    </w:p>
    <w:p w14:paraId="44CA0AC2" w14:textId="77777777" w:rsidR="00CA46DC" w:rsidRPr="00375F26" w:rsidRDefault="00CA46DC" w:rsidP="00CA46DC">
      <w:pPr>
        <w:jc w:val="both"/>
        <w:rPr>
          <w:color w:val="000000" w:themeColor="text1"/>
          <w:szCs w:val="24"/>
          <w:lang w:eastAsia="x-none"/>
        </w:rPr>
      </w:pPr>
      <w:r w:rsidRPr="00375F26">
        <w:rPr>
          <w:color w:val="000000" w:themeColor="text1"/>
          <w:szCs w:val="24"/>
          <w:lang w:eastAsia="x-none"/>
        </w:rPr>
        <w:t>Významné udalosti a ľudský faktor:</w:t>
      </w:r>
    </w:p>
    <w:p w14:paraId="160B9F07" w14:textId="77777777" w:rsidR="00CA46DC" w:rsidRPr="00375F26" w:rsidRDefault="00CA46DC" w:rsidP="00CA46DC">
      <w:pPr>
        <w:jc w:val="both"/>
        <w:rPr>
          <w:color w:val="000000" w:themeColor="text1"/>
          <w:szCs w:val="24"/>
          <w:lang w:eastAsia="x-none"/>
        </w:rPr>
      </w:pPr>
      <w:r w:rsidRPr="00375F26">
        <w:rPr>
          <w:color w:val="000000" w:themeColor="text1"/>
          <w:szCs w:val="24"/>
          <w:lang w:eastAsia="x-none"/>
        </w:rPr>
        <w:t>V týchto oblastiach sa sledujú nasledovné hlavné indikátory:</w:t>
      </w:r>
    </w:p>
    <w:p w14:paraId="56E08E42" w14:textId="7911F903" w:rsidR="00CA46DC" w:rsidRPr="00375F26" w:rsidRDefault="00CA46DC" w:rsidP="00CA46DC">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375F26">
        <w:rPr>
          <w:rFonts w:ascii="Times New Roman" w:hAnsi="Times New Roman"/>
          <w:color w:val="000000" w:themeColor="text1"/>
          <w:sz w:val="24"/>
          <w:szCs w:val="24"/>
        </w:rPr>
        <w:t>počet rýchlych odstavení reaktora (</w:t>
      </w:r>
      <w:r w:rsidR="00CC14B6">
        <w:rPr>
          <w:rFonts w:ascii="Times New Roman" w:hAnsi="Times New Roman"/>
          <w:color w:val="000000" w:themeColor="text1"/>
          <w:sz w:val="24"/>
          <w:szCs w:val="24"/>
        </w:rPr>
        <w:t>ďalej len „</w:t>
      </w:r>
      <w:r w:rsidRPr="00375F26">
        <w:rPr>
          <w:rFonts w:ascii="Times New Roman" w:hAnsi="Times New Roman"/>
          <w:color w:val="000000" w:themeColor="text1"/>
          <w:sz w:val="24"/>
          <w:szCs w:val="24"/>
        </w:rPr>
        <w:t>AO1</w:t>
      </w:r>
      <w:r w:rsidR="00CC14B6">
        <w:rPr>
          <w:rFonts w:ascii="Times New Roman" w:hAnsi="Times New Roman"/>
          <w:color w:val="000000" w:themeColor="text1"/>
          <w:sz w:val="24"/>
          <w:szCs w:val="24"/>
        </w:rPr>
        <w:t>“</w:t>
      </w:r>
      <w:r w:rsidRPr="00375F26">
        <w:rPr>
          <w:rFonts w:ascii="Times New Roman" w:hAnsi="Times New Roman"/>
          <w:color w:val="000000" w:themeColor="text1"/>
          <w:sz w:val="24"/>
          <w:szCs w:val="24"/>
        </w:rPr>
        <w:t>),</w:t>
      </w:r>
    </w:p>
    <w:p w14:paraId="7FBE5516" w14:textId="007D9654" w:rsidR="00CA46DC" w:rsidRPr="00375F26" w:rsidRDefault="00CA46DC" w:rsidP="00CA46DC">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375F26">
        <w:rPr>
          <w:rFonts w:ascii="Times New Roman" w:hAnsi="Times New Roman"/>
          <w:color w:val="000000" w:themeColor="text1"/>
          <w:sz w:val="24"/>
          <w:szCs w:val="24"/>
        </w:rPr>
        <w:t>počet porušení limít a podmienok (</w:t>
      </w:r>
      <w:r w:rsidR="00CC14B6">
        <w:rPr>
          <w:rFonts w:ascii="Times New Roman" w:hAnsi="Times New Roman"/>
          <w:color w:val="000000" w:themeColor="text1"/>
          <w:sz w:val="24"/>
          <w:szCs w:val="24"/>
        </w:rPr>
        <w:t>ďalej len „</w:t>
      </w:r>
      <w:proofErr w:type="spellStart"/>
      <w:r w:rsidRPr="00375F26">
        <w:rPr>
          <w:rFonts w:ascii="Times New Roman" w:hAnsi="Times New Roman"/>
          <w:color w:val="000000" w:themeColor="text1"/>
          <w:sz w:val="24"/>
          <w:szCs w:val="24"/>
        </w:rPr>
        <w:t>LaP</w:t>
      </w:r>
      <w:proofErr w:type="spellEnd"/>
      <w:r w:rsidR="00CC14B6">
        <w:rPr>
          <w:rFonts w:ascii="Times New Roman" w:hAnsi="Times New Roman"/>
          <w:color w:val="000000" w:themeColor="text1"/>
          <w:sz w:val="24"/>
          <w:szCs w:val="24"/>
        </w:rPr>
        <w:t>“</w:t>
      </w:r>
      <w:r w:rsidRPr="00375F26">
        <w:rPr>
          <w:rFonts w:ascii="Times New Roman" w:hAnsi="Times New Roman"/>
          <w:color w:val="000000" w:themeColor="text1"/>
          <w:sz w:val="24"/>
          <w:szCs w:val="24"/>
        </w:rPr>
        <w:t>) bezpečnej prevádzky (</w:t>
      </w:r>
      <w:proofErr w:type="spellStart"/>
      <w:r w:rsidRPr="00375F26">
        <w:rPr>
          <w:rFonts w:ascii="Times New Roman" w:hAnsi="Times New Roman"/>
          <w:color w:val="000000" w:themeColor="text1"/>
          <w:sz w:val="24"/>
          <w:szCs w:val="24"/>
        </w:rPr>
        <w:t>LaP</w:t>
      </w:r>
      <w:proofErr w:type="spellEnd"/>
      <w:r w:rsidRPr="00375F26">
        <w:rPr>
          <w:rFonts w:ascii="Times New Roman" w:hAnsi="Times New Roman"/>
          <w:color w:val="000000" w:themeColor="text1"/>
          <w:sz w:val="24"/>
          <w:szCs w:val="24"/>
        </w:rPr>
        <w:t xml:space="preserve"> je dokument, ktorý stanovuje požiadavky na dovolené hodnoty parametrov JZ, pripravenosť bezpečnostných systémov a overovanie ich pripravenosti, každá odchýlka od stanovených hodnôt a požiadaviek sa eviduje ako porušenie </w:t>
      </w:r>
      <w:proofErr w:type="spellStart"/>
      <w:r w:rsidRPr="00375F26">
        <w:rPr>
          <w:rFonts w:ascii="Times New Roman" w:hAnsi="Times New Roman"/>
          <w:color w:val="000000" w:themeColor="text1"/>
          <w:sz w:val="24"/>
          <w:szCs w:val="24"/>
        </w:rPr>
        <w:t>LaP</w:t>
      </w:r>
      <w:proofErr w:type="spellEnd"/>
      <w:r w:rsidRPr="00375F26">
        <w:rPr>
          <w:rFonts w:ascii="Times New Roman" w:hAnsi="Times New Roman"/>
          <w:color w:val="000000" w:themeColor="text1"/>
          <w:sz w:val="24"/>
          <w:szCs w:val="24"/>
        </w:rPr>
        <w:t>),</w:t>
      </w:r>
    </w:p>
    <w:p w14:paraId="43D32866" w14:textId="4878B6A0" w:rsidR="00CA46DC" w:rsidRPr="00375F26" w:rsidRDefault="00CA46DC" w:rsidP="00CA46DC">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375F26">
        <w:rPr>
          <w:rFonts w:ascii="Times New Roman" w:hAnsi="Times New Roman"/>
          <w:color w:val="000000" w:themeColor="text1"/>
          <w:sz w:val="24"/>
          <w:szCs w:val="24"/>
        </w:rPr>
        <w:t>počet porúch zariadení a systémov, ktoré je prevádzkovateľ JZ podľa stanovených kritérií povinný hlásiť ÚJD SR,</w:t>
      </w:r>
    </w:p>
    <w:p w14:paraId="16C1B131" w14:textId="56EDAC6E" w:rsidR="00CA46DC" w:rsidRPr="00375F26" w:rsidRDefault="00CA46DC" w:rsidP="00CA46DC">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375F26">
        <w:rPr>
          <w:rFonts w:ascii="Times New Roman" w:hAnsi="Times New Roman"/>
          <w:color w:val="000000" w:themeColor="text1"/>
          <w:sz w:val="24"/>
          <w:szCs w:val="24"/>
        </w:rPr>
        <w:t>počet</w:t>
      </w:r>
      <w:r w:rsidR="00D438AD">
        <w:rPr>
          <w:rFonts w:ascii="Times New Roman" w:hAnsi="Times New Roman"/>
          <w:color w:val="000000" w:themeColor="text1"/>
          <w:sz w:val="24"/>
          <w:szCs w:val="24"/>
        </w:rPr>
        <w:t xml:space="preserve"> PU</w:t>
      </w:r>
      <w:r w:rsidRPr="00375F26">
        <w:rPr>
          <w:rFonts w:ascii="Times New Roman" w:hAnsi="Times New Roman"/>
          <w:color w:val="000000" w:themeColor="text1"/>
          <w:sz w:val="24"/>
          <w:szCs w:val="24"/>
        </w:rPr>
        <w:t xml:space="preserve"> s príspevkom ĽF hlásených ÚJD SR,</w:t>
      </w:r>
    </w:p>
    <w:p w14:paraId="1FB75A01" w14:textId="61E184ED" w:rsidR="00CA46DC" w:rsidRPr="00375F26" w:rsidRDefault="00CA46DC" w:rsidP="00CA46DC">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375F26">
        <w:rPr>
          <w:rFonts w:ascii="Times New Roman" w:hAnsi="Times New Roman"/>
          <w:color w:val="000000" w:themeColor="text1"/>
          <w:sz w:val="24"/>
          <w:szCs w:val="24"/>
        </w:rPr>
        <w:t>počet udalostí na JZ klasifikovaných podľa medzinárodnej stupnice INES stupňom 1.</w:t>
      </w:r>
    </w:p>
    <w:p w14:paraId="58048A7D" w14:textId="77777777" w:rsidR="00CA46DC" w:rsidRPr="00375F26" w:rsidRDefault="00CA46DC" w:rsidP="00CA46DC">
      <w:pPr>
        <w:jc w:val="both"/>
        <w:rPr>
          <w:color w:val="000000" w:themeColor="text1"/>
          <w:szCs w:val="24"/>
          <w:lang w:eastAsia="x-none"/>
        </w:rPr>
      </w:pPr>
    </w:p>
    <w:p w14:paraId="5879ED00" w14:textId="4141CB1B" w:rsidR="00CA46DC" w:rsidRPr="00375F26" w:rsidRDefault="00CA46DC" w:rsidP="00CA46DC">
      <w:pPr>
        <w:jc w:val="both"/>
        <w:rPr>
          <w:color w:val="000000" w:themeColor="text1"/>
          <w:szCs w:val="24"/>
          <w:lang w:eastAsia="x-none"/>
        </w:rPr>
      </w:pPr>
      <w:r w:rsidRPr="00375F26">
        <w:rPr>
          <w:color w:val="000000" w:themeColor="text1"/>
          <w:szCs w:val="24"/>
          <w:lang w:eastAsia="x-none"/>
        </w:rPr>
        <w:t>Výsledky zaznamenané v roku 2024 sú uvedené v Tab. 3 a Tab. 4.</w:t>
      </w:r>
    </w:p>
    <w:p w14:paraId="3903FDE3" w14:textId="77777777" w:rsidR="00A71B06" w:rsidRPr="00375F26" w:rsidRDefault="00A71B06" w:rsidP="00A71B06">
      <w:pPr>
        <w:jc w:val="both"/>
        <w:rPr>
          <w:color w:val="000000" w:themeColor="text1"/>
          <w:szCs w:val="24"/>
          <w:lang w:eastAsia="x-none"/>
        </w:rPr>
      </w:pPr>
    </w:p>
    <w:p w14:paraId="59EC4C77" w14:textId="77777777" w:rsidR="00AB39BB" w:rsidRDefault="00AB39BB">
      <w:pPr>
        <w:spacing w:after="200" w:line="276" w:lineRule="auto"/>
        <w:rPr>
          <w:rFonts w:eastAsia="Calibri"/>
          <w:color w:val="000000" w:themeColor="text1"/>
          <w:sz w:val="22"/>
          <w:szCs w:val="22"/>
          <w:lang w:eastAsia="x-none"/>
        </w:rPr>
      </w:pPr>
      <w:r>
        <w:rPr>
          <w:color w:val="000000" w:themeColor="text1"/>
          <w:lang w:eastAsia="x-none"/>
        </w:rPr>
        <w:br w:type="page"/>
      </w:r>
    </w:p>
    <w:p w14:paraId="692FCE6B" w14:textId="0A2F76C6" w:rsidR="00A71B06" w:rsidRPr="0036514D" w:rsidRDefault="00A71B06" w:rsidP="00A71B06">
      <w:pPr>
        <w:pStyle w:val="Odsekzoznamu"/>
        <w:spacing w:after="0" w:line="240" w:lineRule="auto"/>
        <w:ind w:left="0"/>
        <w:jc w:val="both"/>
        <w:rPr>
          <w:rFonts w:ascii="Times New Roman" w:hAnsi="Times New Roman"/>
          <w:color w:val="000000" w:themeColor="text1"/>
          <w:lang w:eastAsia="x-none"/>
        </w:rPr>
      </w:pPr>
      <w:r w:rsidRPr="00375F26">
        <w:rPr>
          <w:rFonts w:ascii="Times New Roman" w:hAnsi="Times New Roman"/>
          <w:color w:val="000000" w:themeColor="text1"/>
          <w:lang w:eastAsia="x-none"/>
        </w:rPr>
        <w:lastRenderedPageBreak/>
        <w:t xml:space="preserve">Tab. 3 Počet AO1 a porušení </w:t>
      </w:r>
      <w:proofErr w:type="spellStart"/>
      <w:r w:rsidRPr="00375F26">
        <w:rPr>
          <w:rFonts w:ascii="Times New Roman" w:hAnsi="Times New Roman"/>
          <w:color w:val="000000" w:themeColor="text1"/>
          <w:lang w:eastAsia="x-none"/>
        </w:rPr>
        <w:t>LaP</w:t>
      </w:r>
      <w:proofErr w:type="spellEnd"/>
      <w:r w:rsidRPr="00375F26">
        <w:rPr>
          <w:rFonts w:ascii="Times New Roman" w:hAnsi="Times New Roman"/>
          <w:color w:val="000000" w:themeColor="text1"/>
          <w:lang w:eastAsia="x-none"/>
        </w:rPr>
        <w:t xml:space="preserve"> na pracujúcich blokoch JZ v SR v roku 202</w:t>
      </w:r>
      <w:r w:rsidR="00CA46DC" w:rsidRPr="00375F26">
        <w:rPr>
          <w:rFonts w:ascii="Times New Roman" w:hAnsi="Times New Roman"/>
          <w:color w:val="000000" w:themeColor="text1"/>
          <w:lang w:eastAsia="x-none"/>
        </w:rPr>
        <w:t>4</w:t>
      </w:r>
    </w:p>
    <w:tbl>
      <w:tblPr>
        <w:tblStyle w:val="Mriekatabuky"/>
        <w:tblW w:w="9067" w:type="dxa"/>
        <w:tblLook w:val="04A0" w:firstRow="1" w:lastRow="0" w:firstColumn="1" w:lastColumn="0" w:noHBand="0" w:noVBand="1"/>
      </w:tblPr>
      <w:tblGrid>
        <w:gridCol w:w="3256"/>
        <w:gridCol w:w="1190"/>
        <w:gridCol w:w="1191"/>
        <w:gridCol w:w="1190"/>
        <w:gridCol w:w="1191"/>
        <w:gridCol w:w="1049"/>
      </w:tblGrid>
      <w:tr w:rsidR="00A71B06" w:rsidRPr="00A408BF" w14:paraId="392DC480" w14:textId="77777777" w:rsidTr="00066BA1">
        <w:trPr>
          <w:trHeight w:val="283"/>
        </w:trPr>
        <w:tc>
          <w:tcPr>
            <w:tcW w:w="3256" w:type="dxa"/>
            <w:shd w:val="clear" w:color="auto" w:fill="D9D9D9" w:themeFill="background1" w:themeFillShade="D9"/>
          </w:tcPr>
          <w:p w14:paraId="6A0EE0B8" w14:textId="4FABC7E1"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202</w:t>
            </w:r>
            <w:r w:rsidR="007F34C1">
              <w:rPr>
                <w:b/>
                <w:color w:val="000000" w:themeColor="text1"/>
                <w:sz w:val="22"/>
                <w:szCs w:val="22"/>
                <w:lang w:eastAsia="x-none"/>
              </w:rPr>
              <w:t>4</w:t>
            </w:r>
          </w:p>
        </w:tc>
        <w:tc>
          <w:tcPr>
            <w:tcW w:w="1190" w:type="dxa"/>
            <w:shd w:val="clear" w:color="auto" w:fill="D9D9D9" w:themeFill="background1" w:themeFillShade="D9"/>
          </w:tcPr>
          <w:p w14:paraId="57CFEABA"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EBO3</w:t>
            </w:r>
          </w:p>
        </w:tc>
        <w:tc>
          <w:tcPr>
            <w:tcW w:w="1191" w:type="dxa"/>
            <w:shd w:val="clear" w:color="auto" w:fill="D9D9D9" w:themeFill="background1" w:themeFillShade="D9"/>
          </w:tcPr>
          <w:p w14:paraId="5E6CD363"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EBO4</w:t>
            </w:r>
          </w:p>
        </w:tc>
        <w:tc>
          <w:tcPr>
            <w:tcW w:w="1190" w:type="dxa"/>
            <w:shd w:val="clear" w:color="auto" w:fill="D9D9D9" w:themeFill="background1" w:themeFillShade="D9"/>
          </w:tcPr>
          <w:p w14:paraId="0FF6536F"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EMO1</w:t>
            </w:r>
          </w:p>
        </w:tc>
        <w:tc>
          <w:tcPr>
            <w:tcW w:w="1191" w:type="dxa"/>
            <w:shd w:val="clear" w:color="auto" w:fill="D9D9D9" w:themeFill="background1" w:themeFillShade="D9"/>
          </w:tcPr>
          <w:p w14:paraId="77EB9453"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EMO2</w:t>
            </w:r>
          </w:p>
        </w:tc>
        <w:tc>
          <w:tcPr>
            <w:tcW w:w="1049" w:type="dxa"/>
            <w:shd w:val="clear" w:color="auto" w:fill="D9D9D9" w:themeFill="background1" w:themeFillShade="D9"/>
          </w:tcPr>
          <w:p w14:paraId="23A62D8A"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EMO3</w:t>
            </w:r>
          </w:p>
        </w:tc>
      </w:tr>
      <w:tr w:rsidR="00A71B06" w:rsidRPr="00A408BF" w14:paraId="13A233F2" w14:textId="77777777" w:rsidTr="00066BA1">
        <w:trPr>
          <w:trHeight w:val="283"/>
        </w:trPr>
        <w:tc>
          <w:tcPr>
            <w:tcW w:w="3256" w:type="dxa"/>
          </w:tcPr>
          <w:p w14:paraId="2BD83346" w14:textId="77777777" w:rsidR="00A71B06" w:rsidRPr="00BA6AF3" w:rsidRDefault="00A71B06" w:rsidP="00590626">
            <w:pPr>
              <w:rPr>
                <w:color w:val="000000" w:themeColor="text1"/>
                <w:sz w:val="22"/>
                <w:szCs w:val="22"/>
                <w:lang w:eastAsia="x-none"/>
              </w:rPr>
            </w:pPr>
            <w:r w:rsidRPr="00BA6AF3">
              <w:rPr>
                <w:color w:val="000000" w:themeColor="text1"/>
                <w:sz w:val="22"/>
                <w:szCs w:val="22"/>
                <w:lang w:eastAsia="x-none"/>
              </w:rPr>
              <w:t>počet AO1</w:t>
            </w:r>
          </w:p>
        </w:tc>
        <w:tc>
          <w:tcPr>
            <w:tcW w:w="1190" w:type="dxa"/>
          </w:tcPr>
          <w:p w14:paraId="2033D6EE" w14:textId="7F73E614" w:rsidR="00A71B06" w:rsidRPr="00BA6AF3" w:rsidRDefault="00CA46DC" w:rsidP="00590626">
            <w:pPr>
              <w:jc w:val="center"/>
              <w:rPr>
                <w:color w:val="000000" w:themeColor="text1"/>
                <w:sz w:val="22"/>
                <w:szCs w:val="22"/>
                <w:lang w:eastAsia="x-none"/>
              </w:rPr>
            </w:pPr>
            <w:r>
              <w:rPr>
                <w:color w:val="000000" w:themeColor="text1"/>
                <w:sz w:val="22"/>
                <w:szCs w:val="22"/>
                <w:lang w:eastAsia="x-none"/>
              </w:rPr>
              <w:t>1</w:t>
            </w:r>
          </w:p>
        </w:tc>
        <w:tc>
          <w:tcPr>
            <w:tcW w:w="1191" w:type="dxa"/>
          </w:tcPr>
          <w:p w14:paraId="7FC91B69" w14:textId="0148F96C"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0" w:type="dxa"/>
          </w:tcPr>
          <w:p w14:paraId="612D78C3" w14:textId="692A1D94"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1</w:t>
            </w:r>
          </w:p>
        </w:tc>
        <w:tc>
          <w:tcPr>
            <w:tcW w:w="1191" w:type="dxa"/>
          </w:tcPr>
          <w:p w14:paraId="287EC727" w14:textId="7A3B4F9E"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049" w:type="dxa"/>
          </w:tcPr>
          <w:p w14:paraId="22AAF5BE" w14:textId="0BE98E1B" w:rsidR="00A71B06" w:rsidRPr="00BA6AF3" w:rsidRDefault="00CA46DC" w:rsidP="00590626">
            <w:pPr>
              <w:jc w:val="center"/>
              <w:rPr>
                <w:color w:val="000000" w:themeColor="text1"/>
                <w:sz w:val="22"/>
                <w:szCs w:val="22"/>
                <w:lang w:eastAsia="x-none"/>
              </w:rPr>
            </w:pPr>
            <w:r>
              <w:rPr>
                <w:color w:val="000000" w:themeColor="text1"/>
                <w:sz w:val="22"/>
                <w:szCs w:val="22"/>
                <w:lang w:eastAsia="x-none"/>
              </w:rPr>
              <w:t>2</w:t>
            </w:r>
          </w:p>
        </w:tc>
      </w:tr>
      <w:tr w:rsidR="00A71B06" w:rsidRPr="00A408BF" w14:paraId="002520B4" w14:textId="77777777" w:rsidTr="00066BA1">
        <w:trPr>
          <w:trHeight w:val="53"/>
        </w:trPr>
        <w:tc>
          <w:tcPr>
            <w:tcW w:w="3256" w:type="dxa"/>
          </w:tcPr>
          <w:p w14:paraId="50AF8E0D" w14:textId="77777777" w:rsidR="00A71B06" w:rsidRPr="00BA6AF3" w:rsidRDefault="00A71B06" w:rsidP="00590626">
            <w:pPr>
              <w:rPr>
                <w:color w:val="000000" w:themeColor="text1"/>
                <w:sz w:val="22"/>
                <w:szCs w:val="22"/>
                <w:lang w:eastAsia="x-none"/>
              </w:rPr>
            </w:pPr>
            <w:r w:rsidRPr="00BA6AF3">
              <w:rPr>
                <w:color w:val="000000" w:themeColor="text1"/>
                <w:sz w:val="22"/>
                <w:szCs w:val="22"/>
                <w:lang w:eastAsia="x-none"/>
              </w:rPr>
              <w:t xml:space="preserve">porušenia </w:t>
            </w:r>
            <w:proofErr w:type="spellStart"/>
            <w:r w:rsidRPr="00BA6AF3">
              <w:rPr>
                <w:color w:val="000000" w:themeColor="text1"/>
                <w:sz w:val="22"/>
                <w:szCs w:val="22"/>
                <w:lang w:eastAsia="x-none"/>
              </w:rPr>
              <w:t>LaP</w:t>
            </w:r>
            <w:proofErr w:type="spellEnd"/>
          </w:p>
        </w:tc>
        <w:tc>
          <w:tcPr>
            <w:tcW w:w="1190" w:type="dxa"/>
          </w:tcPr>
          <w:p w14:paraId="79E958F8" w14:textId="7B9AEB7C"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1" w:type="dxa"/>
          </w:tcPr>
          <w:p w14:paraId="0807108B" w14:textId="679563FF"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0" w:type="dxa"/>
          </w:tcPr>
          <w:p w14:paraId="12124E16" w14:textId="24875CAC" w:rsidR="00A71B06" w:rsidRPr="00BA6AF3" w:rsidRDefault="00CA46DC" w:rsidP="00590626">
            <w:pPr>
              <w:jc w:val="center"/>
              <w:rPr>
                <w:color w:val="000000" w:themeColor="text1"/>
                <w:sz w:val="22"/>
                <w:szCs w:val="22"/>
                <w:lang w:eastAsia="x-none"/>
              </w:rPr>
            </w:pPr>
            <w:r>
              <w:rPr>
                <w:color w:val="000000" w:themeColor="text1"/>
                <w:sz w:val="22"/>
                <w:szCs w:val="22"/>
                <w:lang w:eastAsia="x-none"/>
              </w:rPr>
              <w:t>1</w:t>
            </w:r>
          </w:p>
        </w:tc>
        <w:tc>
          <w:tcPr>
            <w:tcW w:w="1191" w:type="dxa"/>
          </w:tcPr>
          <w:p w14:paraId="634A4E33" w14:textId="506A6612"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049" w:type="dxa"/>
          </w:tcPr>
          <w:p w14:paraId="34A6DAD0" w14:textId="278B4546" w:rsidR="00A71B06" w:rsidRPr="00BA6AF3" w:rsidDel="0021168C" w:rsidRDefault="005E071B" w:rsidP="00590626">
            <w:pPr>
              <w:jc w:val="center"/>
              <w:rPr>
                <w:color w:val="000000" w:themeColor="text1"/>
                <w:sz w:val="22"/>
                <w:szCs w:val="22"/>
                <w:lang w:eastAsia="x-none"/>
              </w:rPr>
            </w:pPr>
            <w:r>
              <w:rPr>
                <w:color w:val="000000" w:themeColor="text1"/>
                <w:sz w:val="22"/>
                <w:szCs w:val="22"/>
                <w:lang w:eastAsia="x-none"/>
              </w:rPr>
              <w:t>3</w:t>
            </w:r>
          </w:p>
        </w:tc>
      </w:tr>
    </w:tbl>
    <w:p w14:paraId="4B63A4D1" w14:textId="48B6CBC1" w:rsidR="005E071B" w:rsidRDefault="005E071B" w:rsidP="00313808">
      <w:pPr>
        <w:jc w:val="both"/>
        <w:rPr>
          <w:color w:val="000000" w:themeColor="text1"/>
          <w:lang w:eastAsia="x-none"/>
        </w:rPr>
      </w:pPr>
    </w:p>
    <w:p w14:paraId="27B37F2F" w14:textId="22C695E8" w:rsidR="005E071B" w:rsidRPr="00375F26" w:rsidRDefault="005E071B" w:rsidP="00313808">
      <w:pPr>
        <w:jc w:val="both"/>
        <w:rPr>
          <w:color w:val="000000" w:themeColor="text1"/>
          <w:lang w:eastAsia="x-none"/>
        </w:rPr>
      </w:pPr>
      <w:r w:rsidRPr="005E071B">
        <w:rPr>
          <w:color w:val="000000" w:themeColor="text1"/>
          <w:lang w:eastAsia="x-none"/>
        </w:rPr>
        <w:t xml:space="preserve">V roku 2024 boli zaznamenané pôsobenia ochrán AO1 v jednom prípade na EBO, v jednom prípade na EMO1 a v dvoch prípadoch na EMO3. Porušenie </w:t>
      </w:r>
      <w:proofErr w:type="spellStart"/>
      <w:r w:rsidRPr="005E071B">
        <w:rPr>
          <w:color w:val="000000" w:themeColor="text1"/>
          <w:lang w:eastAsia="x-none"/>
        </w:rPr>
        <w:t>LaP</w:t>
      </w:r>
      <w:proofErr w:type="spellEnd"/>
      <w:r w:rsidRPr="005E071B">
        <w:rPr>
          <w:color w:val="000000" w:themeColor="text1"/>
          <w:lang w:eastAsia="x-none"/>
        </w:rPr>
        <w:t xml:space="preserve"> sa vyskytlo v jednom prípade na EMO1 a v troch prípadoch na EMO3.</w:t>
      </w:r>
    </w:p>
    <w:p w14:paraId="00C1E990" w14:textId="77777777" w:rsidR="00A71B06" w:rsidRPr="00375F26" w:rsidRDefault="00A71B06" w:rsidP="00A71B06">
      <w:pPr>
        <w:jc w:val="both"/>
        <w:rPr>
          <w:color w:val="000000" w:themeColor="text1"/>
          <w:lang w:eastAsia="x-none"/>
        </w:rPr>
      </w:pPr>
    </w:p>
    <w:p w14:paraId="2A29F927" w14:textId="7A2D7167" w:rsidR="00A71B06" w:rsidRPr="00375F26" w:rsidRDefault="00A71B06" w:rsidP="00A71B06">
      <w:pPr>
        <w:rPr>
          <w:color w:val="000000" w:themeColor="text1"/>
          <w:sz w:val="22"/>
          <w:szCs w:val="22"/>
          <w:lang w:eastAsia="x-none"/>
        </w:rPr>
      </w:pPr>
      <w:r w:rsidRPr="00375F26">
        <w:rPr>
          <w:color w:val="000000" w:themeColor="text1"/>
          <w:sz w:val="22"/>
          <w:szCs w:val="22"/>
          <w:lang w:eastAsia="x-none"/>
        </w:rPr>
        <w:t xml:space="preserve">Tab. 4 </w:t>
      </w:r>
      <w:r w:rsidR="007F34C1" w:rsidRPr="00375F26">
        <w:rPr>
          <w:color w:val="000000" w:themeColor="text1"/>
          <w:sz w:val="22"/>
          <w:szCs w:val="22"/>
          <w:lang w:eastAsia="x-none"/>
        </w:rPr>
        <w:t>Počet hlásených PU, počet PU s príspevkom ĽF a počet PU s klasifikáciou INES 1 v roku 2024</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52"/>
        <w:gridCol w:w="1086"/>
        <w:gridCol w:w="1087"/>
        <w:gridCol w:w="1087"/>
        <w:gridCol w:w="1086"/>
        <w:gridCol w:w="1087"/>
        <w:gridCol w:w="1087"/>
        <w:gridCol w:w="1087"/>
      </w:tblGrid>
      <w:tr w:rsidR="00CA46DC" w:rsidRPr="00A408BF" w14:paraId="48DFF25D" w14:textId="56484ED9" w:rsidTr="00CA46DC">
        <w:tc>
          <w:tcPr>
            <w:tcW w:w="2552" w:type="dxa"/>
            <w:shd w:val="clear" w:color="auto" w:fill="D9D9D9" w:themeFill="background1" w:themeFillShade="D9"/>
            <w:tcMar>
              <w:left w:w="70" w:type="dxa"/>
              <w:right w:w="70" w:type="dxa"/>
            </w:tcMar>
            <w:vAlign w:val="center"/>
          </w:tcPr>
          <w:p w14:paraId="27481DB8" w14:textId="75C8B49C" w:rsidR="00CA46DC" w:rsidRPr="00375F26" w:rsidRDefault="00CA46DC" w:rsidP="00313808">
            <w:pPr>
              <w:jc w:val="center"/>
              <w:rPr>
                <w:b/>
                <w:color w:val="000000" w:themeColor="text1"/>
                <w:sz w:val="22"/>
                <w:szCs w:val="22"/>
              </w:rPr>
            </w:pPr>
            <w:r w:rsidRPr="00375F26">
              <w:rPr>
                <w:b/>
                <w:color w:val="000000" w:themeColor="text1"/>
                <w:sz w:val="22"/>
                <w:szCs w:val="22"/>
              </w:rPr>
              <w:t>202</w:t>
            </w:r>
            <w:r w:rsidR="007F34C1" w:rsidRPr="00375F26">
              <w:rPr>
                <w:b/>
                <w:color w:val="000000" w:themeColor="text1"/>
                <w:sz w:val="22"/>
                <w:szCs w:val="22"/>
              </w:rPr>
              <w:t>4</w:t>
            </w:r>
          </w:p>
        </w:tc>
        <w:tc>
          <w:tcPr>
            <w:tcW w:w="1086" w:type="dxa"/>
            <w:shd w:val="clear" w:color="auto" w:fill="D9D9D9" w:themeFill="background1" w:themeFillShade="D9"/>
            <w:tcMar>
              <w:left w:w="70" w:type="dxa"/>
              <w:right w:w="70" w:type="dxa"/>
            </w:tcMar>
          </w:tcPr>
          <w:p w14:paraId="14A8E4F0" w14:textId="77777777" w:rsidR="00CA46DC" w:rsidRPr="00375F26" w:rsidRDefault="00CA46DC" w:rsidP="00BE05C2">
            <w:pPr>
              <w:jc w:val="center"/>
              <w:rPr>
                <w:b/>
                <w:color w:val="000000" w:themeColor="text1"/>
                <w:sz w:val="22"/>
                <w:szCs w:val="22"/>
              </w:rPr>
            </w:pPr>
            <w:r w:rsidRPr="00375F26">
              <w:rPr>
                <w:b/>
                <w:color w:val="000000" w:themeColor="text1"/>
                <w:sz w:val="22"/>
                <w:szCs w:val="22"/>
              </w:rPr>
              <w:t>EBO3</w:t>
            </w:r>
          </w:p>
        </w:tc>
        <w:tc>
          <w:tcPr>
            <w:tcW w:w="1087" w:type="dxa"/>
            <w:shd w:val="clear" w:color="auto" w:fill="D9D9D9" w:themeFill="background1" w:themeFillShade="D9"/>
            <w:tcMar>
              <w:left w:w="70" w:type="dxa"/>
              <w:right w:w="70" w:type="dxa"/>
            </w:tcMar>
          </w:tcPr>
          <w:p w14:paraId="2E639927" w14:textId="77777777" w:rsidR="00CA46DC" w:rsidRPr="00375F26" w:rsidRDefault="00CA46DC" w:rsidP="00BE05C2">
            <w:pPr>
              <w:jc w:val="center"/>
              <w:rPr>
                <w:b/>
                <w:color w:val="000000" w:themeColor="text1"/>
                <w:sz w:val="22"/>
                <w:szCs w:val="22"/>
              </w:rPr>
            </w:pPr>
            <w:r w:rsidRPr="00375F26">
              <w:rPr>
                <w:b/>
                <w:color w:val="000000" w:themeColor="text1"/>
                <w:sz w:val="22"/>
                <w:szCs w:val="22"/>
              </w:rPr>
              <w:t>EBO4</w:t>
            </w:r>
          </w:p>
        </w:tc>
        <w:tc>
          <w:tcPr>
            <w:tcW w:w="1087" w:type="dxa"/>
            <w:shd w:val="clear" w:color="auto" w:fill="D9D9D9" w:themeFill="background1" w:themeFillShade="D9"/>
          </w:tcPr>
          <w:p w14:paraId="71BA5DF9" w14:textId="35072C5E" w:rsidR="00CA46DC" w:rsidRPr="00375F26" w:rsidRDefault="00CA46DC" w:rsidP="00BE05C2">
            <w:pPr>
              <w:jc w:val="center"/>
              <w:rPr>
                <w:b/>
                <w:color w:val="000000" w:themeColor="text1"/>
                <w:sz w:val="22"/>
                <w:szCs w:val="22"/>
              </w:rPr>
            </w:pPr>
            <w:r w:rsidRPr="00375F26">
              <w:rPr>
                <w:b/>
                <w:color w:val="000000" w:themeColor="text1"/>
                <w:sz w:val="22"/>
                <w:szCs w:val="22"/>
              </w:rPr>
              <w:t>EBO34</w:t>
            </w:r>
          </w:p>
        </w:tc>
        <w:tc>
          <w:tcPr>
            <w:tcW w:w="1086" w:type="dxa"/>
            <w:shd w:val="clear" w:color="auto" w:fill="D9D9D9" w:themeFill="background1" w:themeFillShade="D9"/>
            <w:tcMar>
              <w:left w:w="70" w:type="dxa"/>
              <w:right w:w="70" w:type="dxa"/>
            </w:tcMar>
          </w:tcPr>
          <w:p w14:paraId="3DF733B7" w14:textId="7B6F23B9" w:rsidR="00CA46DC" w:rsidRPr="00375F26" w:rsidRDefault="00CA46DC" w:rsidP="00BE05C2">
            <w:pPr>
              <w:jc w:val="center"/>
              <w:rPr>
                <w:b/>
                <w:color w:val="000000" w:themeColor="text1"/>
                <w:sz w:val="22"/>
                <w:szCs w:val="22"/>
              </w:rPr>
            </w:pPr>
            <w:r w:rsidRPr="00375F26">
              <w:rPr>
                <w:b/>
                <w:color w:val="000000" w:themeColor="text1"/>
                <w:sz w:val="22"/>
                <w:szCs w:val="22"/>
              </w:rPr>
              <w:t>EMO1</w:t>
            </w:r>
          </w:p>
        </w:tc>
        <w:tc>
          <w:tcPr>
            <w:tcW w:w="1087" w:type="dxa"/>
            <w:shd w:val="clear" w:color="auto" w:fill="D9D9D9" w:themeFill="background1" w:themeFillShade="D9"/>
            <w:tcMar>
              <w:left w:w="70" w:type="dxa"/>
              <w:right w:w="70" w:type="dxa"/>
            </w:tcMar>
          </w:tcPr>
          <w:p w14:paraId="4F87BAB3" w14:textId="77777777" w:rsidR="00CA46DC" w:rsidRPr="00375F26" w:rsidRDefault="00CA46DC" w:rsidP="00BE05C2">
            <w:pPr>
              <w:jc w:val="center"/>
              <w:rPr>
                <w:b/>
                <w:color w:val="000000" w:themeColor="text1"/>
                <w:sz w:val="22"/>
                <w:szCs w:val="22"/>
              </w:rPr>
            </w:pPr>
            <w:r w:rsidRPr="00375F26">
              <w:rPr>
                <w:b/>
                <w:color w:val="000000" w:themeColor="text1"/>
                <w:sz w:val="22"/>
                <w:szCs w:val="22"/>
              </w:rPr>
              <w:t>EMO2</w:t>
            </w:r>
          </w:p>
        </w:tc>
        <w:tc>
          <w:tcPr>
            <w:tcW w:w="1087" w:type="dxa"/>
            <w:shd w:val="clear" w:color="auto" w:fill="D9D9D9" w:themeFill="background1" w:themeFillShade="D9"/>
          </w:tcPr>
          <w:p w14:paraId="251244A3" w14:textId="77777777" w:rsidR="00CA46DC" w:rsidRPr="00375F26" w:rsidRDefault="00CA46DC" w:rsidP="00BE05C2">
            <w:pPr>
              <w:jc w:val="center"/>
              <w:rPr>
                <w:b/>
                <w:color w:val="000000" w:themeColor="text1"/>
                <w:sz w:val="22"/>
                <w:szCs w:val="22"/>
              </w:rPr>
            </w:pPr>
            <w:r w:rsidRPr="00375F26">
              <w:rPr>
                <w:b/>
                <w:color w:val="000000" w:themeColor="text1"/>
                <w:sz w:val="22"/>
                <w:szCs w:val="22"/>
              </w:rPr>
              <w:t>EMO3</w:t>
            </w:r>
          </w:p>
        </w:tc>
        <w:tc>
          <w:tcPr>
            <w:tcW w:w="1087" w:type="dxa"/>
            <w:shd w:val="clear" w:color="auto" w:fill="D9D9D9" w:themeFill="background1" w:themeFillShade="D9"/>
          </w:tcPr>
          <w:p w14:paraId="2F05BE90" w14:textId="4B91A598" w:rsidR="00CA46DC" w:rsidRPr="00BA6AF3" w:rsidRDefault="00CA46DC" w:rsidP="00BE05C2">
            <w:pPr>
              <w:jc w:val="center"/>
              <w:rPr>
                <w:b/>
                <w:color w:val="000000" w:themeColor="text1"/>
                <w:sz w:val="22"/>
                <w:szCs w:val="22"/>
              </w:rPr>
            </w:pPr>
            <w:r w:rsidRPr="00375F26">
              <w:rPr>
                <w:b/>
                <w:color w:val="000000" w:themeColor="text1"/>
                <w:sz w:val="22"/>
                <w:szCs w:val="22"/>
              </w:rPr>
              <w:t>EMO34</w:t>
            </w:r>
          </w:p>
        </w:tc>
      </w:tr>
      <w:tr w:rsidR="00CA46DC" w:rsidRPr="00A408BF" w14:paraId="34B47C37" w14:textId="0A6C6B17" w:rsidTr="00CA46DC">
        <w:trPr>
          <w:trHeight w:val="306"/>
        </w:trPr>
        <w:tc>
          <w:tcPr>
            <w:tcW w:w="2552" w:type="dxa"/>
            <w:shd w:val="clear" w:color="000000" w:fill="FFFFFF"/>
            <w:tcMar>
              <w:left w:w="70" w:type="dxa"/>
              <w:right w:w="70" w:type="dxa"/>
            </w:tcMar>
          </w:tcPr>
          <w:p w14:paraId="5261A8C2" w14:textId="76F35CD1" w:rsidR="00CA46DC" w:rsidRPr="00BA6AF3" w:rsidRDefault="00CA46DC" w:rsidP="00313808">
            <w:pPr>
              <w:rPr>
                <w:color w:val="000000" w:themeColor="text1"/>
                <w:sz w:val="22"/>
                <w:szCs w:val="22"/>
              </w:rPr>
            </w:pPr>
            <w:r w:rsidRPr="00BA6AF3">
              <w:rPr>
                <w:sz w:val="22"/>
                <w:szCs w:val="22"/>
              </w:rPr>
              <w:t>PU hlásené ÚJD SR</w:t>
            </w:r>
          </w:p>
        </w:tc>
        <w:tc>
          <w:tcPr>
            <w:tcW w:w="1086" w:type="dxa"/>
            <w:shd w:val="clear" w:color="auto" w:fill="auto"/>
            <w:tcMar>
              <w:left w:w="70" w:type="dxa"/>
              <w:right w:w="70" w:type="dxa"/>
            </w:tcMar>
          </w:tcPr>
          <w:p w14:paraId="0794058E" w14:textId="41DF6E4D" w:rsidR="00CA46DC" w:rsidRPr="00BA6AF3" w:rsidRDefault="00CA46DC" w:rsidP="00313808">
            <w:pPr>
              <w:ind w:left="284"/>
              <w:jc w:val="center"/>
              <w:rPr>
                <w:color w:val="000000" w:themeColor="text1"/>
                <w:sz w:val="22"/>
                <w:szCs w:val="22"/>
              </w:rPr>
            </w:pPr>
            <w:r>
              <w:rPr>
                <w:color w:val="000000" w:themeColor="text1"/>
                <w:sz w:val="22"/>
                <w:szCs w:val="22"/>
              </w:rPr>
              <w:t>4</w:t>
            </w:r>
          </w:p>
        </w:tc>
        <w:tc>
          <w:tcPr>
            <w:tcW w:w="1087" w:type="dxa"/>
            <w:shd w:val="clear" w:color="auto" w:fill="auto"/>
            <w:tcMar>
              <w:left w:w="70" w:type="dxa"/>
              <w:right w:w="70" w:type="dxa"/>
            </w:tcMar>
          </w:tcPr>
          <w:p w14:paraId="54A5BB5A" w14:textId="520F5EB5" w:rsidR="00CA46DC" w:rsidRPr="00BA6AF3" w:rsidRDefault="00CA46DC" w:rsidP="00313808">
            <w:pPr>
              <w:ind w:left="284"/>
              <w:jc w:val="center"/>
              <w:rPr>
                <w:color w:val="000000" w:themeColor="text1"/>
                <w:sz w:val="22"/>
                <w:szCs w:val="22"/>
              </w:rPr>
            </w:pPr>
            <w:r>
              <w:rPr>
                <w:color w:val="000000" w:themeColor="text1"/>
                <w:sz w:val="22"/>
                <w:szCs w:val="22"/>
              </w:rPr>
              <w:t>4</w:t>
            </w:r>
          </w:p>
        </w:tc>
        <w:tc>
          <w:tcPr>
            <w:tcW w:w="1087" w:type="dxa"/>
          </w:tcPr>
          <w:p w14:paraId="39E47329" w14:textId="4EBFCB48" w:rsidR="00CA46DC" w:rsidRPr="00BA6AF3" w:rsidRDefault="00CA46DC" w:rsidP="00313808">
            <w:pPr>
              <w:ind w:left="284"/>
              <w:jc w:val="center"/>
              <w:rPr>
                <w:color w:val="000000" w:themeColor="text1"/>
                <w:sz w:val="22"/>
                <w:szCs w:val="22"/>
              </w:rPr>
            </w:pPr>
            <w:r>
              <w:rPr>
                <w:color w:val="000000" w:themeColor="text1"/>
                <w:sz w:val="22"/>
                <w:szCs w:val="22"/>
              </w:rPr>
              <w:t>2</w:t>
            </w:r>
          </w:p>
        </w:tc>
        <w:tc>
          <w:tcPr>
            <w:tcW w:w="1086" w:type="dxa"/>
            <w:shd w:val="clear" w:color="auto" w:fill="auto"/>
            <w:tcMar>
              <w:left w:w="70" w:type="dxa"/>
              <w:right w:w="70" w:type="dxa"/>
            </w:tcMar>
          </w:tcPr>
          <w:p w14:paraId="75115052" w14:textId="30E124E2" w:rsidR="00CA46DC" w:rsidRPr="00BA6AF3" w:rsidRDefault="00CA46DC" w:rsidP="00313808">
            <w:pPr>
              <w:ind w:left="284"/>
              <w:jc w:val="center"/>
              <w:rPr>
                <w:color w:val="000000" w:themeColor="text1"/>
                <w:sz w:val="22"/>
                <w:szCs w:val="22"/>
              </w:rPr>
            </w:pPr>
            <w:r>
              <w:rPr>
                <w:color w:val="000000" w:themeColor="text1"/>
                <w:sz w:val="22"/>
                <w:szCs w:val="22"/>
              </w:rPr>
              <w:t>11</w:t>
            </w:r>
          </w:p>
        </w:tc>
        <w:tc>
          <w:tcPr>
            <w:tcW w:w="1087" w:type="dxa"/>
            <w:shd w:val="clear" w:color="auto" w:fill="auto"/>
            <w:tcMar>
              <w:left w:w="70" w:type="dxa"/>
              <w:right w:w="70" w:type="dxa"/>
            </w:tcMar>
          </w:tcPr>
          <w:p w14:paraId="344357D2" w14:textId="5C1D4BB5" w:rsidR="00CA46DC" w:rsidRPr="00BA6AF3" w:rsidRDefault="00CA46DC" w:rsidP="00313808">
            <w:pPr>
              <w:ind w:left="284"/>
              <w:jc w:val="center"/>
              <w:rPr>
                <w:color w:val="000000" w:themeColor="text1"/>
                <w:sz w:val="22"/>
                <w:szCs w:val="22"/>
              </w:rPr>
            </w:pPr>
            <w:r>
              <w:rPr>
                <w:color w:val="000000" w:themeColor="text1"/>
                <w:sz w:val="22"/>
                <w:szCs w:val="22"/>
              </w:rPr>
              <w:t>6</w:t>
            </w:r>
          </w:p>
        </w:tc>
        <w:tc>
          <w:tcPr>
            <w:tcW w:w="1087" w:type="dxa"/>
          </w:tcPr>
          <w:p w14:paraId="168CDAD9" w14:textId="53B8F552" w:rsidR="00CA46DC" w:rsidRPr="00BA6AF3" w:rsidRDefault="00CA46DC" w:rsidP="00313808">
            <w:pPr>
              <w:ind w:left="284"/>
              <w:jc w:val="center"/>
              <w:rPr>
                <w:color w:val="000000" w:themeColor="text1"/>
                <w:sz w:val="22"/>
                <w:szCs w:val="22"/>
              </w:rPr>
            </w:pPr>
            <w:r>
              <w:rPr>
                <w:color w:val="000000" w:themeColor="text1"/>
                <w:sz w:val="22"/>
                <w:szCs w:val="22"/>
              </w:rPr>
              <w:t>16</w:t>
            </w:r>
          </w:p>
        </w:tc>
        <w:tc>
          <w:tcPr>
            <w:tcW w:w="1087" w:type="dxa"/>
          </w:tcPr>
          <w:p w14:paraId="7C54FD7C" w14:textId="14E71B6B" w:rsidR="00CA46DC" w:rsidRDefault="00CA46DC" w:rsidP="00313808">
            <w:pPr>
              <w:ind w:left="284"/>
              <w:jc w:val="center"/>
              <w:rPr>
                <w:color w:val="000000" w:themeColor="text1"/>
                <w:sz w:val="22"/>
                <w:szCs w:val="22"/>
              </w:rPr>
            </w:pPr>
            <w:r>
              <w:rPr>
                <w:color w:val="000000" w:themeColor="text1"/>
                <w:sz w:val="22"/>
                <w:szCs w:val="22"/>
              </w:rPr>
              <w:t>1</w:t>
            </w:r>
          </w:p>
        </w:tc>
      </w:tr>
      <w:tr w:rsidR="00CA46DC" w:rsidRPr="00A408BF" w14:paraId="3BADB782" w14:textId="638D7DB9" w:rsidTr="00CA46DC">
        <w:tc>
          <w:tcPr>
            <w:tcW w:w="2552" w:type="dxa"/>
            <w:shd w:val="clear" w:color="000000" w:fill="FFFFFF"/>
            <w:tcMar>
              <w:left w:w="70" w:type="dxa"/>
              <w:right w:w="70" w:type="dxa"/>
            </w:tcMar>
          </w:tcPr>
          <w:p w14:paraId="0B0E2B77" w14:textId="4364FD94" w:rsidR="00CA46DC" w:rsidRPr="00BA6AF3" w:rsidRDefault="00CA46DC" w:rsidP="00313808">
            <w:pPr>
              <w:rPr>
                <w:color w:val="000000" w:themeColor="text1"/>
                <w:sz w:val="22"/>
                <w:szCs w:val="22"/>
              </w:rPr>
            </w:pPr>
            <w:r w:rsidRPr="00BA6AF3">
              <w:rPr>
                <w:sz w:val="22"/>
                <w:szCs w:val="22"/>
              </w:rPr>
              <w:t>PU s príspevkom ĽF</w:t>
            </w:r>
          </w:p>
        </w:tc>
        <w:tc>
          <w:tcPr>
            <w:tcW w:w="1086" w:type="dxa"/>
            <w:shd w:val="clear" w:color="auto" w:fill="auto"/>
            <w:tcMar>
              <w:left w:w="70" w:type="dxa"/>
              <w:right w:w="70" w:type="dxa"/>
            </w:tcMar>
          </w:tcPr>
          <w:p w14:paraId="39A633C5" w14:textId="3E917D9A" w:rsidR="00CA46DC" w:rsidRPr="00BA6AF3" w:rsidRDefault="007F34C1" w:rsidP="00313808">
            <w:pPr>
              <w:ind w:left="284"/>
              <w:jc w:val="center"/>
              <w:rPr>
                <w:color w:val="000000" w:themeColor="text1"/>
                <w:sz w:val="22"/>
                <w:szCs w:val="22"/>
              </w:rPr>
            </w:pPr>
            <w:r>
              <w:rPr>
                <w:color w:val="000000" w:themeColor="text1"/>
                <w:sz w:val="22"/>
                <w:szCs w:val="22"/>
              </w:rPr>
              <w:t>1</w:t>
            </w:r>
          </w:p>
        </w:tc>
        <w:tc>
          <w:tcPr>
            <w:tcW w:w="1087" w:type="dxa"/>
            <w:shd w:val="clear" w:color="auto" w:fill="auto"/>
            <w:tcMar>
              <w:left w:w="70" w:type="dxa"/>
              <w:right w:w="70" w:type="dxa"/>
            </w:tcMar>
          </w:tcPr>
          <w:p w14:paraId="381CE79B" w14:textId="1601B031" w:rsidR="00CA46DC" w:rsidRPr="00BA6AF3" w:rsidRDefault="007F34C1" w:rsidP="00313808">
            <w:pPr>
              <w:ind w:left="284"/>
              <w:jc w:val="center"/>
              <w:rPr>
                <w:color w:val="000000" w:themeColor="text1"/>
                <w:sz w:val="22"/>
                <w:szCs w:val="22"/>
              </w:rPr>
            </w:pPr>
            <w:r>
              <w:rPr>
                <w:color w:val="000000" w:themeColor="text1"/>
                <w:sz w:val="22"/>
                <w:szCs w:val="22"/>
              </w:rPr>
              <w:t>1</w:t>
            </w:r>
          </w:p>
        </w:tc>
        <w:tc>
          <w:tcPr>
            <w:tcW w:w="1087" w:type="dxa"/>
          </w:tcPr>
          <w:p w14:paraId="296818BE" w14:textId="4030B0E1" w:rsidR="00CA46DC" w:rsidRPr="00BA6AF3" w:rsidRDefault="007F34C1" w:rsidP="00313808">
            <w:pPr>
              <w:ind w:left="284"/>
              <w:jc w:val="center"/>
              <w:rPr>
                <w:color w:val="000000" w:themeColor="text1"/>
                <w:sz w:val="22"/>
                <w:szCs w:val="22"/>
              </w:rPr>
            </w:pPr>
            <w:r>
              <w:rPr>
                <w:color w:val="000000" w:themeColor="text1"/>
                <w:sz w:val="22"/>
                <w:szCs w:val="22"/>
              </w:rPr>
              <w:t>1</w:t>
            </w:r>
          </w:p>
        </w:tc>
        <w:tc>
          <w:tcPr>
            <w:tcW w:w="1086" w:type="dxa"/>
            <w:shd w:val="clear" w:color="auto" w:fill="auto"/>
            <w:tcMar>
              <w:left w:w="70" w:type="dxa"/>
              <w:right w:w="70" w:type="dxa"/>
            </w:tcMar>
          </w:tcPr>
          <w:p w14:paraId="47EDF362" w14:textId="0E788886" w:rsidR="00CA46DC" w:rsidRPr="00BA6AF3" w:rsidRDefault="007F34C1" w:rsidP="00313808">
            <w:pPr>
              <w:ind w:left="284"/>
              <w:jc w:val="center"/>
              <w:rPr>
                <w:color w:val="000000" w:themeColor="text1"/>
                <w:sz w:val="22"/>
                <w:szCs w:val="22"/>
              </w:rPr>
            </w:pPr>
            <w:r>
              <w:rPr>
                <w:color w:val="000000" w:themeColor="text1"/>
                <w:sz w:val="22"/>
                <w:szCs w:val="22"/>
              </w:rPr>
              <w:t>5</w:t>
            </w:r>
          </w:p>
        </w:tc>
        <w:tc>
          <w:tcPr>
            <w:tcW w:w="1087" w:type="dxa"/>
            <w:shd w:val="clear" w:color="auto" w:fill="auto"/>
            <w:tcMar>
              <w:left w:w="70" w:type="dxa"/>
              <w:right w:w="70" w:type="dxa"/>
            </w:tcMar>
          </w:tcPr>
          <w:p w14:paraId="0E9EDAC9" w14:textId="2745A2B8" w:rsidR="00CA46DC" w:rsidRPr="00BA6AF3" w:rsidRDefault="007F34C1" w:rsidP="00313808">
            <w:pPr>
              <w:ind w:left="284"/>
              <w:jc w:val="center"/>
              <w:rPr>
                <w:color w:val="000000" w:themeColor="text1"/>
                <w:sz w:val="22"/>
                <w:szCs w:val="22"/>
              </w:rPr>
            </w:pPr>
            <w:r>
              <w:rPr>
                <w:color w:val="000000" w:themeColor="text1"/>
                <w:sz w:val="22"/>
                <w:szCs w:val="22"/>
              </w:rPr>
              <w:t>0</w:t>
            </w:r>
          </w:p>
        </w:tc>
        <w:tc>
          <w:tcPr>
            <w:tcW w:w="1087" w:type="dxa"/>
          </w:tcPr>
          <w:p w14:paraId="7F3BFEDF" w14:textId="123EDA9E" w:rsidR="00CA46DC" w:rsidRPr="00BA6AF3" w:rsidRDefault="007F34C1" w:rsidP="00313808">
            <w:pPr>
              <w:ind w:left="284"/>
              <w:jc w:val="center"/>
              <w:rPr>
                <w:color w:val="000000" w:themeColor="text1"/>
                <w:sz w:val="22"/>
                <w:szCs w:val="22"/>
              </w:rPr>
            </w:pPr>
            <w:r>
              <w:rPr>
                <w:color w:val="000000" w:themeColor="text1"/>
                <w:sz w:val="22"/>
                <w:szCs w:val="22"/>
              </w:rPr>
              <w:t>5</w:t>
            </w:r>
          </w:p>
        </w:tc>
        <w:tc>
          <w:tcPr>
            <w:tcW w:w="1087" w:type="dxa"/>
          </w:tcPr>
          <w:p w14:paraId="461D0FD4" w14:textId="1055877D" w:rsidR="00CA46DC" w:rsidRPr="00BA6AF3" w:rsidRDefault="007F34C1" w:rsidP="00313808">
            <w:pPr>
              <w:ind w:left="284"/>
              <w:jc w:val="center"/>
              <w:rPr>
                <w:color w:val="000000" w:themeColor="text1"/>
                <w:sz w:val="22"/>
                <w:szCs w:val="22"/>
              </w:rPr>
            </w:pPr>
            <w:r>
              <w:rPr>
                <w:color w:val="000000" w:themeColor="text1"/>
                <w:sz w:val="22"/>
                <w:szCs w:val="22"/>
              </w:rPr>
              <w:t>0</w:t>
            </w:r>
          </w:p>
        </w:tc>
      </w:tr>
      <w:tr w:rsidR="00CA46DC" w:rsidRPr="00A408BF" w14:paraId="5682E2EB" w14:textId="0E3E3D5E" w:rsidTr="00CA46DC">
        <w:tc>
          <w:tcPr>
            <w:tcW w:w="2552" w:type="dxa"/>
            <w:shd w:val="clear" w:color="000000" w:fill="FFFFFF"/>
            <w:tcMar>
              <w:left w:w="70" w:type="dxa"/>
              <w:right w:w="70" w:type="dxa"/>
            </w:tcMar>
          </w:tcPr>
          <w:p w14:paraId="1277B3F5" w14:textId="091FEE56" w:rsidR="00CA46DC" w:rsidRPr="00BA6AF3" w:rsidRDefault="00CA46DC" w:rsidP="00313808">
            <w:pPr>
              <w:rPr>
                <w:color w:val="000000" w:themeColor="text1"/>
                <w:sz w:val="22"/>
                <w:szCs w:val="22"/>
              </w:rPr>
            </w:pPr>
            <w:r w:rsidRPr="00BA6AF3">
              <w:rPr>
                <w:sz w:val="22"/>
                <w:szCs w:val="22"/>
              </w:rPr>
              <w:t>PU klasifikované ako INES 1</w:t>
            </w:r>
          </w:p>
        </w:tc>
        <w:tc>
          <w:tcPr>
            <w:tcW w:w="1086" w:type="dxa"/>
            <w:shd w:val="clear" w:color="auto" w:fill="auto"/>
            <w:tcMar>
              <w:left w:w="70" w:type="dxa"/>
              <w:right w:w="70" w:type="dxa"/>
            </w:tcMar>
          </w:tcPr>
          <w:p w14:paraId="153F8244" w14:textId="51C55F5E" w:rsidR="00CA46DC" w:rsidRPr="00BA6AF3" w:rsidRDefault="007F34C1" w:rsidP="00313808">
            <w:pPr>
              <w:ind w:left="284"/>
              <w:jc w:val="center"/>
              <w:rPr>
                <w:color w:val="000000" w:themeColor="text1"/>
                <w:sz w:val="22"/>
                <w:szCs w:val="22"/>
              </w:rPr>
            </w:pPr>
            <w:r>
              <w:rPr>
                <w:color w:val="000000" w:themeColor="text1"/>
                <w:sz w:val="22"/>
                <w:szCs w:val="22"/>
              </w:rPr>
              <w:t>1</w:t>
            </w:r>
          </w:p>
        </w:tc>
        <w:tc>
          <w:tcPr>
            <w:tcW w:w="1087" w:type="dxa"/>
            <w:shd w:val="clear" w:color="auto" w:fill="auto"/>
            <w:tcMar>
              <w:left w:w="70" w:type="dxa"/>
              <w:right w:w="70" w:type="dxa"/>
            </w:tcMar>
          </w:tcPr>
          <w:p w14:paraId="40753063" w14:textId="1B7D5977" w:rsidR="00CA46DC" w:rsidRPr="00BA6AF3" w:rsidRDefault="00CA46DC" w:rsidP="00313808">
            <w:pPr>
              <w:ind w:left="284"/>
              <w:jc w:val="center"/>
              <w:rPr>
                <w:color w:val="000000" w:themeColor="text1"/>
                <w:sz w:val="22"/>
                <w:szCs w:val="22"/>
              </w:rPr>
            </w:pPr>
            <w:r w:rsidRPr="00BA6AF3">
              <w:rPr>
                <w:color w:val="000000" w:themeColor="text1"/>
                <w:sz w:val="22"/>
                <w:szCs w:val="22"/>
              </w:rPr>
              <w:t>0</w:t>
            </w:r>
          </w:p>
        </w:tc>
        <w:tc>
          <w:tcPr>
            <w:tcW w:w="1087" w:type="dxa"/>
          </w:tcPr>
          <w:p w14:paraId="6B84A945" w14:textId="3AC834F3" w:rsidR="00CA46DC" w:rsidRPr="00BA6AF3" w:rsidRDefault="00CA46DC" w:rsidP="00313808">
            <w:pPr>
              <w:ind w:left="284"/>
              <w:jc w:val="center"/>
              <w:rPr>
                <w:color w:val="000000" w:themeColor="text1"/>
                <w:sz w:val="22"/>
                <w:szCs w:val="22"/>
              </w:rPr>
            </w:pPr>
            <w:r w:rsidRPr="00BA6AF3">
              <w:rPr>
                <w:color w:val="000000" w:themeColor="text1"/>
                <w:sz w:val="22"/>
                <w:szCs w:val="22"/>
              </w:rPr>
              <w:t>1</w:t>
            </w:r>
          </w:p>
        </w:tc>
        <w:tc>
          <w:tcPr>
            <w:tcW w:w="1086" w:type="dxa"/>
            <w:shd w:val="clear" w:color="auto" w:fill="auto"/>
            <w:tcMar>
              <w:left w:w="70" w:type="dxa"/>
              <w:right w:w="70" w:type="dxa"/>
            </w:tcMar>
          </w:tcPr>
          <w:p w14:paraId="6ACE1CF4" w14:textId="56FE9905" w:rsidR="00CA46DC" w:rsidRPr="00BA6AF3" w:rsidRDefault="00CA46DC"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0039B86D" w14:textId="5797D067" w:rsidR="00CA46DC" w:rsidRPr="00BA6AF3" w:rsidRDefault="00CA46DC" w:rsidP="00313808">
            <w:pPr>
              <w:ind w:left="284"/>
              <w:jc w:val="center"/>
              <w:rPr>
                <w:color w:val="000000" w:themeColor="text1"/>
                <w:sz w:val="22"/>
                <w:szCs w:val="22"/>
              </w:rPr>
            </w:pPr>
            <w:r w:rsidRPr="00BA6AF3">
              <w:rPr>
                <w:color w:val="000000" w:themeColor="text1"/>
                <w:sz w:val="22"/>
                <w:szCs w:val="22"/>
              </w:rPr>
              <w:t>0</w:t>
            </w:r>
          </w:p>
        </w:tc>
        <w:tc>
          <w:tcPr>
            <w:tcW w:w="1087" w:type="dxa"/>
          </w:tcPr>
          <w:p w14:paraId="4164E3C5" w14:textId="40C9777C" w:rsidR="00CA46DC" w:rsidRPr="00BA6AF3" w:rsidRDefault="007F34C1" w:rsidP="00313808">
            <w:pPr>
              <w:ind w:left="284"/>
              <w:jc w:val="center"/>
              <w:rPr>
                <w:color w:val="000000" w:themeColor="text1"/>
                <w:sz w:val="22"/>
                <w:szCs w:val="22"/>
              </w:rPr>
            </w:pPr>
            <w:r>
              <w:rPr>
                <w:color w:val="000000" w:themeColor="text1"/>
                <w:sz w:val="22"/>
                <w:szCs w:val="22"/>
              </w:rPr>
              <w:t>1</w:t>
            </w:r>
          </w:p>
        </w:tc>
        <w:tc>
          <w:tcPr>
            <w:tcW w:w="1087" w:type="dxa"/>
          </w:tcPr>
          <w:p w14:paraId="04C501EA" w14:textId="0BF9B49B" w:rsidR="00CA46DC" w:rsidRPr="00BA6AF3" w:rsidRDefault="007F34C1" w:rsidP="00313808">
            <w:pPr>
              <w:ind w:left="284"/>
              <w:jc w:val="center"/>
              <w:rPr>
                <w:color w:val="000000" w:themeColor="text1"/>
                <w:sz w:val="22"/>
                <w:szCs w:val="22"/>
              </w:rPr>
            </w:pPr>
            <w:r>
              <w:rPr>
                <w:color w:val="000000" w:themeColor="text1"/>
                <w:sz w:val="22"/>
                <w:szCs w:val="22"/>
              </w:rPr>
              <w:t>0</w:t>
            </w:r>
          </w:p>
        </w:tc>
      </w:tr>
    </w:tbl>
    <w:p w14:paraId="76483E3D" w14:textId="77777777" w:rsidR="00A71B06" w:rsidRPr="00A408BF" w:rsidRDefault="00A71B06" w:rsidP="00A71B06">
      <w:pPr>
        <w:jc w:val="both"/>
        <w:rPr>
          <w:color w:val="000000" w:themeColor="text1"/>
          <w:lang w:eastAsia="x-none"/>
        </w:rPr>
      </w:pPr>
    </w:p>
    <w:p w14:paraId="18C36581" w14:textId="3B66A763" w:rsidR="007F34C1" w:rsidRPr="00375F26" w:rsidRDefault="007F34C1" w:rsidP="009A163A">
      <w:pPr>
        <w:jc w:val="both"/>
        <w:rPr>
          <w:color w:val="000000" w:themeColor="text1"/>
          <w:lang w:eastAsia="x-none"/>
        </w:rPr>
      </w:pPr>
      <w:r w:rsidRPr="00375F26">
        <w:rPr>
          <w:color w:val="000000" w:themeColor="text1"/>
          <w:lang w:eastAsia="x-none"/>
        </w:rPr>
        <w:t xml:space="preserve">Počty PU s príspevkom ĽF </w:t>
      </w:r>
      <w:r w:rsidR="00CC14B6">
        <w:rPr>
          <w:color w:val="000000" w:themeColor="text1"/>
          <w:lang w:eastAsia="x-none"/>
        </w:rPr>
        <w:t xml:space="preserve">sa </w:t>
      </w:r>
      <w:r w:rsidRPr="00375F26">
        <w:rPr>
          <w:color w:val="000000" w:themeColor="text1"/>
          <w:lang w:eastAsia="x-none"/>
        </w:rPr>
        <w:t>vzťahujú len na udalosti hlásené úradu. Podiel</w:t>
      </w:r>
      <w:r w:rsidR="00CC14B6">
        <w:rPr>
          <w:color w:val="000000" w:themeColor="text1"/>
          <w:lang w:eastAsia="x-none"/>
        </w:rPr>
        <w:t xml:space="preserve"> ĽF</w:t>
      </w:r>
      <w:r w:rsidRPr="00375F26">
        <w:rPr>
          <w:color w:val="000000" w:themeColor="text1"/>
          <w:lang w:eastAsia="x-none"/>
        </w:rPr>
        <w:t xml:space="preserve"> na týchto udalostiach bol prehodnotený (potvrdený) skupinou pre analýzu udalostí ÚJD SR.</w:t>
      </w:r>
    </w:p>
    <w:p w14:paraId="2A3C0B0E" w14:textId="77777777" w:rsidR="002A77CB" w:rsidRPr="00375F26" w:rsidRDefault="002A77CB" w:rsidP="00A71B06">
      <w:pPr>
        <w:jc w:val="both"/>
        <w:rPr>
          <w:color w:val="000000" w:themeColor="text1"/>
          <w:lang w:eastAsia="x-none"/>
        </w:rPr>
      </w:pPr>
    </w:p>
    <w:p w14:paraId="318C6880" w14:textId="269B7169" w:rsidR="00A71B06" w:rsidRPr="00375F26" w:rsidRDefault="00A71B06" w:rsidP="00A71B06">
      <w:pPr>
        <w:rPr>
          <w:b/>
          <w:color w:val="000000" w:themeColor="text1"/>
          <w:lang w:eastAsia="x-none"/>
        </w:rPr>
      </w:pPr>
      <w:r w:rsidRPr="00375F26">
        <w:rPr>
          <w:b/>
          <w:color w:val="000000" w:themeColor="text1"/>
          <w:lang w:eastAsia="x-none"/>
        </w:rPr>
        <w:t>Prevádzka bezpečnostných systémov:</w:t>
      </w:r>
    </w:p>
    <w:p w14:paraId="113BF040" w14:textId="6E82A1F2" w:rsidR="005E071B" w:rsidRDefault="007F34C1" w:rsidP="007F34C1">
      <w:pPr>
        <w:autoSpaceDE w:val="0"/>
        <w:autoSpaceDN w:val="0"/>
        <w:adjustRightInd w:val="0"/>
        <w:jc w:val="both"/>
        <w:rPr>
          <w:color w:val="000000" w:themeColor="text1"/>
          <w:szCs w:val="24"/>
        </w:rPr>
      </w:pPr>
      <w:r w:rsidRPr="00375F26">
        <w:rPr>
          <w:color w:val="000000" w:themeColor="text1"/>
          <w:szCs w:val="24"/>
        </w:rPr>
        <w:t xml:space="preserve">Prevádzka bezpečnostných systémov sa hodnotí prostredníctvom koeficientov </w:t>
      </w:r>
      <w:proofErr w:type="spellStart"/>
      <w:r w:rsidRPr="00375F26">
        <w:rPr>
          <w:color w:val="000000" w:themeColor="text1"/>
          <w:szCs w:val="24"/>
        </w:rPr>
        <w:t>nepohotovosti</w:t>
      </w:r>
      <w:proofErr w:type="spellEnd"/>
      <w:r w:rsidRPr="00375F26">
        <w:rPr>
          <w:color w:val="000000" w:themeColor="text1"/>
          <w:szCs w:val="24"/>
        </w:rPr>
        <w:t xml:space="preserve">. Koeficient </w:t>
      </w:r>
      <w:proofErr w:type="spellStart"/>
      <w:r w:rsidRPr="00375F26">
        <w:rPr>
          <w:color w:val="000000" w:themeColor="text1"/>
          <w:szCs w:val="24"/>
        </w:rPr>
        <w:t>nepohotovosti</w:t>
      </w:r>
      <w:proofErr w:type="spellEnd"/>
      <w:r w:rsidRPr="00375F26">
        <w:rPr>
          <w:color w:val="000000" w:themeColor="text1"/>
          <w:szCs w:val="24"/>
        </w:rPr>
        <w:t xml:space="preserve"> je definovaný ako pomer súčtu doby </w:t>
      </w:r>
      <w:proofErr w:type="spellStart"/>
      <w:r w:rsidRPr="00375F26">
        <w:rPr>
          <w:color w:val="000000" w:themeColor="text1"/>
          <w:szCs w:val="24"/>
        </w:rPr>
        <w:t>nepohotovostí</w:t>
      </w:r>
      <w:proofErr w:type="spellEnd"/>
      <w:r w:rsidRPr="00375F26">
        <w:rPr>
          <w:color w:val="000000" w:themeColor="text1"/>
          <w:szCs w:val="24"/>
        </w:rPr>
        <w:t xml:space="preserve"> daného systému k celkovej dobe, keď je jeho prevádzkyschopnosť požadovaná. </w:t>
      </w:r>
      <w:proofErr w:type="spellStart"/>
      <w:r w:rsidRPr="00375F26">
        <w:rPr>
          <w:color w:val="000000" w:themeColor="text1"/>
          <w:szCs w:val="24"/>
        </w:rPr>
        <w:t>Nepohotovosť</w:t>
      </w:r>
      <w:proofErr w:type="spellEnd"/>
      <w:r w:rsidRPr="00375F26">
        <w:rPr>
          <w:color w:val="000000" w:themeColor="text1"/>
          <w:szCs w:val="24"/>
        </w:rPr>
        <w:t xml:space="preserve"> je spravidla vyvolaná opravami porúch zistených počas pravidelných skúšok systémov.</w:t>
      </w:r>
    </w:p>
    <w:p w14:paraId="564CA05F" w14:textId="12D550B7" w:rsidR="007F34C1" w:rsidRPr="00375F26" w:rsidRDefault="005E071B" w:rsidP="007F34C1">
      <w:pPr>
        <w:autoSpaceDE w:val="0"/>
        <w:autoSpaceDN w:val="0"/>
        <w:adjustRightInd w:val="0"/>
        <w:jc w:val="both"/>
        <w:rPr>
          <w:color w:val="000000" w:themeColor="text1"/>
          <w:szCs w:val="24"/>
        </w:rPr>
      </w:pPr>
      <w:r w:rsidRPr="005E071B">
        <w:rPr>
          <w:color w:val="000000" w:themeColor="text1"/>
          <w:szCs w:val="24"/>
        </w:rPr>
        <w:t xml:space="preserve">V JE Mochovce 3 sa vyskytlo 1 zlyhanie bezpečnostných systémov. V JE Bohunice V-2  a ani v JE Mochovce 1, 2 sa počas roka 2024 zlyhanie bezpečnostných systémov nevyskytlo. </w:t>
      </w:r>
      <w:r>
        <w:rPr>
          <w:color w:val="000000" w:themeColor="text1"/>
          <w:szCs w:val="24"/>
        </w:rPr>
        <w:t xml:space="preserve"> </w:t>
      </w:r>
      <w:r>
        <w:rPr>
          <w:color w:val="000000" w:themeColor="text1"/>
          <w:szCs w:val="24"/>
        </w:rPr>
        <w:br/>
      </w:r>
      <w:r w:rsidR="007F34C1" w:rsidRPr="00375F26">
        <w:rPr>
          <w:color w:val="000000" w:themeColor="text1"/>
          <w:szCs w:val="24"/>
        </w:rPr>
        <w:t>V Tab.</w:t>
      </w:r>
      <w:r>
        <w:rPr>
          <w:color w:val="000000" w:themeColor="text1"/>
          <w:szCs w:val="24"/>
        </w:rPr>
        <w:t> </w:t>
      </w:r>
      <w:r w:rsidR="007F34C1" w:rsidRPr="00375F26">
        <w:rPr>
          <w:color w:val="000000" w:themeColor="text1"/>
          <w:szCs w:val="24"/>
        </w:rPr>
        <w:t xml:space="preserve">5 sú uvedené vypočítané koeficienty </w:t>
      </w:r>
      <w:proofErr w:type="spellStart"/>
      <w:r w:rsidR="007F34C1" w:rsidRPr="00375F26">
        <w:rPr>
          <w:color w:val="000000" w:themeColor="text1"/>
          <w:szCs w:val="24"/>
        </w:rPr>
        <w:t>nepohotovosti</w:t>
      </w:r>
      <w:proofErr w:type="spellEnd"/>
      <w:r w:rsidR="007F34C1" w:rsidRPr="00375F26">
        <w:rPr>
          <w:color w:val="000000" w:themeColor="text1"/>
          <w:szCs w:val="24"/>
        </w:rPr>
        <w:t xml:space="preserve"> nasledovných bezpečnostných systémov:</w:t>
      </w:r>
    </w:p>
    <w:p w14:paraId="54B12FC2" w14:textId="7F9D7D1E" w:rsidR="007F34C1" w:rsidRPr="00375F26" w:rsidRDefault="007F34C1" w:rsidP="007F34C1">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375F26">
        <w:rPr>
          <w:rFonts w:ascii="Times New Roman" w:hAnsi="Times New Roman"/>
          <w:color w:val="000000" w:themeColor="text1"/>
          <w:sz w:val="24"/>
          <w:szCs w:val="24"/>
        </w:rPr>
        <w:t>nepohotovosť</w:t>
      </w:r>
      <w:proofErr w:type="spellEnd"/>
      <w:r w:rsidRPr="00375F26">
        <w:rPr>
          <w:rFonts w:ascii="Times New Roman" w:hAnsi="Times New Roman"/>
          <w:color w:val="000000" w:themeColor="text1"/>
          <w:sz w:val="24"/>
          <w:szCs w:val="24"/>
        </w:rPr>
        <w:t xml:space="preserve"> </w:t>
      </w:r>
      <w:proofErr w:type="spellStart"/>
      <w:r w:rsidRPr="00375F26">
        <w:rPr>
          <w:rFonts w:ascii="Times New Roman" w:hAnsi="Times New Roman"/>
          <w:color w:val="000000" w:themeColor="text1"/>
          <w:sz w:val="24"/>
          <w:szCs w:val="24"/>
        </w:rPr>
        <w:t>dieselgenerátorov</w:t>
      </w:r>
      <w:proofErr w:type="spellEnd"/>
      <w:r w:rsidRPr="00375F26">
        <w:rPr>
          <w:rFonts w:ascii="Times New Roman" w:hAnsi="Times New Roman"/>
          <w:color w:val="000000" w:themeColor="text1"/>
          <w:sz w:val="24"/>
          <w:szCs w:val="24"/>
        </w:rPr>
        <w:t xml:space="preserve"> (</w:t>
      </w:r>
      <w:r w:rsidR="002E0EAD">
        <w:rPr>
          <w:rFonts w:ascii="Times New Roman" w:hAnsi="Times New Roman"/>
          <w:color w:val="000000" w:themeColor="text1"/>
          <w:sz w:val="24"/>
          <w:szCs w:val="24"/>
        </w:rPr>
        <w:t>ďalej len „</w:t>
      </w:r>
      <w:r w:rsidRPr="00375F26">
        <w:rPr>
          <w:rFonts w:ascii="Times New Roman" w:hAnsi="Times New Roman"/>
          <w:color w:val="000000" w:themeColor="text1"/>
          <w:sz w:val="24"/>
          <w:szCs w:val="24"/>
        </w:rPr>
        <w:t>DG</w:t>
      </w:r>
      <w:r w:rsidR="002E0EAD">
        <w:rPr>
          <w:rFonts w:ascii="Times New Roman" w:hAnsi="Times New Roman"/>
          <w:color w:val="000000" w:themeColor="text1"/>
          <w:sz w:val="24"/>
          <w:szCs w:val="24"/>
        </w:rPr>
        <w:t>“</w:t>
      </w:r>
      <w:r w:rsidRPr="00375F26">
        <w:rPr>
          <w:rFonts w:ascii="Times New Roman" w:hAnsi="Times New Roman"/>
          <w:color w:val="000000" w:themeColor="text1"/>
          <w:sz w:val="24"/>
          <w:szCs w:val="24"/>
        </w:rPr>
        <w:t>), ktoré zabezpečujú elektrické napájanie iných bezpečnostných systémov v prípade straty ostatných vlastných a vonkajších zdrojov elektrického napájania,</w:t>
      </w:r>
    </w:p>
    <w:p w14:paraId="2C81F7C0" w14:textId="4A94FEB1" w:rsidR="007F34C1" w:rsidRPr="00375F26" w:rsidRDefault="007F34C1" w:rsidP="007F34C1">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375F26">
        <w:rPr>
          <w:rFonts w:ascii="Times New Roman" w:hAnsi="Times New Roman"/>
          <w:color w:val="000000" w:themeColor="text1"/>
          <w:sz w:val="24"/>
          <w:szCs w:val="24"/>
        </w:rPr>
        <w:t>nepohotovosť</w:t>
      </w:r>
      <w:proofErr w:type="spellEnd"/>
      <w:r w:rsidRPr="00375F26">
        <w:rPr>
          <w:rFonts w:ascii="Times New Roman" w:hAnsi="Times New Roman"/>
          <w:color w:val="000000" w:themeColor="text1"/>
          <w:sz w:val="24"/>
          <w:szCs w:val="24"/>
        </w:rPr>
        <w:t xml:space="preserve"> čerpadiel </w:t>
      </w:r>
      <w:proofErr w:type="spellStart"/>
      <w:r w:rsidRPr="00375F26">
        <w:rPr>
          <w:rFonts w:ascii="Times New Roman" w:hAnsi="Times New Roman"/>
          <w:color w:val="000000" w:themeColor="text1"/>
          <w:sz w:val="24"/>
          <w:szCs w:val="24"/>
        </w:rPr>
        <w:t>vysokotlakého</w:t>
      </w:r>
      <w:proofErr w:type="spellEnd"/>
      <w:r w:rsidRPr="00375F26">
        <w:rPr>
          <w:rFonts w:ascii="Times New Roman" w:hAnsi="Times New Roman"/>
          <w:color w:val="000000" w:themeColor="text1"/>
          <w:sz w:val="24"/>
          <w:szCs w:val="24"/>
        </w:rPr>
        <w:t xml:space="preserve"> havarijného doplňovania primárneho okruhu (</w:t>
      </w:r>
      <w:r w:rsidR="002E0EAD">
        <w:rPr>
          <w:rFonts w:ascii="Times New Roman" w:hAnsi="Times New Roman"/>
          <w:color w:val="000000" w:themeColor="text1"/>
          <w:sz w:val="24"/>
          <w:szCs w:val="24"/>
        </w:rPr>
        <w:t>ďalej len „</w:t>
      </w:r>
      <w:r w:rsidRPr="00375F26">
        <w:rPr>
          <w:rFonts w:ascii="Times New Roman" w:hAnsi="Times New Roman"/>
          <w:color w:val="000000" w:themeColor="text1"/>
          <w:sz w:val="24"/>
          <w:szCs w:val="24"/>
        </w:rPr>
        <w:t>VT</w:t>
      </w:r>
      <w:r w:rsidR="002E0EAD">
        <w:rPr>
          <w:rFonts w:ascii="Times New Roman" w:hAnsi="Times New Roman"/>
          <w:color w:val="000000" w:themeColor="text1"/>
          <w:sz w:val="24"/>
          <w:szCs w:val="24"/>
        </w:rPr>
        <w:t>“</w:t>
      </w:r>
      <w:r w:rsidRPr="00375F26">
        <w:rPr>
          <w:rFonts w:ascii="Times New Roman" w:hAnsi="Times New Roman"/>
          <w:color w:val="000000" w:themeColor="text1"/>
          <w:sz w:val="24"/>
          <w:szCs w:val="24"/>
        </w:rPr>
        <w:t>) – tieto čerpadlá sú určené na chladenie aktívnej zóny rektora v prípade únikov chladiva z primárneho okruhu,</w:t>
      </w:r>
    </w:p>
    <w:p w14:paraId="328B1B55" w14:textId="7927A8CF" w:rsidR="007F34C1" w:rsidRPr="00375F26" w:rsidRDefault="007F34C1" w:rsidP="007F34C1">
      <w:pPr>
        <w:pStyle w:val="Odsekzoznamu"/>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375F26">
        <w:rPr>
          <w:rFonts w:ascii="Times New Roman" w:hAnsi="Times New Roman"/>
          <w:color w:val="000000" w:themeColor="text1"/>
          <w:sz w:val="24"/>
          <w:szCs w:val="24"/>
        </w:rPr>
        <w:t>nepohotovosť</w:t>
      </w:r>
      <w:proofErr w:type="spellEnd"/>
      <w:r w:rsidRPr="00375F26">
        <w:rPr>
          <w:rFonts w:ascii="Times New Roman" w:hAnsi="Times New Roman"/>
          <w:color w:val="000000" w:themeColor="text1"/>
          <w:sz w:val="24"/>
          <w:szCs w:val="24"/>
        </w:rPr>
        <w:t xml:space="preserve"> systému napájania parogenerátorov (</w:t>
      </w:r>
      <w:r w:rsidR="002E0EAD">
        <w:rPr>
          <w:rFonts w:ascii="Times New Roman" w:hAnsi="Times New Roman"/>
          <w:color w:val="000000" w:themeColor="text1"/>
          <w:sz w:val="24"/>
          <w:szCs w:val="24"/>
        </w:rPr>
        <w:t>ďalej len „</w:t>
      </w:r>
      <w:r w:rsidRPr="00375F26">
        <w:rPr>
          <w:rFonts w:ascii="Times New Roman" w:hAnsi="Times New Roman"/>
          <w:color w:val="000000" w:themeColor="text1"/>
          <w:sz w:val="24"/>
          <w:szCs w:val="24"/>
        </w:rPr>
        <w:t>PG</w:t>
      </w:r>
      <w:r w:rsidR="002E0EAD">
        <w:rPr>
          <w:rFonts w:ascii="Times New Roman" w:hAnsi="Times New Roman"/>
          <w:color w:val="000000" w:themeColor="text1"/>
          <w:sz w:val="24"/>
          <w:szCs w:val="24"/>
        </w:rPr>
        <w:t>“</w:t>
      </w:r>
      <w:r w:rsidRPr="00375F26">
        <w:rPr>
          <w:rFonts w:ascii="Times New Roman" w:hAnsi="Times New Roman"/>
          <w:color w:val="000000" w:themeColor="text1"/>
          <w:sz w:val="24"/>
          <w:szCs w:val="24"/>
        </w:rPr>
        <w:t xml:space="preserve">) – čerpadlá </w:t>
      </w:r>
      <w:proofErr w:type="spellStart"/>
      <w:r w:rsidRPr="00375F26">
        <w:rPr>
          <w:rFonts w:ascii="Times New Roman" w:hAnsi="Times New Roman"/>
          <w:color w:val="000000" w:themeColor="text1"/>
          <w:sz w:val="24"/>
          <w:szCs w:val="24"/>
        </w:rPr>
        <w:t>superhavarijného</w:t>
      </w:r>
      <w:proofErr w:type="spellEnd"/>
      <w:r w:rsidRPr="00375F26">
        <w:rPr>
          <w:rFonts w:ascii="Times New Roman" w:hAnsi="Times New Roman"/>
          <w:color w:val="000000" w:themeColor="text1"/>
          <w:sz w:val="24"/>
          <w:szCs w:val="24"/>
        </w:rPr>
        <w:t xml:space="preserve"> systému napájania parogenerátorov (</w:t>
      </w:r>
      <w:r w:rsidR="002E0EAD">
        <w:rPr>
          <w:rFonts w:ascii="Times New Roman" w:hAnsi="Times New Roman"/>
          <w:color w:val="000000" w:themeColor="text1"/>
          <w:sz w:val="24"/>
          <w:szCs w:val="24"/>
        </w:rPr>
        <w:t>ďalej len „</w:t>
      </w:r>
      <w:r w:rsidRPr="00375F26">
        <w:rPr>
          <w:rFonts w:ascii="Times New Roman" w:hAnsi="Times New Roman"/>
          <w:color w:val="000000" w:themeColor="text1"/>
          <w:sz w:val="24"/>
          <w:szCs w:val="24"/>
        </w:rPr>
        <w:t>SHNČ</w:t>
      </w:r>
      <w:r w:rsidR="002E0EAD">
        <w:rPr>
          <w:rFonts w:ascii="Times New Roman" w:hAnsi="Times New Roman"/>
          <w:color w:val="000000" w:themeColor="text1"/>
          <w:sz w:val="24"/>
          <w:szCs w:val="24"/>
        </w:rPr>
        <w:t>“</w:t>
      </w:r>
      <w:r w:rsidRPr="00375F26">
        <w:rPr>
          <w:rFonts w:ascii="Times New Roman" w:hAnsi="Times New Roman"/>
          <w:color w:val="000000" w:themeColor="text1"/>
          <w:sz w:val="24"/>
          <w:szCs w:val="24"/>
        </w:rPr>
        <w:t>) a čerpadlá havarijného systému napájania parogenerátorov (</w:t>
      </w:r>
      <w:r w:rsidR="002E0EAD">
        <w:rPr>
          <w:rFonts w:ascii="Times New Roman" w:hAnsi="Times New Roman"/>
          <w:color w:val="000000" w:themeColor="text1"/>
          <w:sz w:val="24"/>
          <w:szCs w:val="24"/>
        </w:rPr>
        <w:t>ďalej len „</w:t>
      </w:r>
      <w:r w:rsidRPr="00375F26">
        <w:rPr>
          <w:rFonts w:ascii="Times New Roman" w:hAnsi="Times New Roman"/>
          <w:color w:val="000000" w:themeColor="text1"/>
          <w:sz w:val="24"/>
          <w:szCs w:val="24"/>
        </w:rPr>
        <w:t>HNČ</w:t>
      </w:r>
      <w:r w:rsidR="002E0EAD">
        <w:rPr>
          <w:rFonts w:ascii="Times New Roman" w:hAnsi="Times New Roman"/>
          <w:color w:val="000000" w:themeColor="text1"/>
          <w:sz w:val="24"/>
          <w:szCs w:val="24"/>
        </w:rPr>
        <w:t>“</w:t>
      </w:r>
      <w:r w:rsidRPr="00375F26">
        <w:rPr>
          <w:rFonts w:ascii="Times New Roman" w:hAnsi="Times New Roman"/>
          <w:color w:val="000000" w:themeColor="text1"/>
          <w:sz w:val="24"/>
          <w:szCs w:val="24"/>
        </w:rPr>
        <w:t>) zabezpečujú dopĺňanie sekundárnej strany parogenerátorov a tým aj odvod tepla z primárneho okruhu v podmienkach abnormálnej prevádzky a v havarijných stavoch.</w:t>
      </w:r>
    </w:p>
    <w:p w14:paraId="7521D24F" w14:textId="77777777" w:rsidR="00A71B06" w:rsidRPr="00984406" w:rsidRDefault="00A71B06" w:rsidP="00A71B06">
      <w:pPr>
        <w:jc w:val="both"/>
        <w:rPr>
          <w:color w:val="000000" w:themeColor="text1"/>
          <w:lang w:eastAsia="x-none"/>
        </w:rPr>
      </w:pPr>
    </w:p>
    <w:p w14:paraId="38745D7E" w14:textId="78F80BED" w:rsidR="00F14212" w:rsidRPr="00F14212" w:rsidRDefault="00A71B06" w:rsidP="00F14212">
      <w:pPr>
        <w:jc w:val="both"/>
        <w:rPr>
          <w:color w:val="000000" w:themeColor="text1"/>
          <w:sz w:val="22"/>
          <w:szCs w:val="22"/>
          <w:lang w:eastAsia="x-none"/>
        </w:rPr>
      </w:pPr>
      <w:r w:rsidRPr="00F14212">
        <w:rPr>
          <w:color w:val="000000" w:themeColor="text1"/>
          <w:sz w:val="22"/>
          <w:szCs w:val="22"/>
          <w:lang w:eastAsia="x-none"/>
        </w:rPr>
        <w:t xml:space="preserve">Tab. 5 Koeficienty </w:t>
      </w:r>
      <w:proofErr w:type="spellStart"/>
      <w:r w:rsidRPr="00F14212">
        <w:rPr>
          <w:color w:val="000000" w:themeColor="text1"/>
          <w:sz w:val="22"/>
          <w:szCs w:val="22"/>
          <w:lang w:eastAsia="x-none"/>
        </w:rPr>
        <w:t>nepohotovosti</w:t>
      </w:r>
      <w:proofErr w:type="spellEnd"/>
      <w:r w:rsidRPr="00F14212">
        <w:rPr>
          <w:color w:val="000000" w:themeColor="text1"/>
          <w:sz w:val="22"/>
          <w:szCs w:val="22"/>
          <w:lang w:eastAsia="x-none"/>
        </w:rPr>
        <w:t xml:space="preserve"> vybraných bezpečnostných systémov pre bloky JZ v SR v roku 202</w:t>
      </w:r>
      <w:r w:rsidR="005E071B" w:rsidRPr="00F14212">
        <w:rPr>
          <w:color w:val="000000" w:themeColor="text1"/>
          <w:sz w:val="22"/>
          <w:szCs w:val="22"/>
          <w:lang w:eastAsia="x-none"/>
        </w:rPr>
        <w:t>4</w:t>
      </w:r>
    </w:p>
    <w:tbl>
      <w:tblPr>
        <w:tblStyle w:val="Mriekatabuky"/>
        <w:tblW w:w="9067" w:type="dxa"/>
        <w:tblLook w:val="04A0" w:firstRow="1" w:lastRow="0" w:firstColumn="1" w:lastColumn="0" w:noHBand="0" w:noVBand="1"/>
      </w:tblPr>
      <w:tblGrid>
        <w:gridCol w:w="2972"/>
        <w:gridCol w:w="1247"/>
        <w:gridCol w:w="1247"/>
        <w:gridCol w:w="1248"/>
        <w:gridCol w:w="1247"/>
        <w:gridCol w:w="1106"/>
      </w:tblGrid>
      <w:tr w:rsidR="00F14212" w:rsidRPr="00F14212" w14:paraId="5EC43C4A" w14:textId="77777777" w:rsidTr="00814227">
        <w:tc>
          <w:tcPr>
            <w:tcW w:w="2972" w:type="dxa"/>
            <w:shd w:val="clear" w:color="auto" w:fill="D9D9D9" w:themeFill="background1" w:themeFillShade="D9"/>
          </w:tcPr>
          <w:p w14:paraId="4FFF109B" w14:textId="07A6E823" w:rsidR="00F14212" w:rsidRPr="00F14212" w:rsidRDefault="00F14212" w:rsidP="00814227">
            <w:pPr>
              <w:jc w:val="center"/>
              <w:rPr>
                <w:b/>
                <w:color w:val="000000" w:themeColor="text1"/>
                <w:sz w:val="22"/>
                <w:szCs w:val="22"/>
                <w:lang w:eastAsia="x-none"/>
              </w:rPr>
            </w:pPr>
            <w:r w:rsidRPr="00F14212">
              <w:rPr>
                <w:b/>
                <w:color w:val="000000" w:themeColor="text1"/>
                <w:sz w:val="22"/>
                <w:szCs w:val="22"/>
                <w:lang w:eastAsia="x-none"/>
              </w:rPr>
              <w:t>2024</w:t>
            </w:r>
          </w:p>
        </w:tc>
        <w:tc>
          <w:tcPr>
            <w:tcW w:w="1247" w:type="dxa"/>
            <w:shd w:val="clear" w:color="auto" w:fill="D9D9D9" w:themeFill="background1" w:themeFillShade="D9"/>
          </w:tcPr>
          <w:p w14:paraId="072CF5AF" w14:textId="77777777" w:rsidR="00F14212" w:rsidRPr="00F14212" w:rsidRDefault="00F14212" w:rsidP="00814227">
            <w:pPr>
              <w:jc w:val="center"/>
              <w:rPr>
                <w:b/>
                <w:color w:val="000000" w:themeColor="text1"/>
                <w:sz w:val="22"/>
                <w:szCs w:val="22"/>
                <w:lang w:eastAsia="x-none"/>
              </w:rPr>
            </w:pPr>
            <w:r w:rsidRPr="00F14212">
              <w:rPr>
                <w:b/>
                <w:color w:val="000000" w:themeColor="text1"/>
                <w:sz w:val="22"/>
                <w:szCs w:val="22"/>
                <w:lang w:eastAsia="x-none"/>
              </w:rPr>
              <w:t>EBO3</w:t>
            </w:r>
          </w:p>
        </w:tc>
        <w:tc>
          <w:tcPr>
            <w:tcW w:w="1247" w:type="dxa"/>
            <w:shd w:val="clear" w:color="auto" w:fill="D9D9D9" w:themeFill="background1" w:themeFillShade="D9"/>
          </w:tcPr>
          <w:p w14:paraId="62D9F936" w14:textId="77777777" w:rsidR="00F14212" w:rsidRPr="00F14212" w:rsidRDefault="00F14212" w:rsidP="00814227">
            <w:pPr>
              <w:jc w:val="center"/>
              <w:rPr>
                <w:b/>
                <w:color w:val="000000" w:themeColor="text1"/>
                <w:sz w:val="22"/>
                <w:szCs w:val="22"/>
                <w:lang w:eastAsia="x-none"/>
              </w:rPr>
            </w:pPr>
            <w:r w:rsidRPr="00F14212">
              <w:rPr>
                <w:b/>
                <w:color w:val="000000" w:themeColor="text1"/>
                <w:sz w:val="22"/>
                <w:szCs w:val="22"/>
                <w:lang w:eastAsia="x-none"/>
              </w:rPr>
              <w:t>EBO4</w:t>
            </w:r>
          </w:p>
        </w:tc>
        <w:tc>
          <w:tcPr>
            <w:tcW w:w="1248" w:type="dxa"/>
            <w:shd w:val="clear" w:color="auto" w:fill="D9D9D9" w:themeFill="background1" w:themeFillShade="D9"/>
          </w:tcPr>
          <w:p w14:paraId="5F3A8720" w14:textId="77777777" w:rsidR="00F14212" w:rsidRPr="00F14212" w:rsidRDefault="00F14212" w:rsidP="00814227">
            <w:pPr>
              <w:jc w:val="center"/>
              <w:rPr>
                <w:b/>
                <w:color w:val="000000" w:themeColor="text1"/>
                <w:sz w:val="22"/>
                <w:szCs w:val="22"/>
                <w:lang w:eastAsia="x-none"/>
              </w:rPr>
            </w:pPr>
            <w:r w:rsidRPr="00F14212">
              <w:rPr>
                <w:b/>
                <w:color w:val="000000" w:themeColor="text1"/>
                <w:sz w:val="22"/>
                <w:szCs w:val="22"/>
                <w:lang w:eastAsia="x-none"/>
              </w:rPr>
              <w:t>EMO1</w:t>
            </w:r>
          </w:p>
        </w:tc>
        <w:tc>
          <w:tcPr>
            <w:tcW w:w="1247" w:type="dxa"/>
            <w:shd w:val="clear" w:color="auto" w:fill="D9D9D9" w:themeFill="background1" w:themeFillShade="D9"/>
          </w:tcPr>
          <w:p w14:paraId="635EAFCA" w14:textId="77777777" w:rsidR="00F14212" w:rsidRPr="00F14212" w:rsidRDefault="00F14212" w:rsidP="00814227">
            <w:pPr>
              <w:jc w:val="center"/>
              <w:rPr>
                <w:b/>
                <w:color w:val="000000" w:themeColor="text1"/>
                <w:sz w:val="22"/>
                <w:szCs w:val="22"/>
                <w:lang w:eastAsia="x-none"/>
              </w:rPr>
            </w:pPr>
            <w:r w:rsidRPr="00F14212">
              <w:rPr>
                <w:b/>
                <w:color w:val="000000" w:themeColor="text1"/>
                <w:sz w:val="22"/>
                <w:szCs w:val="22"/>
                <w:lang w:eastAsia="x-none"/>
              </w:rPr>
              <w:t>EMO2</w:t>
            </w:r>
          </w:p>
        </w:tc>
        <w:tc>
          <w:tcPr>
            <w:tcW w:w="1106" w:type="dxa"/>
            <w:shd w:val="clear" w:color="auto" w:fill="D9D9D9" w:themeFill="background1" w:themeFillShade="D9"/>
          </w:tcPr>
          <w:p w14:paraId="428AB811" w14:textId="77777777" w:rsidR="00F14212" w:rsidRPr="00F14212" w:rsidRDefault="00F14212" w:rsidP="00814227">
            <w:pPr>
              <w:jc w:val="center"/>
              <w:rPr>
                <w:b/>
                <w:color w:val="000000" w:themeColor="text1"/>
                <w:sz w:val="22"/>
                <w:szCs w:val="22"/>
                <w:lang w:eastAsia="x-none"/>
              </w:rPr>
            </w:pPr>
            <w:r w:rsidRPr="00F14212">
              <w:rPr>
                <w:b/>
                <w:color w:val="000000" w:themeColor="text1"/>
                <w:sz w:val="22"/>
                <w:szCs w:val="22"/>
                <w:lang w:eastAsia="x-none"/>
              </w:rPr>
              <w:t>EMO3</w:t>
            </w:r>
          </w:p>
        </w:tc>
      </w:tr>
      <w:tr w:rsidR="00F14212" w:rsidRPr="00F14212" w14:paraId="1A366ECD" w14:textId="77777777" w:rsidTr="00814227">
        <w:tc>
          <w:tcPr>
            <w:tcW w:w="2972" w:type="dxa"/>
          </w:tcPr>
          <w:p w14:paraId="2949D41A" w14:textId="77777777" w:rsidR="00F14212" w:rsidRPr="00F14212" w:rsidRDefault="00F14212" w:rsidP="00814227">
            <w:pPr>
              <w:rPr>
                <w:color w:val="000000" w:themeColor="text1"/>
                <w:sz w:val="22"/>
                <w:szCs w:val="22"/>
                <w:lang w:eastAsia="x-none"/>
              </w:rPr>
            </w:pPr>
            <w:proofErr w:type="spellStart"/>
            <w:r w:rsidRPr="00F14212">
              <w:rPr>
                <w:color w:val="000000" w:themeColor="text1"/>
                <w:sz w:val="22"/>
                <w:szCs w:val="22"/>
                <w:lang w:eastAsia="x-none"/>
              </w:rPr>
              <w:t>nepohotovosť</w:t>
            </w:r>
            <w:proofErr w:type="spellEnd"/>
            <w:r w:rsidRPr="00F14212">
              <w:rPr>
                <w:color w:val="000000" w:themeColor="text1"/>
                <w:sz w:val="22"/>
                <w:szCs w:val="22"/>
                <w:lang w:eastAsia="x-none"/>
              </w:rPr>
              <w:t xml:space="preserve"> DG</w:t>
            </w:r>
          </w:p>
        </w:tc>
        <w:tc>
          <w:tcPr>
            <w:tcW w:w="1247" w:type="dxa"/>
          </w:tcPr>
          <w:p w14:paraId="105AAE88" w14:textId="77777777" w:rsidR="00F14212" w:rsidRPr="00F14212" w:rsidRDefault="00F14212" w:rsidP="00814227">
            <w:pPr>
              <w:jc w:val="center"/>
              <w:rPr>
                <w:color w:val="000000" w:themeColor="text1"/>
                <w:sz w:val="22"/>
                <w:szCs w:val="22"/>
                <w:lang w:eastAsia="x-none"/>
              </w:rPr>
            </w:pPr>
            <w:r w:rsidRPr="00F14212">
              <w:rPr>
                <w:sz w:val="22"/>
                <w:szCs w:val="22"/>
              </w:rPr>
              <w:t>0,000812</w:t>
            </w:r>
          </w:p>
        </w:tc>
        <w:tc>
          <w:tcPr>
            <w:tcW w:w="1247" w:type="dxa"/>
          </w:tcPr>
          <w:p w14:paraId="01E65D05" w14:textId="77777777" w:rsidR="00F14212" w:rsidRPr="00F14212" w:rsidRDefault="00F14212" w:rsidP="00814227">
            <w:pPr>
              <w:jc w:val="center"/>
              <w:rPr>
                <w:color w:val="000000" w:themeColor="text1"/>
                <w:sz w:val="22"/>
                <w:szCs w:val="22"/>
                <w:lang w:eastAsia="x-none"/>
              </w:rPr>
            </w:pPr>
            <w:r w:rsidRPr="00F14212">
              <w:rPr>
                <w:sz w:val="22"/>
                <w:szCs w:val="22"/>
              </w:rPr>
              <w:t>0,000133</w:t>
            </w:r>
          </w:p>
        </w:tc>
        <w:tc>
          <w:tcPr>
            <w:tcW w:w="1248" w:type="dxa"/>
          </w:tcPr>
          <w:p w14:paraId="7D8B3279" w14:textId="77777777" w:rsidR="00F14212" w:rsidRPr="00F14212" w:rsidRDefault="00F14212" w:rsidP="00814227">
            <w:pPr>
              <w:jc w:val="center"/>
              <w:rPr>
                <w:color w:val="000000" w:themeColor="text1"/>
                <w:sz w:val="22"/>
                <w:szCs w:val="22"/>
                <w:lang w:eastAsia="x-none"/>
              </w:rPr>
            </w:pPr>
            <w:r w:rsidRPr="00F14212">
              <w:rPr>
                <w:sz w:val="22"/>
                <w:szCs w:val="22"/>
              </w:rPr>
              <w:t>0,00027</w:t>
            </w:r>
          </w:p>
        </w:tc>
        <w:tc>
          <w:tcPr>
            <w:tcW w:w="1247" w:type="dxa"/>
          </w:tcPr>
          <w:p w14:paraId="601C4BDC" w14:textId="77777777" w:rsidR="00F14212" w:rsidRPr="00F14212" w:rsidRDefault="00F14212" w:rsidP="00814227">
            <w:pPr>
              <w:jc w:val="center"/>
              <w:rPr>
                <w:color w:val="000000" w:themeColor="text1"/>
                <w:sz w:val="22"/>
                <w:szCs w:val="22"/>
                <w:lang w:eastAsia="x-none"/>
              </w:rPr>
            </w:pPr>
            <w:r w:rsidRPr="00F14212">
              <w:rPr>
                <w:sz w:val="22"/>
                <w:szCs w:val="22"/>
              </w:rPr>
              <w:t>0,00022</w:t>
            </w:r>
          </w:p>
        </w:tc>
        <w:tc>
          <w:tcPr>
            <w:tcW w:w="1106" w:type="dxa"/>
          </w:tcPr>
          <w:p w14:paraId="38972A16" w14:textId="77777777" w:rsidR="00F14212" w:rsidRPr="00F14212" w:rsidDel="005E668D" w:rsidRDefault="00F14212" w:rsidP="00814227">
            <w:pPr>
              <w:jc w:val="center"/>
              <w:rPr>
                <w:sz w:val="22"/>
                <w:szCs w:val="22"/>
              </w:rPr>
            </w:pPr>
            <w:r w:rsidRPr="00F14212">
              <w:rPr>
                <w:sz w:val="22"/>
                <w:szCs w:val="22"/>
              </w:rPr>
              <w:t>0</w:t>
            </w:r>
          </w:p>
        </w:tc>
      </w:tr>
      <w:tr w:rsidR="00F14212" w:rsidRPr="00F14212" w14:paraId="16A33EBB" w14:textId="77777777" w:rsidTr="00814227">
        <w:tc>
          <w:tcPr>
            <w:tcW w:w="2972" w:type="dxa"/>
          </w:tcPr>
          <w:p w14:paraId="35457C06" w14:textId="77777777" w:rsidR="00F14212" w:rsidRPr="00F14212" w:rsidRDefault="00F14212" w:rsidP="00814227">
            <w:pPr>
              <w:rPr>
                <w:color w:val="000000" w:themeColor="text1"/>
                <w:sz w:val="22"/>
                <w:szCs w:val="22"/>
                <w:lang w:eastAsia="x-none"/>
              </w:rPr>
            </w:pPr>
            <w:proofErr w:type="spellStart"/>
            <w:r w:rsidRPr="00F14212">
              <w:rPr>
                <w:color w:val="000000" w:themeColor="text1"/>
                <w:sz w:val="22"/>
                <w:szCs w:val="22"/>
                <w:lang w:eastAsia="x-none"/>
              </w:rPr>
              <w:t>nepohotovosť</w:t>
            </w:r>
            <w:proofErr w:type="spellEnd"/>
            <w:r w:rsidRPr="00F14212">
              <w:rPr>
                <w:color w:val="000000" w:themeColor="text1"/>
                <w:sz w:val="22"/>
                <w:szCs w:val="22"/>
                <w:lang w:eastAsia="x-none"/>
              </w:rPr>
              <w:t xml:space="preserve"> VT</w:t>
            </w:r>
          </w:p>
        </w:tc>
        <w:tc>
          <w:tcPr>
            <w:tcW w:w="1247" w:type="dxa"/>
          </w:tcPr>
          <w:p w14:paraId="45B3CBF2" w14:textId="77777777" w:rsidR="00F14212" w:rsidRPr="00F14212" w:rsidRDefault="00F14212" w:rsidP="00814227">
            <w:pPr>
              <w:jc w:val="center"/>
              <w:rPr>
                <w:color w:val="000000" w:themeColor="text1"/>
                <w:sz w:val="22"/>
                <w:szCs w:val="22"/>
                <w:lang w:eastAsia="x-none"/>
              </w:rPr>
            </w:pPr>
            <w:r w:rsidRPr="00F14212">
              <w:rPr>
                <w:sz w:val="22"/>
                <w:szCs w:val="22"/>
              </w:rPr>
              <w:t>0,000942</w:t>
            </w:r>
          </w:p>
        </w:tc>
        <w:tc>
          <w:tcPr>
            <w:tcW w:w="1247" w:type="dxa"/>
          </w:tcPr>
          <w:p w14:paraId="1DA3CD9F" w14:textId="77777777" w:rsidR="00F14212" w:rsidRPr="00F14212" w:rsidRDefault="00F14212" w:rsidP="00814227">
            <w:pPr>
              <w:jc w:val="center"/>
              <w:rPr>
                <w:color w:val="000000" w:themeColor="text1"/>
                <w:sz w:val="22"/>
                <w:szCs w:val="22"/>
                <w:lang w:eastAsia="x-none"/>
              </w:rPr>
            </w:pPr>
            <w:r w:rsidRPr="00F14212">
              <w:rPr>
                <w:sz w:val="22"/>
                <w:szCs w:val="22"/>
              </w:rPr>
              <w:t>0,000157</w:t>
            </w:r>
          </w:p>
        </w:tc>
        <w:tc>
          <w:tcPr>
            <w:tcW w:w="1248" w:type="dxa"/>
          </w:tcPr>
          <w:p w14:paraId="301403E9" w14:textId="77777777" w:rsidR="00F14212" w:rsidRPr="00F14212" w:rsidRDefault="00F14212" w:rsidP="00814227">
            <w:pPr>
              <w:jc w:val="center"/>
              <w:rPr>
                <w:color w:val="000000" w:themeColor="text1"/>
                <w:sz w:val="22"/>
                <w:szCs w:val="22"/>
                <w:lang w:eastAsia="x-none"/>
              </w:rPr>
            </w:pPr>
            <w:r w:rsidRPr="00F14212">
              <w:rPr>
                <w:sz w:val="22"/>
                <w:szCs w:val="22"/>
              </w:rPr>
              <w:t>0</w:t>
            </w:r>
          </w:p>
        </w:tc>
        <w:tc>
          <w:tcPr>
            <w:tcW w:w="1247" w:type="dxa"/>
          </w:tcPr>
          <w:p w14:paraId="0AE6CF80" w14:textId="77777777" w:rsidR="00F14212" w:rsidRPr="00F14212" w:rsidRDefault="00F14212" w:rsidP="00814227">
            <w:pPr>
              <w:jc w:val="center"/>
              <w:rPr>
                <w:color w:val="000000" w:themeColor="text1"/>
                <w:sz w:val="22"/>
                <w:szCs w:val="22"/>
                <w:lang w:eastAsia="x-none"/>
              </w:rPr>
            </w:pPr>
            <w:r w:rsidRPr="00F14212">
              <w:rPr>
                <w:sz w:val="22"/>
                <w:szCs w:val="22"/>
              </w:rPr>
              <w:t>0,000025</w:t>
            </w:r>
          </w:p>
        </w:tc>
        <w:tc>
          <w:tcPr>
            <w:tcW w:w="1106" w:type="dxa"/>
          </w:tcPr>
          <w:p w14:paraId="53B30A69" w14:textId="77777777" w:rsidR="00F14212" w:rsidRPr="00F14212" w:rsidRDefault="00F14212" w:rsidP="00814227">
            <w:pPr>
              <w:jc w:val="center"/>
              <w:rPr>
                <w:sz w:val="22"/>
                <w:szCs w:val="22"/>
              </w:rPr>
            </w:pPr>
            <w:r w:rsidRPr="00F14212">
              <w:rPr>
                <w:sz w:val="22"/>
                <w:szCs w:val="22"/>
              </w:rPr>
              <w:t>0</w:t>
            </w:r>
          </w:p>
        </w:tc>
      </w:tr>
      <w:tr w:rsidR="00F14212" w:rsidRPr="00F14212" w14:paraId="511D5428" w14:textId="77777777" w:rsidTr="00814227">
        <w:tc>
          <w:tcPr>
            <w:tcW w:w="2972" w:type="dxa"/>
          </w:tcPr>
          <w:p w14:paraId="0FAA4495" w14:textId="77777777" w:rsidR="00F14212" w:rsidRPr="00F14212" w:rsidRDefault="00F14212" w:rsidP="00814227">
            <w:pPr>
              <w:rPr>
                <w:color w:val="000000" w:themeColor="text1"/>
                <w:sz w:val="22"/>
                <w:szCs w:val="22"/>
                <w:lang w:eastAsia="x-none"/>
              </w:rPr>
            </w:pPr>
            <w:proofErr w:type="spellStart"/>
            <w:r w:rsidRPr="00F14212">
              <w:rPr>
                <w:color w:val="000000" w:themeColor="text1"/>
                <w:sz w:val="22"/>
                <w:szCs w:val="22"/>
                <w:lang w:eastAsia="x-none"/>
              </w:rPr>
              <w:t>nepohotovosť</w:t>
            </w:r>
            <w:proofErr w:type="spellEnd"/>
            <w:r w:rsidRPr="00F14212">
              <w:rPr>
                <w:color w:val="000000" w:themeColor="text1"/>
                <w:sz w:val="22"/>
                <w:szCs w:val="22"/>
                <w:lang w:eastAsia="x-none"/>
              </w:rPr>
              <w:t xml:space="preserve"> SHNČ+HNČ</w:t>
            </w:r>
          </w:p>
        </w:tc>
        <w:tc>
          <w:tcPr>
            <w:tcW w:w="1247" w:type="dxa"/>
          </w:tcPr>
          <w:p w14:paraId="1215C7E5" w14:textId="77777777" w:rsidR="00F14212" w:rsidRPr="00F14212" w:rsidRDefault="00F14212" w:rsidP="00814227">
            <w:pPr>
              <w:jc w:val="center"/>
              <w:rPr>
                <w:color w:val="000000" w:themeColor="text1"/>
                <w:sz w:val="22"/>
                <w:szCs w:val="22"/>
                <w:lang w:eastAsia="x-none"/>
              </w:rPr>
            </w:pPr>
            <w:r w:rsidRPr="00F14212">
              <w:rPr>
                <w:sz w:val="22"/>
                <w:szCs w:val="22"/>
              </w:rPr>
              <w:t>0,00071</w:t>
            </w:r>
          </w:p>
        </w:tc>
        <w:tc>
          <w:tcPr>
            <w:tcW w:w="1247" w:type="dxa"/>
          </w:tcPr>
          <w:p w14:paraId="68A265C5" w14:textId="77777777" w:rsidR="00F14212" w:rsidRPr="00F14212" w:rsidRDefault="00F14212" w:rsidP="00814227">
            <w:pPr>
              <w:jc w:val="center"/>
              <w:rPr>
                <w:color w:val="000000" w:themeColor="text1"/>
                <w:sz w:val="22"/>
                <w:szCs w:val="22"/>
                <w:lang w:eastAsia="x-none"/>
              </w:rPr>
            </w:pPr>
            <w:r w:rsidRPr="00F14212">
              <w:rPr>
                <w:sz w:val="22"/>
                <w:szCs w:val="22"/>
              </w:rPr>
              <w:t>0,00842</w:t>
            </w:r>
          </w:p>
        </w:tc>
        <w:tc>
          <w:tcPr>
            <w:tcW w:w="1248" w:type="dxa"/>
          </w:tcPr>
          <w:p w14:paraId="39271EA4" w14:textId="77777777" w:rsidR="00F14212" w:rsidRPr="00F14212" w:rsidRDefault="00F14212" w:rsidP="00814227">
            <w:pPr>
              <w:jc w:val="center"/>
              <w:rPr>
                <w:color w:val="000000" w:themeColor="text1"/>
                <w:sz w:val="22"/>
                <w:szCs w:val="22"/>
                <w:lang w:eastAsia="x-none"/>
              </w:rPr>
            </w:pPr>
            <w:r w:rsidRPr="00F14212">
              <w:rPr>
                <w:sz w:val="22"/>
                <w:szCs w:val="22"/>
              </w:rPr>
              <w:t>0,000131</w:t>
            </w:r>
          </w:p>
        </w:tc>
        <w:tc>
          <w:tcPr>
            <w:tcW w:w="1247" w:type="dxa"/>
          </w:tcPr>
          <w:p w14:paraId="2CCF5EE2" w14:textId="77777777" w:rsidR="00F14212" w:rsidRPr="00F14212" w:rsidRDefault="00F14212" w:rsidP="00814227">
            <w:pPr>
              <w:jc w:val="center"/>
              <w:rPr>
                <w:color w:val="000000" w:themeColor="text1"/>
                <w:sz w:val="22"/>
                <w:szCs w:val="22"/>
                <w:lang w:eastAsia="x-none"/>
              </w:rPr>
            </w:pPr>
            <w:r w:rsidRPr="00F14212">
              <w:rPr>
                <w:sz w:val="22"/>
                <w:szCs w:val="22"/>
              </w:rPr>
              <w:t>0,000185</w:t>
            </w:r>
          </w:p>
        </w:tc>
        <w:tc>
          <w:tcPr>
            <w:tcW w:w="1106" w:type="dxa"/>
          </w:tcPr>
          <w:p w14:paraId="2A77CDC2" w14:textId="77777777" w:rsidR="00F14212" w:rsidRPr="00F14212" w:rsidRDefault="00F14212" w:rsidP="00814227">
            <w:pPr>
              <w:jc w:val="center"/>
              <w:rPr>
                <w:sz w:val="22"/>
                <w:szCs w:val="22"/>
              </w:rPr>
            </w:pPr>
            <w:r w:rsidRPr="00F14212">
              <w:rPr>
                <w:sz w:val="22"/>
                <w:szCs w:val="22"/>
              </w:rPr>
              <w:t>0,00219</w:t>
            </w:r>
          </w:p>
        </w:tc>
      </w:tr>
    </w:tbl>
    <w:p w14:paraId="4A39CF4B" w14:textId="77777777" w:rsidR="00F14212" w:rsidRPr="00F14212" w:rsidRDefault="00F14212" w:rsidP="00A71B06">
      <w:pPr>
        <w:rPr>
          <w:color w:val="000000" w:themeColor="text1"/>
          <w:lang w:eastAsia="x-none"/>
        </w:rPr>
      </w:pPr>
    </w:p>
    <w:p w14:paraId="7DC219A4" w14:textId="37B025FD" w:rsidR="00D84489" w:rsidRPr="00F14212" w:rsidRDefault="00D84489" w:rsidP="00D84489">
      <w:pPr>
        <w:jc w:val="both"/>
        <w:rPr>
          <w:color w:val="000000" w:themeColor="text1"/>
          <w:lang w:eastAsia="x-none"/>
        </w:rPr>
      </w:pPr>
      <w:r w:rsidRPr="00F14212">
        <w:rPr>
          <w:color w:val="000000" w:themeColor="text1"/>
          <w:lang w:eastAsia="x-none"/>
        </w:rPr>
        <w:t xml:space="preserve">Koeficienty </w:t>
      </w:r>
      <w:proofErr w:type="spellStart"/>
      <w:r w:rsidRPr="00F14212">
        <w:rPr>
          <w:color w:val="000000" w:themeColor="text1"/>
          <w:lang w:eastAsia="x-none"/>
        </w:rPr>
        <w:t>nepohotovosti</w:t>
      </w:r>
      <w:proofErr w:type="spellEnd"/>
      <w:r w:rsidRPr="00F14212">
        <w:rPr>
          <w:color w:val="000000" w:themeColor="text1"/>
          <w:lang w:eastAsia="x-none"/>
        </w:rPr>
        <w:t xml:space="preserve"> sú nízke, čo svedčí o veľmi vysokej pripravenosti bezpečnostných systémov na uvedenie do prevádzky v prípade potreby (t. j. v prípade poruchy, resp. havarijného stavu).</w:t>
      </w:r>
    </w:p>
    <w:p w14:paraId="7E9799A5" w14:textId="77777777" w:rsidR="00F14212" w:rsidRDefault="00F14212">
      <w:pPr>
        <w:spacing w:after="200" w:line="276" w:lineRule="auto"/>
        <w:rPr>
          <w:b/>
          <w:iCs/>
          <w:color w:val="000000" w:themeColor="text1"/>
        </w:rPr>
      </w:pPr>
      <w:r>
        <w:rPr>
          <w:b/>
          <w:iCs/>
          <w:color w:val="000000" w:themeColor="text1"/>
        </w:rPr>
        <w:br w:type="page"/>
      </w:r>
    </w:p>
    <w:p w14:paraId="5D6E4CD4" w14:textId="5EEE7F54" w:rsidR="00F14212" w:rsidRDefault="00D84489" w:rsidP="00F14212">
      <w:pPr>
        <w:jc w:val="both"/>
        <w:rPr>
          <w:b/>
          <w:iCs/>
          <w:color w:val="000000" w:themeColor="text1"/>
        </w:rPr>
      </w:pPr>
      <w:r w:rsidRPr="00F14212">
        <w:rPr>
          <w:b/>
          <w:iCs/>
          <w:color w:val="000000" w:themeColor="text1"/>
        </w:rPr>
        <w:lastRenderedPageBreak/>
        <w:t>Tesnosť</w:t>
      </w:r>
      <w:r w:rsidR="00F14212">
        <w:rPr>
          <w:b/>
          <w:iCs/>
          <w:color w:val="000000" w:themeColor="text1"/>
        </w:rPr>
        <w:t xml:space="preserve"> </w:t>
      </w:r>
      <w:r w:rsidRPr="00F14212">
        <w:rPr>
          <w:b/>
          <w:iCs/>
          <w:color w:val="000000" w:themeColor="text1"/>
        </w:rPr>
        <w:t>bariér:</w:t>
      </w:r>
    </w:p>
    <w:p w14:paraId="6D443DC7" w14:textId="3352662C" w:rsidR="00F14212" w:rsidRPr="00F14212" w:rsidRDefault="00F14212" w:rsidP="00F14212">
      <w:pPr>
        <w:jc w:val="both"/>
        <w:rPr>
          <w:bCs/>
          <w:iCs/>
          <w:color w:val="000000" w:themeColor="text1"/>
        </w:rPr>
      </w:pPr>
      <w:r w:rsidRPr="00F14212">
        <w:rPr>
          <w:bCs/>
          <w:iCs/>
          <w:color w:val="000000" w:themeColor="text1"/>
        </w:rPr>
        <w:t xml:space="preserve">Pri tomto ukazovateli sa sleduje tesnosť pokrytia palivových článkov v reaktore a tesnosť hermetických priestorov, ktoré tvoria bariéru proti úniku rádioaktívnych látok pri možných haváriách. Ukazovateľ - koeficient spoľahlivosti paliva vo všetkých JE dosiahol najnižšiu možnú úroveň. Hodnoty ukazovateľa tesnosti hermetických priestorov sú dobré, stabilizované a spolu s ukazovateľom tesnosti pokrytia palivových článkov spĺňajú kritériá </w:t>
      </w:r>
      <w:proofErr w:type="spellStart"/>
      <w:r w:rsidRPr="00F14212">
        <w:rPr>
          <w:bCs/>
          <w:iCs/>
          <w:color w:val="000000" w:themeColor="text1"/>
        </w:rPr>
        <w:t>LaP</w:t>
      </w:r>
      <w:proofErr w:type="spellEnd"/>
      <w:r w:rsidRPr="00F14212">
        <w:rPr>
          <w:bCs/>
          <w:iCs/>
          <w:color w:val="000000" w:themeColor="text1"/>
        </w:rPr>
        <w:t>.</w:t>
      </w:r>
    </w:p>
    <w:p w14:paraId="7B266811" w14:textId="77777777" w:rsidR="00F14212" w:rsidRPr="00F14212" w:rsidRDefault="00F14212" w:rsidP="00F14212">
      <w:pPr>
        <w:jc w:val="both"/>
        <w:rPr>
          <w:b/>
          <w:iCs/>
          <w:color w:val="000000" w:themeColor="text1"/>
        </w:rPr>
      </w:pPr>
    </w:p>
    <w:p w14:paraId="327CE7CD" w14:textId="70B054BF" w:rsidR="00D84489" w:rsidRPr="00F14212" w:rsidRDefault="00D84489" w:rsidP="00D84489">
      <w:pPr>
        <w:jc w:val="both"/>
        <w:rPr>
          <w:b/>
          <w:i/>
          <w:color w:val="000000" w:themeColor="text1"/>
          <w:lang w:eastAsia="x-none"/>
        </w:rPr>
      </w:pPr>
      <w:r w:rsidRPr="00F14212">
        <w:rPr>
          <w:b/>
          <w:i/>
          <w:color w:val="000000" w:themeColor="text1"/>
          <w:lang w:eastAsia="x-none"/>
        </w:rPr>
        <w:t>Záver:</w:t>
      </w:r>
    </w:p>
    <w:p w14:paraId="4962DFBF" w14:textId="761769B5" w:rsidR="00F14212" w:rsidRPr="00A408BF" w:rsidRDefault="00F14212" w:rsidP="00D84489">
      <w:pPr>
        <w:jc w:val="both"/>
        <w:rPr>
          <w:b/>
          <w:i/>
          <w:color w:val="000000" w:themeColor="text1"/>
        </w:rPr>
      </w:pPr>
      <w:r w:rsidRPr="00F14212">
        <w:rPr>
          <w:b/>
          <w:i/>
          <w:color w:val="000000" w:themeColor="text1"/>
        </w:rPr>
        <w:t>Vyhodnotenie indikátorov jadrovej bezpečnosti za rok 2024 spolu s výsledkami inšpekčnej činnosti umožňujú konštatovať, že všetky JE v SR sú prevádzkované bezpečne.</w:t>
      </w:r>
    </w:p>
    <w:p w14:paraId="7CD56734" w14:textId="77777777" w:rsidR="00D84489" w:rsidRDefault="00D84489" w:rsidP="00D84489"/>
    <w:p w14:paraId="05CD33AD" w14:textId="16E2FC26" w:rsidR="00C76454" w:rsidRPr="00195B0A" w:rsidRDefault="00CE49C8" w:rsidP="00195B0A">
      <w:pPr>
        <w:pStyle w:val="Nadpis5"/>
        <w:numPr>
          <w:ilvl w:val="4"/>
          <w:numId w:val="2"/>
        </w:numPr>
        <w:suppressLineNumbers/>
        <w:jc w:val="both"/>
        <w:rPr>
          <w:rFonts w:ascii="Times New Roman" w:hAnsi="Times New Roman"/>
          <w:color w:val="000000" w:themeColor="text1"/>
          <w:sz w:val="24"/>
          <w:szCs w:val="24"/>
          <w:lang w:val="sk-SK"/>
        </w:rPr>
      </w:pPr>
      <w:r>
        <w:rPr>
          <w:rFonts w:ascii="Times New Roman" w:hAnsi="Times New Roman"/>
          <w:color w:val="000000" w:themeColor="text1"/>
          <w:sz w:val="24"/>
          <w:szCs w:val="24"/>
          <w:lang w:val="sk-SK"/>
        </w:rPr>
        <w:t xml:space="preserve">a) </w:t>
      </w:r>
      <w:r w:rsidR="00160687" w:rsidRPr="00CE49C8">
        <w:rPr>
          <w:rFonts w:ascii="Times New Roman" w:hAnsi="Times New Roman"/>
          <w:color w:val="000000" w:themeColor="text1"/>
          <w:sz w:val="24"/>
          <w:szCs w:val="24"/>
          <w:lang w:val="sk-SK"/>
        </w:rPr>
        <w:t>Jadrová elektráreň Bohunice V-2</w:t>
      </w:r>
    </w:p>
    <w:p w14:paraId="0C4BCFDE" w14:textId="77777777" w:rsidR="00195B0A" w:rsidRPr="00375F26" w:rsidRDefault="00195B0A" w:rsidP="00195B0A">
      <w:pPr>
        <w:autoSpaceDE w:val="0"/>
        <w:autoSpaceDN w:val="0"/>
        <w:adjustRightInd w:val="0"/>
        <w:jc w:val="both"/>
        <w:rPr>
          <w:color w:val="000000" w:themeColor="text1"/>
          <w:szCs w:val="24"/>
        </w:rPr>
      </w:pPr>
      <w:r w:rsidRPr="00375F26">
        <w:rPr>
          <w:color w:val="000000" w:themeColor="text1"/>
          <w:szCs w:val="24"/>
        </w:rPr>
        <w:t>Na oboch prevádzkovaných blokoch JE Bohunice V-2 (3. blok - EBO3, 4. blok - EBO4) bol v roku 2024 uskutočňovaný štandardný výkon kontrolnej a hodnotiacej činnosti spojený s prevádzkou JZ. ÚJD SR v rámci svojej činnosti kontroloval stav prevádzkovaných zariadení a ich údržbu, plnenie úloh vyplývajúcich z programov riadenia starnutia a projektových zmien so zámerom zvyšovania úrovne bezpečnosti JZ:</w:t>
      </w:r>
    </w:p>
    <w:p w14:paraId="53723071" w14:textId="495AC93E" w:rsidR="00195B0A" w:rsidRPr="00375F26" w:rsidRDefault="00195B0A" w:rsidP="00195B0A">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na EBO3 od 19.</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6. do 2.</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8.</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2024 prebiehala rozšírená generálna oprava (</w:t>
      </w:r>
      <w:r w:rsidR="00DE74DC">
        <w:rPr>
          <w:rFonts w:eastAsia="Calibri"/>
          <w:color w:val="000000" w:themeColor="text1"/>
          <w:szCs w:val="24"/>
          <w:lang w:eastAsia="en-US"/>
        </w:rPr>
        <w:t>ďalej len „</w:t>
      </w:r>
      <w:r w:rsidRPr="00375F26">
        <w:rPr>
          <w:rFonts w:eastAsia="Calibri"/>
          <w:color w:val="000000" w:themeColor="text1"/>
          <w:szCs w:val="24"/>
          <w:lang w:eastAsia="en-US"/>
        </w:rPr>
        <w:t>GO</w:t>
      </w:r>
      <w:r w:rsidR="00DE74DC">
        <w:rPr>
          <w:rFonts w:eastAsia="Calibri"/>
          <w:color w:val="000000" w:themeColor="text1"/>
          <w:szCs w:val="24"/>
          <w:lang w:eastAsia="en-US"/>
        </w:rPr>
        <w:t>“</w:t>
      </w:r>
      <w:r w:rsidRPr="00375F26">
        <w:rPr>
          <w:rFonts w:eastAsia="Calibri"/>
          <w:color w:val="000000" w:themeColor="text1"/>
          <w:szCs w:val="24"/>
          <w:lang w:eastAsia="en-US"/>
        </w:rPr>
        <w:t>) s výmenou paliva, trvala 58,5 dňa a oproti pôvodnému plánu sa predĺžila o 14,5 dňa. Najväčší príspevok predĺženia odstávky bol spôsobený opravou hlavnej uzatváracej armatúry na slučke č. 4 z dôvodu problémov pri demontáži, poškodenia povrchu a následne nutnej opravy armatúry. Počas GO boli nájdené v otvorenej technológii cudzie predmety (zbytky tesnenia v kompenzátore objemu), zároveň došlo k pádu cudzieho predmetu do otvorenej technológie (pád komponentu lešenia do hlavného kondenzátora turbogenerátora č. 31 počas demontáže lešenia). Všetky cudzie predmety boli z technológie následne odstránené. V dňoch od 20.</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12.</w:t>
      </w:r>
      <w:r w:rsidR="00DE74DC">
        <w:rPr>
          <w:rFonts w:eastAsia="Calibri"/>
          <w:color w:val="000000" w:themeColor="text1"/>
          <w:szCs w:val="24"/>
          <w:lang w:eastAsia="en-US"/>
        </w:rPr>
        <w:t xml:space="preserve"> 2024</w:t>
      </w:r>
      <w:r w:rsidRPr="00375F26">
        <w:rPr>
          <w:rFonts w:eastAsia="Calibri"/>
          <w:color w:val="000000" w:themeColor="text1"/>
          <w:szCs w:val="24"/>
          <w:lang w:eastAsia="en-US"/>
        </w:rPr>
        <w:t xml:space="preserve"> do 26.</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12.</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2024 bol 3. blok odstavený do vynútenej opravy bloku z dôvodu kontroly svorníkov spoja puzdier HRK.</w:t>
      </w:r>
    </w:p>
    <w:p w14:paraId="5EDBE00A" w14:textId="6C95F459" w:rsidR="00195B0A" w:rsidRPr="00375F26" w:rsidRDefault="00492456" w:rsidP="00195B0A">
      <w:pPr>
        <w:numPr>
          <w:ilvl w:val="0"/>
          <w:numId w:val="6"/>
        </w:numPr>
        <w:autoSpaceDE w:val="0"/>
        <w:autoSpaceDN w:val="0"/>
        <w:adjustRightInd w:val="0"/>
        <w:contextualSpacing/>
        <w:jc w:val="both"/>
        <w:rPr>
          <w:rFonts w:eastAsia="Calibri"/>
          <w:color w:val="000000" w:themeColor="text1"/>
          <w:szCs w:val="24"/>
          <w:lang w:eastAsia="en-US"/>
        </w:rPr>
      </w:pPr>
      <w:r>
        <w:rPr>
          <w:rFonts w:eastAsia="Calibri"/>
          <w:color w:val="000000" w:themeColor="text1"/>
          <w:szCs w:val="24"/>
          <w:lang w:eastAsia="en-US"/>
        </w:rPr>
        <w:t>n</w:t>
      </w:r>
      <w:r w:rsidR="00195B0A" w:rsidRPr="00375F26">
        <w:rPr>
          <w:rFonts w:eastAsia="Calibri"/>
          <w:color w:val="000000" w:themeColor="text1"/>
          <w:szCs w:val="24"/>
          <w:lang w:eastAsia="en-US"/>
        </w:rPr>
        <w:t>a</w:t>
      </w:r>
      <w:r>
        <w:rPr>
          <w:rFonts w:eastAsia="Calibri"/>
          <w:color w:val="000000" w:themeColor="text1"/>
          <w:szCs w:val="24"/>
          <w:lang w:eastAsia="en-US"/>
        </w:rPr>
        <w:t xml:space="preserve"> </w:t>
      </w:r>
      <w:r w:rsidR="00195B0A" w:rsidRPr="00375F26">
        <w:rPr>
          <w:rFonts w:eastAsia="Calibri"/>
          <w:color w:val="000000" w:themeColor="text1"/>
          <w:szCs w:val="24"/>
          <w:lang w:eastAsia="en-US"/>
        </w:rPr>
        <w:t>EBO4 od 28.</w:t>
      </w:r>
      <w:r w:rsidR="00D26519" w:rsidRPr="00375F26">
        <w:rPr>
          <w:rFonts w:eastAsia="Calibri"/>
          <w:color w:val="000000" w:themeColor="text1"/>
          <w:szCs w:val="24"/>
          <w:lang w:eastAsia="en-US"/>
        </w:rPr>
        <w:t xml:space="preserve"> </w:t>
      </w:r>
      <w:r w:rsidR="00195B0A" w:rsidRPr="00375F26">
        <w:rPr>
          <w:rFonts w:eastAsia="Calibri"/>
          <w:color w:val="000000" w:themeColor="text1"/>
          <w:szCs w:val="24"/>
          <w:lang w:eastAsia="en-US"/>
        </w:rPr>
        <w:t xml:space="preserve">4. </w:t>
      </w:r>
      <w:r w:rsidR="00DE74DC">
        <w:rPr>
          <w:rFonts w:eastAsia="Calibri"/>
          <w:color w:val="000000" w:themeColor="text1"/>
          <w:szCs w:val="24"/>
          <w:lang w:eastAsia="en-US"/>
        </w:rPr>
        <w:t xml:space="preserve">2024 </w:t>
      </w:r>
      <w:r w:rsidR="00195B0A" w:rsidRPr="00375F26">
        <w:rPr>
          <w:rFonts w:eastAsia="Calibri"/>
          <w:color w:val="000000" w:themeColor="text1"/>
          <w:szCs w:val="24"/>
          <w:lang w:eastAsia="en-US"/>
        </w:rPr>
        <w:t>do 13.</w:t>
      </w:r>
      <w:r w:rsidR="00D26519" w:rsidRPr="00375F26">
        <w:rPr>
          <w:rFonts w:eastAsia="Calibri"/>
          <w:color w:val="000000" w:themeColor="text1"/>
          <w:szCs w:val="24"/>
          <w:lang w:eastAsia="en-US"/>
        </w:rPr>
        <w:t xml:space="preserve"> </w:t>
      </w:r>
      <w:r w:rsidR="00195B0A" w:rsidRPr="00375F26">
        <w:rPr>
          <w:rFonts w:eastAsia="Calibri"/>
          <w:color w:val="000000" w:themeColor="text1"/>
          <w:szCs w:val="24"/>
          <w:lang w:eastAsia="en-US"/>
        </w:rPr>
        <w:t>6.</w:t>
      </w:r>
      <w:r w:rsidR="00D26519" w:rsidRPr="00375F26">
        <w:rPr>
          <w:rFonts w:eastAsia="Calibri"/>
          <w:color w:val="000000" w:themeColor="text1"/>
          <w:szCs w:val="24"/>
          <w:lang w:eastAsia="en-US"/>
        </w:rPr>
        <w:t xml:space="preserve"> </w:t>
      </w:r>
      <w:r w:rsidR="00195B0A" w:rsidRPr="00375F26">
        <w:rPr>
          <w:rFonts w:eastAsia="Calibri"/>
          <w:color w:val="000000" w:themeColor="text1"/>
          <w:szCs w:val="24"/>
          <w:lang w:eastAsia="en-US"/>
        </w:rPr>
        <w:t>2024 prebiehala odstávka v trvaní 53,5 dňa, predĺženie oproti plánu bolo 7,5 dňa. Počas GO došlo k pádu cudzieho predmetu do  otvorenej technológie</w:t>
      </w:r>
      <w:r w:rsidR="001B1466">
        <w:rPr>
          <w:rFonts w:eastAsia="Calibri"/>
          <w:color w:val="000000" w:themeColor="text1"/>
          <w:szCs w:val="24"/>
          <w:lang w:eastAsia="en-US"/>
        </w:rPr>
        <w:t xml:space="preserve"> </w:t>
      </w:r>
      <w:r w:rsidR="00195B0A" w:rsidRPr="00375F26">
        <w:rPr>
          <w:rFonts w:eastAsia="Calibri"/>
          <w:color w:val="000000" w:themeColor="text1"/>
          <w:szCs w:val="24"/>
          <w:lang w:eastAsia="en-US"/>
        </w:rPr>
        <w:t xml:space="preserve">(etalón do vodnej komory hlavného kondenzátora turbogenerátora č. 41, tesnenie spadnuté do </w:t>
      </w:r>
      <w:proofErr w:type="spellStart"/>
      <w:r w:rsidR="00195B0A" w:rsidRPr="00375F26">
        <w:rPr>
          <w:rFonts w:eastAsia="Calibri"/>
          <w:color w:val="000000" w:themeColor="text1"/>
          <w:szCs w:val="24"/>
          <w:lang w:eastAsia="en-US"/>
        </w:rPr>
        <w:t>jímky</w:t>
      </w:r>
      <w:proofErr w:type="spellEnd"/>
      <w:r w:rsidR="00195B0A" w:rsidRPr="00375F26">
        <w:rPr>
          <w:rFonts w:eastAsia="Calibri"/>
          <w:color w:val="000000" w:themeColor="text1"/>
          <w:szCs w:val="24"/>
          <w:lang w:eastAsia="en-US"/>
        </w:rPr>
        <w:t xml:space="preserve"> podávacích čerpadiel separátu č. 43, pád grafitového tesnenia do vnútra </w:t>
      </w:r>
      <w:proofErr w:type="spellStart"/>
      <w:r w:rsidR="00195B0A" w:rsidRPr="00375F26">
        <w:rPr>
          <w:rFonts w:eastAsia="Calibri"/>
          <w:color w:val="000000" w:themeColor="text1"/>
          <w:szCs w:val="24"/>
          <w:lang w:eastAsia="en-US"/>
        </w:rPr>
        <w:t>hydroakumulátora</w:t>
      </w:r>
      <w:proofErr w:type="spellEnd"/>
      <w:r w:rsidR="00195B0A" w:rsidRPr="00375F26">
        <w:rPr>
          <w:rFonts w:eastAsia="Calibri"/>
          <w:color w:val="000000" w:themeColor="text1"/>
          <w:szCs w:val="24"/>
          <w:lang w:eastAsia="en-US"/>
        </w:rPr>
        <w:t xml:space="preserve"> pri demontáži horného poklopu, cudzie predmety v nosnom plášti šachty č. 2 – drobné čiastočky, šupinky grafitu</w:t>
      </w:r>
      <w:r w:rsidR="00E44B18">
        <w:rPr>
          <w:rFonts w:eastAsia="Calibri"/>
          <w:color w:val="000000" w:themeColor="text1"/>
          <w:szCs w:val="24"/>
          <w:lang w:eastAsia="en-US"/>
        </w:rPr>
        <w:t xml:space="preserve"> a</w:t>
      </w:r>
      <w:r w:rsidR="00195B0A" w:rsidRPr="00375F26">
        <w:rPr>
          <w:rFonts w:eastAsia="Calibri"/>
          <w:color w:val="000000" w:themeColor="text1"/>
          <w:szCs w:val="24"/>
          <w:lang w:eastAsia="en-US"/>
        </w:rPr>
        <w:t xml:space="preserve"> nečistoty na dne koša aktívnej zóny, 7 cudzích predmetov pri kontrole na čistotu aktívnej zóny). Všetky cudzie predmety boli z technológie odstránené. Dňa 14</w:t>
      </w:r>
      <w:r w:rsidR="00DE74DC">
        <w:rPr>
          <w:rFonts w:eastAsia="Calibri"/>
          <w:color w:val="000000" w:themeColor="text1"/>
          <w:szCs w:val="24"/>
          <w:lang w:eastAsia="en-US"/>
        </w:rPr>
        <w:t xml:space="preserve">. </w:t>
      </w:r>
      <w:r w:rsidR="00195B0A" w:rsidRPr="00375F26">
        <w:rPr>
          <w:rFonts w:eastAsia="Calibri"/>
          <w:color w:val="000000" w:themeColor="text1"/>
          <w:szCs w:val="24"/>
          <w:lang w:eastAsia="en-US"/>
        </w:rPr>
        <w:t>11.</w:t>
      </w:r>
      <w:r w:rsidR="00DE74DC">
        <w:rPr>
          <w:rFonts w:eastAsia="Calibri"/>
          <w:color w:val="000000" w:themeColor="text1"/>
          <w:szCs w:val="24"/>
          <w:lang w:eastAsia="en-US"/>
        </w:rPr>
        <w:t xml:space="preserve"> 2024</w:t>
      </w:r>
      <w:r w:rsidR="00195B0A" w:rsidRPr="00375F26">
        <w:rPr>
          <w:rFonts w:eastAsia="Calibri"/>
          <w:color w:val="000000" w:themeColor="text1"/>
          <w:szCs w:val="24"/>
          <w:lang w:eastAsia="en-US"/>
        </w:rPr>
        <w:t xml:space="preserve"> po odstavení 4. bloku ochranou AO1 z elektrickej </w:t>
      </w:r>
      <w:proofErr w:type="spellStart"/>
      <w:r w:rsidR="00195B0A" w:rsidRPr="00375F26">
        <w:rPr>
          <w:rFonts w:eastAsia="Calibri"/>
          <w:color w:val="000000" w:themeColor="text1"/>
          <w:szCs w:val="24"/>
          <w:lang w:eastAsia="en-US"/>
        </w:rPr>
        <w:t>prvopríčiny</w:t>
      </w:r>
      <w:proofErr w:type="spellEnd"/>
      <w:r w:rsidR="00195B0A" w:rsidRPr="00375F26">
        <w:rPr>
          <w:rFonts w:eastAsia="Calibri"/>
          <w:color w:val="000000" w:themeColor="text1"/>
          <w:szCs w:val="24"/>
          <w:lang w:eastAsia="en-US"/>
        </w:rPr>
        <w:t xml:space="preserve"> bol pri obhliadke bloku identifikovaný  zväčšený únik z koncového stupňa upchávky na  hlavnom cirkulačnom čerpadle č. 4. Bolo rozhodnuté o vychladení bloku na výmenu upchávkového bloku. Táto vynútená oprava bloku bola ukončená 21.</w:t>
      </w:r>
      <w:r w:rsidR="00D26519" w:rsidRPr="00375F26">
        <w:rPr>
          <w:rFonts w:eastAsia="Calibri"/>
          <w:color w:val="000000" w:themeColor="text1"/>
          <w:szCs w:val="24"/>
          <w:lang w:eastAsia="en-US"/>
        </w:rPr>
        <w:t xml:space="preserve"> </w:t>
      </w:r>
      <w:r w:rsidR="00195B0A" w:rsidRPr="00375F26">
        <w:rPr>
          <w:rFonts w:eastAsia="Calibri"/>
          <w:color w:val="000000" w:themeColor="text1"/>
          <w:szCs w:val="24"/>
          <w:lang w:eastAsia="en-US"/>
        </w:rPr>
        <w:t>11.</w:t>
      </w:r>
      <w:r w:rsidR="00D26519" w:rsidRPr="00375F26">
        <w:rPr>
          <w:rFonts w:eastAsia="Calibri"/>
          <w:color w:val="000000" w:themeColor="text1"/>
          <w:szCs w:val="24"/>
          <w:lang w:eastAsia="en-US"/>
        </w:rPr>
        <w:t xml:space="preserve"> </w:t>
      </w:r>
      <w:r w:rsidR="00195B0A" w:rsidRPr="00375F26">
        <w:rPr>
          <w:rFonts w:eastAsia="Calibri"/>
          <w:color w:val="000000" w:themeColor="text1"/>
          <w:szCs w:val="24"/>
          <w:lang w:eastAsia="en-US"/>
        </w:rPr>
        <w:t>2024.</w:t>
      </w:r>
    </w:p>
    <w:p w14:paraId="62D9911B" w14:textId="77777777" w:rsidR="00263B9B" w:rsidRPr="00375F26" w:rsidRDefault="00263B9B" w:rsidP="00160687">
      <w:pPr>
        <w:jc w:val="both"/>
      </w:pPr>
    </w:p>
    <w:p w14:paraId="569180CD" w14:textId="77777777" w:rsidR="00E85065" w:rsidRPr="00E85065" w:rsidRDefault="00160687" w:rsidP="00E85065">
      <w:pPr>
        <w:jc w:val="both"/>
        <w:rPr>
          <w:b/>
          <w:iCs/>
          <w:color w:val="000000" w:themeColor="text1"/>
        </w:rPr>
      </w:pPr>
      <w:bookmarkStart w:id="29" w:name="_Hlk130194479"/>
      <w:r w:rsidRPr="00E85065">
        <w:rPr>
          <w:b/>
          <w:iCs/>
          <w:color w:val="000000" w:themeColor="text1"/>
        </w:rPr>
        <w:t>Prevádzkové udalosti</w:t>
      </w:r>
      <w:bookmarkEnd w:id="29"/>
    </w:p>
    <w:p w14:paraId="5668D2E2" w14:textId="5285155D" w:rsidR="00195B0A" w:rsidRPr="00E85065" w:rsidRDefault="00195B0A" w:rsidP="00E85065">
      <w:pPr>
        <w:jc w:val="both"/>
        <w:rPr>
          <w:bCs/>
          <w:iCs/>
          <w:color w:val="000000" w:themeColor="text1"/>
        </w:rPr>
      </w:pPr>
      <w:r w:rsidRPr="00E85065">
        <w:rPr>
          <w:bCs/>
          <w:iCs/>
          <w:color w:val="000000" w:themeColor="text1"/>
        </w:rPr>
        <w:t xml:space="preserve">Počet a charakter PU v roku 2024 na EBO V-2 neprekročil obvyklú mieru prevádzkových porúch. ÚJD SR zaevidoval 10 udalostí podliehajúcich hláseniu dozornému orgánu a 1 udalosť dodatočne hlásenú z roku 2023. Spomenúť možno vznietenie izolácie nasiaknutej olejom na  3. bloku na turbogenerátore č. 31. Požiar bol uhasený obsluhou použitím mobilných práškových hasiacich prístrojov a dobeh turbogenerátora prebehol štandardným spôsobom. Po obhliadke a výmene izolácie bol turbogenerátor spätne </w:t>
      </w:r>
      <w:proofErr w:type="spellStart"/>
      <w:r w:rsidRPr="00E85065">
        <w:rPr>
          <w:bCs/>
          <w:iCs/>
          <w:color w:val="000000" w:themeColor="text1"/>
        </w:rPr>
        <w:t>prifázovaný</w:t>
      </w:r>
      <w:proofErr w:type="spellEnd"/>
      <w:r w:rsidRPr="00E85065">
        <w:rPr>
          <w:bCs/>
          <w:iCs/>
          <w:color w:val="000000" w:themeColor="text1"/>
        </w:rPr>
        <w:t xml:space="preserve"> k sieti.</w:t>
      </w:r>
    </w:p>
    <w:p w14:paraId="0E6F18B9" w14:textId="4985185E" w:rsidR="00195B0A" w:rsidRPr="00375F26" w:rsidRDefault="00195B0A" w:rsidP="00195B0A">
      <w:pPr>
        <w:jc w:val="both"/>
        <w:rPr>
          <w:color w:val="000000" w:themeColor="text1"/>
        </w:rPr>
      </w:pPr>
      <w:r w:rsidRPr="00375F26">
        <w:rPr>
          <w:color w:val="000000" w:themeColor="text1"/>
        </w:rPr>
        <w:t>Počas roka jedenkrát zapôsobila ochrana reaktora AO1. K zapôsobeniu ochrany došlo na 4. bloku dňa 14.11.202</w:t>
      </w:r>
      <w:r w:rsidR="003E0DD3">
        <w:rPr>
          <w:color w:val="000000" w:themeColor="text1"/>
        </w:rPr>
        <w:t>4</w:t>
      </w:r>
      <w:r w:rsidRPr="00375F26">
        <w:rPr>
          <w:color w:val="000000" w:themeColor="text1"/>
        </w:rPr>
        <w:t xml:space="preserve"> od signálu „Výpadok 4 a viac HCČ“ (hlavné cirkulačné čerpadlo). Zapôsobenie ochrany nastalo súhrou ochrán a automatík. Na jednom blokovom transformátore </w:t>
      </w:r>
      <w:r w:rsidRPr="00375F26">
        <w:rPr>
          <w:color w:val="000000" w:themeColor="text1"/>
        </w:rPr>
        <w:lastRenderedPageBreak/>
        <w:t>4. bloku prišlo k zapôsobeniu rozdielovej ochrany, ktorá vysiela signál na vypnutie 400 kV vypínača, následne blok prechádza signálom hromadný automatický záskok rezervy na napájanie z rezervnej linky 110 kV. Tento signál zahŕňa automatiku odstavenia troch HCČ na odľahčenie rozvodní. Zároveň ale prišlo k poruche vypnutia pracovného vypínača na jednej zo 6 kV rozvodní</w:t>
      </w:r>
      <w:r w:rsidR="003E0DD3">
        <w:rPr>
          <w:color w:val="000000" w:themeColor="text1"/>
        </w:rPr>
        <w:t>,</w:t>
      </w:r>
      <w:r w:rsidRPr="00375F26">
        <w:rPr>
          <w:color w:val="000000" w:themeColor="text1"/>
        </w:rPr>
        <w:t xml:space="preserve"> čo malo za následok výpadok ďalších dvoch HCČ a teda nepracujúcich 5 zo 6 čerpadiel a pôsobenie ochrany AO1.</w:t>
      </w:r>
    </w:p>
    <w:p w14:paraId="7EF22A33" w14:textId="3AD8BEDC" w:rsidR="00195B0A" w:rsidRPr="00375F26" w:rsidRDefault="00195B0A" w:rsidP="00195B0A">
      <w:pPr>
        <w:jc w:val="both"/>
        <w:rPr>
          <w:color w:val="000000" w:themeColor="text1"/>
        </w:rPr>
      </w:pPr>
      <w:r w:rsidRPr="00375F26">
        <w:rPr>
          <w:color w:val="000000" w:themeColor="text1"/>
        </w:rPr>
        <w:t>Dve udalosti boli klasifikované stupňom 1 v stupnici INES. Udalosť dodatočne ohlásená z roku 2023 – Poškodené drevené nosníky ventilátorových chladiacich veží a udalosť korózie spojovacieho materiálu na hornom bloku reaktora 3. bloku. Obe udalosti boli do stupňa 1 zaradené v zmysle indikátorov problém s kultúrou bezpečnosti podľa kapitoly 5.2.3 manuálu INES.</w:t>
      </w:r>
    </w:p>
    <w:p w14:paraId="281ECAF3" w14:textId="77777777" w:rsidR="00195B0A" w:rsidRPr="00375F26" w:rsidRDefault="00195B0A" w:rsidP="00195B0A">
      <w:pPr>
        <w:jc w:val="both"/>
        <w:rPr>
          <w:color w:val="000000" w:themeColor="text1"/>
        </w:rPr>
      </w:pPr>
    </w:p>
    <w:p w14:paraId="22176B80" w14:textId="2F79A291" w:rsidR="00195B0A" w:rsidRPr="00375F26" w:rsidRDefault="00C76454" w:rsidP="00C76454">
      <w:pPr>
        <w:jc w:val="both"/>
        <w:rPr>
          <w:b/>
          <w:i/>
          <w:color w:val="000000" w:themeColor="text1"/>
        </w:rPr>
      </w:pPr>
      <w:r w:rsidRPr="00375F26">
        <w:rPr>
          <w:b/>
          <w:i/>
          <w:color w:val="000000" w:themeColor="text1"/>
        </w:rPr>
        <w:t>Záver:</w:t>
      </w:r>
    </w:p>
    <w:p w14:paraId="15AE7B90" w14:textId="4D168691" w:rsidR="00195B0A" w:rsidRPr="00C76454" w:rsidRDefault="00195B0A" w:rsidP="00C76454">
      <w:pPr>
        <w:jc w:val="both"/>
        <w:rPr>
          <w:b/>
          <w:i/>
          <w:color w:val="000000" w:themeColor="text1"/>
        </w:rPr>
      </w:pPr>
      <w:r w:rsidRPr="00375F26">
        <w:rPr>
          <w:b/>
          <w:i/>
          <w:color w:val="000000" w:themeColor="text1"/>
        </w:rPr>
        <w:t>Na základe sumárneho hodnotenia bezpečnostných ukazovateľov a po zhrnutí výsledkov inšpekcií ÚJD SR konštatuje, že je potrebné venovať zvýšenú pozornosť preventívnej údržbe systémov, zariadení a konštrukcií. Na nedostatky, ktoré boli počas inšpekcií zistené</w:t>
      </w:r>
      <w:r w:rsidR="003E0DD3">
        <w:rPr>
          <w:b/>
          <w:i/>
          <w:color w:val="000000" w:themeColor="text1"/>
        </w:rPr>
        <w:t>,</w:t>
      </w:r>
      <w:r w:rsidRPr="00375F26">
        <w:rPr>
          <w:b/>
          <w:i/>
          <w:color w:val="000000" w:themeColor="text1"/>
        </w:rPr>
        <w:t xml:space="preserve"> boli inšpektormi ÚJD SR uložené nápravné opatrenia s cieľom zlepšiť procesy a prístupy prevádzkovateľa v danej oblasti.</w:t>
      </w:r>
    </w:p>
    <w:p w14:paraId="6D6F0490" w14:textId="77777777" w:rsidR="0020334C" w:rsidRPr="00160687" w:rsidRDefault="0020334C" w:rsidP="0020334C">
      <w:pPr>
        <w:autoSpaceDE w:val="0"/>
        <w:autoSpaceDN w:val="0"/>
        <w:adjustRightInd w:val="0"/>
        <w:rPr>
          <w:color w:val="000000" w:themeColor="text1"/>
          <w:szCs w:val="24"/>
        </w:rPr>
      </w:pPr>
    </w:p>
    <w:p w14:paraId="13A1F62B" w14:textId="00EE553E" w:rsidR="00195B0A" w:rsidRPr="00375F26" w:rsidRDefault="00CE49C8" w:rsidP="002B1F61">
      <w:pPr>
        <w:pStyle w:val="Nadpis5"/>
        <w:numPr>
          <w:ilvl w:val="4"/>
          <w:numId w:val="2"/>
        </w:numPr>
        <w:suppressLineNumbers/>
        <w:jc w:val="both"/>
        <w:rPr>
          <w:rFonts w:ascii="Times New Roman" w:hAnsi="Times New Roman"/>
          <w:color w:val="000000" w:themeColor="text1"/>
          <w:sz w:val="24"/>
          <w:szCs w:val="24"/>
          <w:lang w:val="sk-SK"/>
        </w:rPr>
      </w:pPr>
      <w:r w:rsidRPr="00375F26">
        <w:rPr>
          <w:rFonts w:ascii="Times New Roman" w:hAnsi="Times New Roman"/>
          <w:color w:val="000000" w:themeColor="text1"/>
          <w:sz w:val="24"/>
          <w:szCs w:val="24"/>
          <w:lang w:val="sk-SK"/>
        </w:rPr>
        <w:t xml:space="preserve">b) </w:t>
      </w:r>
      <w:r w:rsidR="0020334C" w:rsidRPr="00375F26">
        <w:rPr>
          <w:rFonts w:ascii="Times New Roman" w:hAnsi="Times New Roman"/>
          <w:color w:val="000000" w:themeColor="text1"/>
          <w:sz w:val="24"/>
          <w:szCs w:val="24"/>
          <w:lang w:val="sk-SK"/>
        </w:rPr>
        <w:t>Jadrová elektráreň Mochovce 1, 2</w:t>
      </w:r>
    </w:p>
    <w:p w14:paraId="2CA9FC7D" w14:textId="77777777" w:rsidR="00195B0A" w:rsidRPr="00375F26" w:rsidRDefault="00195B0A" w:rsidP="00195B0A">
      <w:pPr>
        <w:jc w:val="both"/>
        <w:rPr>
          <w:color w:val="000000" w:themeColor="text1"/>
        </w:rPr>
      </w:pPr>
      <w:r w:rsidRPr="00375F26">
        <w:rPr>
          <w:color w:val="000000" w:themeColor="text1"/>
        </w:rPr>
        <w:t xml:space="preserve">Na oboch prevádzkovaných blokoch JE Mochovce 1, 2 bol v roku 2024 uskutočňovaný štandardný výkon kontrolnej a hodnotiacej činnosti, spojený s každodennou prevádzkou. ÚJD SR v rámci svojej činnosti kontroloval plnenie úloh vyplývajúcich z programu riadenia starnutia, seizmického </w:t>
      </w:r>
      <w:proofErr w:type="spellStart"/>
      <w:r w:rsidRPr="00375F26">
        <w:rPr>
          <w:color w:val="000000" w:themeColor="text1"/>
        </w:rPr>
        <w:t>zodolnenia</w:t>
      </w:r>
      <w:proofErr w:type="spellEnd"/>
      <w:r w:rsidRPr="00375F26">
        <w:rPr>
          <w:color w:val="000000" w:themeColor="text1"/>
        </w:rPr>
        <w:t xml:space="preserve"> a bolo schválených viacero projektových zmien so zámerom zvýšenia úrovne bezpečnosti JZ.</w:t>
      </w:r>
    </w:p>
    <w:p w14:paraId="1048151D" w14:textId="77777777" w:rsidR="00195B0A" w:rsidRPr="00375F26" w:rsidRDefault="00195B0A" w:rsidP="00195B0A">
      <w:pPr>
        <w:jc w:val="both"/>
        <w:rPr>
          <w:color w:val="000000" w:themeColor="text1"/>
        </w:rPr>
      </w:pPr>
      <w:r w:rsidRPr="00375F26">
        <w:rPr>
          <w:color w:val="000000" w:themeColor="text1"/>
        </w:rPr>
        <w:t>Na EMO1, 2 boli realizované plánované odstávky na výmenu paliva:</w:t>
      </w:r>
    </w:p>
    <w:p w14:paraId="385EC660" w14:textId="68D700ED" w:rsidR="00195B0A" w:rsidRPr="00375F26" w:rsidRDefault="00195B0A" w:rsidP="00195B0A">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na 1. bloku od 6.</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4.</w:t>
      </w:r>
      <w:r w:rsidR="003E0DD3">
        <w:rPr>
          <w:rFonts w:eastAsia="Calibri"/>
          <w:color w:val="000000" w:themeColor="text1"/>
          <w:szCs w:val="24"/>
          <w:lang w:eastAsia="en-US"/>
        </w:rPr>
        <w:t xml:space="preserve"> 2024</w:t>
      </w:r>
      <w:r w:rsidRPr="00375F26">
        <w:rPr>
          <w:rFonts w:eastAsia="Calibri"/>
          <w:color w:val="000000" w:themeColor="text1"/>
          <w:szCs w:val="24"/>
          <w:lang w:eastAsia="en-US"/>
        </w:rPr>
        <w:t xml:space="preserve"> do 28.</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4.</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2024 - odstávka trvala 22,73 dňa a bola predĺžená oproti plánu o 4,73 dňa kvôli neskorému osadeniu bloku ochranných rúr (</w:t>
      </w:r>
      <w:r w:rsidR="003E0DD3">
        <w:rPr>
          <w:rFonts w:eastAsia="Calibri"/>
          <w:color w:val="000000" w:themeColor="text1"/>
          <w:szCs w:val="24"/>
          <w:lang w:eastAsia="en-US"/>
        </w:rPr>
        <w:t>ďalej len „</w:t>
      </w:r>
      <w:r w:rsidRPr="00375F26">
        <w:rPr>
          <w:rFonts w:eastAsia="Calibri"/>
          <w:color w:val="000000" w:themeColor="text1"/>
          <w:szCs w:val="24"/>
          <w:lang w:eastAsia="en-US"/>
        </w:rPr>
        <w:t>BO</w:t>
      </w:r>
      <w:r w:rsidR="003E0DD3">
        <w:rPr>
          <w:rFonts w:eastAsia="Calibri"/>
          <w:color w:val="000000" w:themeColor="text1"/>
          <w:szCs w:val="24"/>
          <w:lang w:eastAsia="en-US"/>
        </w:rPr>
        <w:t>R“</w:t>
      </w:r>
      <w:r w:rsidRPr="00375F26">
        <w:rPr>
          <w:rFonts w:eastAsia="Calibri"/>
          <w:color w:val="000000" w:themeColor="text1"/>
          <w:szCs w:val="24"/>
          <w:lang w:eastAsia="en-US"/>
        </w:rPr>
        <w:t>),</w:t>
      </w:r>
      <w:r w:rsidR="003E0DD3">
        <w:rPr>
          <w:rFonts w:eastAsia="Calibri"/>
          <w:color w:val="000000" w:themeColor="text1"/>
          <w:szCs w:val="24"/>
          <w:lang w:eastAsia="en-US"/>
        </w:rPr>
        <w:t xml:space="preserve"> </w:t>
      </w:r>
      <w:r w:rsidRPr="00375F26">
        <w:rPr>
          <w:rFonts w:eastAsia="Calibri"/>
          <w:color w:val="000000" w:themeColor="text1"/>
          <w:szCs w:val="24"/>
          <w:lang w:eastAsia="en-US"/>
        </w:rPr>
        <w:t>predĺženiu prác na hornom bloku (</w:t>
      </w:r>
      <w:r w:rsidR="003E0DD3">
        <w:rPr>
          <w:rFonts w:eastAsia="Calibri"/>
          <w:color w:val="000000" w:themeColor="text1"/>
          <w:szCs w:val="24"/>
          <w:lang w:eastAsia="en-US"/>
        </w:rPr>
        <w:t>ďalej len „</w:t>
      </w:r>
      <w:r w:rsidRPr="00375F26">
        <w:rPr>
          <w:rFonts w:eastAsia="Calibri"/>
          <w:color w:val="000000" w:themeColor="text1"/>
          <w:szCs w:val="24"/>
          <w:lang w:eastAsia="en-US"/>
        </w:rPr>
        <w:t>HB</w:t>
      </w:r>
      <w:r w:rsidR="003E0DD3">
        <w:rPr>
          <w:rFonts w:eastAsia="Calibri"/>
          <w:color w:val="000000" w:themeColor="text1"/>
          <w:szCs w:val="24"/>
          <w:lang w:eastAsia="en-US"/>
        </w:rPr>
        <w:t>“</w:t>
      </w:r>
      <w:r w:rsidRPr="00375F26">
        <w:rPr>
          <w:rFonts w:eastAsia="Calibri"/>
          <w:color w:val="000000" w:themeColor="text1"/>
          <w:szCs w:val="24"/>
          <w:lang w:eastAsia="en-US"/>
        </w:rPr>
        <w:t xml:space="preserve">), </w:t>
      </w:r>
      <w:proofErr w:type="spellStart"/>
      <w:r w:rsidRPr="00375F26">
        <w:rPr>
          <w:rFonts w:eastAsia="Calibri"/>
          <w:color w:val="000000" w:themeColor="text1"/>
          <w:szCs w:val="24"/>
          <w:lang w:eastAsia="en-US"/>
        </w:rPr>
        <w:t>pretesňovani</w:t>
      </w:r>
      <w:r w:rsidR="00BE530F">
        <w:rPr>
          <w:rFonts w:eastAsia="Calibri"/>
          <w:color w:val="000000" w:themeColor="text1"/>
          <w:szCs w:val="24"/>
          <w:lang w:eastAsia="en-US"/>
        </w:rPr>
        <w:t>u</w:t>
      </w:r>
      <w:proofErr w:type="spellEnd"/>
      <w:r w:rsidRPr="00375F26">
        <w:rPr>
          <w:rFonts w:eastAsia="Calibri"/>
          <w:color w:val="000000" w:themeColor="text1"/>
          <w:szCs w:val="24"/>
          <w:lang w:eastAsia="en-US"/>
        </w:rPr>
        <w:t xml:space="preserve"> klapiek 1KLA70AA301,302,303</w:t>
      </w:r>
      <w:r w:rsidR="003E0DD3">
        <w:rPr>
          <w:rFonts w:eastAsia="Calibri"/>
          <w:color w:val="000000" w:themeColor="text1"/>
          <w:szCs w:val="24"/>
          <w:lang w:eastAsia="en-US"/>
        </w:rPr>
        <w:t>,</w:t>
      </w:r>
      <w:r w:rsidRPr="00375F26">
        <w:rPr>
          <w:rFonts w:eastAsia="Calibri"/>
          <w:color w:val="000000" w:themeColor="text1"/>
          <w:szCs w:val="24"/>
          <w:lang w:eastAsia="en-US"/>
        </w:rPr>
        <w:t xml:space="preserve"> ako aj opakovanej skúške PVKO 1JEF10AA027,</w:t>
      </w:r>
    </w:p>
    <w:p w14:paraId="26ED21FD" w14:textId="59BF438C" w:rsidR="00195B0A" w:rsidRPr="00375F26" w:rsidRDefault="00195B0A" w:rsidP="00195B0A">
      <w:pPr>
        <w:numPr>
          <w:ilvl w:val="0"/>
          <w:numId w:val="6"/>
        </w:numPr>
        <w:autoSpaceDE w:val="0"/>
        <w:autoSpaceDN w:val="0"/>
        <w:adjustRightInd w:val="0"/>
        <w:contextualSpacing/>
        <w:jc w:val="both"/>
        <w:rPr>
          <w:rFonts w:eastAsia="Calibri"/>
          <w:color w:val="000000" w:themeColor="text1"/>
          <w:szCs w:val="24"/>
          <w:lang w:eastAsia="en-US"/>
        </w:rPr>
      </w:pPr>
      <w:r w:rsidRPr="00375F26">
        <w:rPr>
          <w:rFonts w:eastAsia="Calibri"/>
          <w:color w:val="000000" w:themeColor="text1"/>
          <w:szCs w:val="24"/>
          <w:lang w:eastAsia="en-US"/>
        </w:rPr>
        <w:t>na 2. bloku od 7.</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 xml:space="preserve">9. </w:t>
      </w:r>
      <w:r w:rsidR="003E0DD3">
        <w:rPr>
          <w:rFonts w:eastAsia="Calibri"/>
          <w:color w:val="000000" w:themeColor="text1"/>
          <w:szCs w:val="24"/>
          <w:lang w:eastAsia="en-US"/>
        </w:rPr>
        <w:t xml:space="preserve">2024 </w:t>
      </w:r>
      <w:r w:rsidRPr="00375F26">
        <w:rPr>
          <w:rFonts w:eastAsia="Calibri"/>
          <w:color w:val="000000" w:themeColor="text1"/>
          <w:szCs w:val="24"/>
          <w:lang w:eastAsia="en-US"/>
        </w:rPr>
        <w:t>do 17.</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9.</w:t>
      </w:r>
      <w:r w:rsidR="00D26519" w:rsidRPr="00375F26">
        <w:rPr>
          <w:rFonts w:eastAsia="Calibri"/>
          <w:color w:val="000000" w:themeColor="text1"/>
          <w:szCs w:val="24"/>
          <w:lang w:eastAsia="en-US"/>
        </w:rPr>
        <w:t xml:space="preserve"> </w:t>
      </w:r>
      <w:r w:rsidRPr="00375F26">
        <w:rPr>
          <w:rFonts w:eastAsia="Calibri"/>
          <w:color w:val="000000" w:themeColor="text1"/>
          <w:szCs w:val="24"/>
          <w:lang w:eastAsia="en-US"/>
        </w:rPr>
        <w:t>2024 - odstávka trvala 19,9 dňa, plán bol 19,7 dní a predĺženie oproti plánu bolo 4,5 hod. z dôvodu predĺženia údržbárskych prác.</w:t>
      </w:r>
    </w:p>
    <w:p w14:paraId="723D9F41" w14:textId="77777777" w:rsidR="00195B0A" w:rsidRPr="00375F26" w:rsidRDefault="00195B0A" w:rsidP="00195B0A">
      <w:pPr>
        <w:jc w:val="both"/>
        <w:rPr>
          <w:color w:val="000000" w:themeColor="text1"/>
        </w:rPr>
      </w:pPr>
      <w:r w:rsidRPr="00375F26">
        <w:rPr>
          <w:color w:val="000000" w:themeColor="text1"/>
        </w:rPr>
        <w:t xml:space="preserve">Úrad schválil viacero zmien dokumentácie kvality a projektových zmien súvisiacich so zvýšením úrovne bezpečnosti JZ a seizmickým </w:t>
      </w:r>
      <w:proofErr w:type="spellStart"/>
      <w:r w:rsidRPr="00375F26">
        <w:rPr>
          <w:color w:val="000000" w:themeColor="text1"/>
        </w:rPr>
        <w:t>zodolnením</w:t>
      </w:r>
      <w:proofErr w:type="spellEnd"/>
      <w:r w:rsidRPr="00375F26">
        <w:rPr>
          <w:color w:val="000000" w:themeColor="text1"/>
        </w:rPr>
        <w:t xml:space="preserve"> zariadení a konštrukcií JE.</w:t>
      </w:r>
    </w:p>
    <w:p w14:paraId="4113713B" w14:textId="77777777" w:rsidR="00195B0A" w:rsidRPr="00375F26" w:rsidRDefault="00195B0A" w:rsidP="00195B0A">
      <w:pPr>
        <w:jc w:val="both"/>
        <w:rPr>
          <w:color w:val="000000" w:themeColor="text1"/>
        </w:rPr>
      </w:pPr>
      <w:r w:rsidRPr="00375F26">
        <w:rPr>
          <w:color w:val="000000" w:themeColor="text1"/>
        </w:rPr>
        <w:t>Na 1. a 2. bloku JE Mochovce boli vykonané prevádzkové kontroly, ktoré boli zrealizované v zmysle ročných plánov prevádzkových kontrol VZ, predkladaných prevádzkovateľom na ÚJD SR. Výsledky prevádzkových kontrol potvrdili vyhovujúci stav na obidvoch blokoch.</w:t>
      </w:r>
    </w:p>
    <w:p w14:paraId="21EBBE93" w14:textId="77777777" w:rsidR="00195B0A" w:rsidRPr="00375F26" w:rsidRDefault="00195B0A" w:rsidP="00195B0A">
      <w:pPr>
        <w:jc w:val="both"/>
        <w:rPr>
          <w:color w:val="000000" w:themeColor="text1"/>
        </w:rPr>
      </w:pPr>
      <w:r w:rsidRPr="00375F26">
        <w:rPr>
          <w:color w:val="000000" w:themeColor="text1"/>
        </w:rPr>
        <w:t>V rámci GO blokov boli vykonané inšpekcie, zamerané na vykonávanie kontrol zhody po opravách vybraných zariadení.</w:t>
      </w:r>
    </w:p>
    <w:p w14:paraId="6BFAD495" w14:textId="77777777" w:rsidR="00195B0A" w:rsidRPr="00375F26" w:rsidRDefault="00195B0A" w:rsidP="00195B0A">
      <w:pPr>
        <w:jc w:val="both"/>
        <w:rPr>
          <w:color w:val="000000" w:themeColor="text1"/>
        </w:rPr>
      </w:pPr>
      <w:r w:rsidRPr="00375F26">
        <w:rPr>
          <w:color w:val="000000" w:themeColor="text1"/>
        </w:rPr>
        <w:t xml:space="preserve">Prevádzkovateľ predkladá na ÚJD SR každoročne hodnotiace správy o čerpaní životnosti hlavných komponentov a vybraných dôležitých potrubných trás. Zo správ, ktoré prevádzkovateľ predložil, vyplýva, že sledované limity parametrov všetkých hodnotených VZ, </w:t>
      </w:r>
      <w:r w:rsidRPr="00AB39BB">
        <w:rPr>
          <w:color w:val="000000" w:themeColor="text1"/>
        </w:rPr>
        <w:t>ako aj stav materiálov tlakových nádob reaktora neboli prekročené</w:t>
      </w:r>
      <w:r w:rsidRPr="00375F26">
        <w:rPr>
          <w:color w:val="000000" w:themeColor="text1"/>
        </w:rPr>
        <w:t>.</w:t>
      </w:r>
    </w:p>
    <w:p w14:paraId="4E05E364" w14:textId="5551E3DA" w:rsidR="00195B0A" w:rsidRPr="00375F26" w:rsidRDefault="00195B0A" w:rsidP="00195B0A">
      <w:pPr>
        <w:jc w:val="both"/>
        <w:rPr>
          <w:color w:val="000000" w:themeColor="text1"/>
        </w:rPr>
      </w:pPr>
      <w:r w:rsidRPr="00375F26">
        <w:rPr>
          <w:color w:val="000000" w:themeColor="text1"/>
        </w:rPr>
        <w:t xml:space="preserve">Realizované skúšky tesnosti hermetickej zóny preukázali, že tesnosť hermetických priestorov je v súlade s požiadavkami </w:t>
      </w:r>
      <w:proofErr w:type="spellStart"/>
      <w:r w:rsidRPr="00375F26">
        <w:rPr>
          <w:color w:val="000000" w:themeColor="text1"/>
        </w:rPr>
        <w:t>LaP</w:t>
      </w:r>
      <w:proofErr w:type="spellEnd"/>
      <w:r w:rsidRPr="00375F26">
        <w:rPr>
          <w:color w:val="000000" w:themeColor="text1"/>
        </w:rPr>
        <w:t xml:space="preserve"> a prevádzkových predpisov.</w:t>
      </w:r>
    </w:p>
    <w:p w14:paraId="419F0D31" w14:textId="77777777" w:rsidR="00195B0A" w:rsidRPr="00375F26" w:rsidRDefault="00195B0A" w:rsidP="00195B0A">
      <w:pPr>
        <w:jc w:val="both"/>
        <w:rPr>
          <w:color w:val="000000" w:themeColor="text1"/>
        </w:rPr>
      </w:pPr>
    </w:p>
    <w:p w14:paraId="5297B288" w14:textId="77777777" w:rsidR="009B3B26" w:rsidRPr="00375F26" w:rsidRDefault="009B3B26" w:rsidP="009B3B26">
      <w:pPr>
        <w:rPr>
          <w:b/>
          <w:color w:val="000000" w:themeColor="text1"/>
        </w:rPr>
      </w:pPr>
      <w:r w:rsidRPr="00375F26">
        <w:rPr>
          <w:b/>
          <w:color w:val="000000" w:themeColor="text1"/>
        </w:rPr>
        <w:t>Prevádzkové udalosti</w:t>
      </w:r>
    </w:p>
    <w:p w14:paraId="203B04FC" w14:textId="1DBFE25A" w:rsidR="00195B0A" w:rsidRPr="00375F26" w:rsidRDefault="00195B0A" w:rsidP="00C76454">
      <w:pPr>
        <w:jc w:val="both"/>
        <w:rPr>
          <w:color w:val="000000" w:themeColor="text1"/>
        </w:rPr>
      </w:pPr>
      <w:r w:rsidRPr="00375F26">
        <w:rPr>
          <w:color w:val="000000" w:themeColor="text1"/>
        </w:rPr>
        <w:t xml:space="preserve">Počet a charakter prevádzkových udalostí v roku 2024 na EMO1, 2 </w:t>
      </w:r>
      <w:r w:rsidRPr="00AB39BB">
        <w:rPr>
          <w:color w:val="000000" w:themeColor="text1"/>
        </w:rPr>
        <w:t>prekročil obvyklú mieru</w:t>
      </w:r>
      <w:r w:rsidRPr="00375F26">
        <w:rPr>
          <w:color w:val="000000" w:themeColor="text1"/>
        </w:rPr>
        <w:t xml:space="preserve"> prevádzkových porúch. ÚJD SR zaevidoval 17 udalostí podliehajúcich hláseniu dozornému orgánu, ktoré ale nemali významný vplyv na jadrovú bezpečnosť. Počas roka 2024 prišlo k </w:t>
      </w:r>
      <w:r w:rsidRPr="00375F26">
        <w:rPr>
          <w:color w:val="000000" w:themeColor="text1"/>
        </w:rPr>
        <w:lastRenderedPageBreak/>
        <w:t>automatickému odstaveniu reaktora pôsobením ochrany AO1 od výpadku druhej pracujúcej turbíny v dôsledku zlej manipulácie pri zisťovaní príčin výpadku prvej pracujúcej turbíny. Pri opätovnom nábehu došlo k niekoľkým pochybeniam personálu JE, za ktoré im boli odobraté aj oprávnenia osobitnej odbornej spôsobilosti a nariadené mimoriadne vzdelávanie a</w:t>
      </w:r>
      <w:r w:rsidR="008119E6">
        <w:rPr>
          <w:color w:val="000000" w:themeColor="text1"/>
        </w:rPr>
        <w:t> </w:t>
      </w:r>
      <w:r w:rsidRPr="00375F26">
        <w:rPr>
          <w:color w:val="000000" w:themeColor="text1"/>
        </w:rPr>
        <w:t>skúšky</w:t>
      </w:r>
      <w:r w:rsidR="008119E6">
        <w:rPr>
          <w:color w:val="000000" w:themeColor="text1"/>
        </w:rPr>
        <w:t>.</w:t>
      </w:r>
      <w:r w:rsidRPr="00375F26">
        <w:rPr>
          <w:color w:val="000000" w:themeColor="text1"/>
        </w:rPr>
        <w:t xml:space="preserve"> Prišlo aj k jednému zapracovaniu ochrany AO3</w:t>
      </w:r>
      <w:r w:rsidR="008119E6">
        <w:rPr>
          <w:color w:val="000000" w:themeColor="text1"/>
        </w:rPr>
        <w:t xml:space="preserve"> (zníženie výkonu reaktora regulačnou skupinou HRK)</w:t>
      </w:r>
      <w:r w:rsidRPr="00375F26">
        <w:rPr>
          <w:color w:val="000000" w:themeColor="text1"/>
        </w:rPr>
        <w:t xml:space="preserve"> od vypadnutia 400 kV vypínača.</w:t>
      </w:r>
    </w:p>
    <w:p w14:paraId="12A0416F" w14:textId="77777777" w:rsidR="002B1F61" w:rsidRPr="00375F26" w:rsidRDefault="002B1F61" w:rsidP="002B1F61">
      <w:pPr>
        <w:jc w:val="both"/>
        <w:rPr>
          <w:color w:val="000000" w:themeColor="text1"/>
        </w:rPr>
      </w:pPr>
    </w:p>
    <w:p w14:paraId="3FC117A7" w14:textId="65F57E2C" w:rsidR="00195B0A" w:rsidRPr="00375F26" w:rsidRDefault="00160687" w:rsidP="00C76454">
      <w:pPr>
        <w:jc w:val="both"/>
        <w:rPr>
          <w:b/>
          <w:i/>
          <w:color w:val="000000" w:themeColor="text1"/>
        </w:rPr>
      </w:pPr>
      <w:r w:rsidRPr="00375F26">
        <w:rPr>
          <w:b/>
          <w:i/>
          <w:color w:val="000000" w:themeColor="text1"/>
        </w:rPr>
        <w:t>Záver:</w:t>
      </w:r>
    </w:p>
    <w:p w14:paraId="5C3761B7" w14:textId="5AFE399F" w:rsidR="00195B0A" w:rsidRPr="00160687" w:rsidRDefault="00195B0A" w:rsidP="00C76454">
      <w:pPr>
        <w:jc w:val="both"/>
        <w:rPr>
          <w:b/>
          <w:i/>
          <w:color w:val="000000" w:themeColor="text1"/>
        </w:rPr>
      </w:pPr>
      <w:r w:rsidRPr="00375F26">
        <w:rPr>
          <w:b/>
          <w:i/>
          <w:color w:val="000000" w:themeColor="text1"/>
        </w:rPr>
        <w:t>Na základe výsledkov kontrolnej a hodnotiacej činnosti ÚJD SR bola v roku 2024 prevádzka JE Mochovce 1, 2 vyhodnotená ako bezpečná. Identifikované prevádzkové poruchy boli z hľadiska jadrovej bezpečnosti bez osobitnej významnosti a boli prijaté také nápravné opatrenia, ktoré minimalizujú pravdepodobnosť ich opakovania.</w:t>
      </w:r>
    </w:p>
    <w:p w14:paraId="798E2FAE" w14:textId="77777777" w:rsidR="0020334C" w:rsidRPr="0020334C" w:rsidRDefault="0020334C" w:rsidP="0020334C">
      <w:pPr>
        <w:jc w:val="both"/>
        <w:rPr>
          <w:color w:val="000000" w:themeColor="text1"/>
        </w:rPr>
      </w:pPr>
    </w:p>
    <w:p w14:paraId="5EC821B1" w14:textId="081B541A" w:rsidR="0020334C" w:rsidRPr="00F229CB" w:rsidRDefault="0020334C" w:rsidP="00D20844">
      <w:pPr>
        <w:pStyle w:val="Nadpis4"/>
        <w:ind w:hanging="1728"/>
        <w:rPr>
          <w:b w:val="0"/>
          <w:u w:val="single"/>
        </w:rPr>
      </w:pPr>
      <w:bookmarkStart w:id="30" w:name="_Toc193697648"/>
      <w:bookmarkStart w:id="31" w:name="_Hlk159515862"/>
      <w:r w:rsidRPr="00F229CB">
        <w:rPr>
          <w:b w:val="0"/>
          <w:u w:val="single"/>
        </w:rPr>
        <w:t>Jadrové elektrárne vo</w:t>
      </w:r>
      <w:r w:rsidR="00981BA3" w:rsidRPr="00F229CB">
        <w:rPr>
          <w:b w:val="0"/>
          <w:u w:val="single"/>
        </w:rPr>
        <w:t xml:space="preserve"> fáze uvádzania do prevádzky</w:t>
      </w:r>
      <w:bookmarkEnd w:id="30"/>
      <w:r w:rsidR="00981BA3" w:rsidRPr="00F229CB">
        <w:rPr>
          <w:b w:val="0"/>
          <w:u w:val="single"/>
        </w:rPr>
        <w:t xml:space="preserve"> </w:t>
      </w:r>
    </w:p>
    <w:bookmarkEnd w:id="31"/>
    <w:p w14:paraId="3EC16A54" w14:textId="77777777" w:rsidR="0020334C" w:rsidRPr="00B405F3" w:rsidRDefault="0020334C" w:rsidP="0020334C">
      <w:pPr>
        <w:rPr>
          <w:color w:val="000000" w:themeColor="text1"/>
          <w:highlight w:val="yellow"/>
          <w:lang w:val="x-none" w:eastAsia="x-none"/>
        </w:rPr>
      </w:pPr>
    </w:p>
    <w:p w14:paraId="7011299B" w14:textId="72083979" w:rsidR="00BA1052" w:rsidRPr="00375F26" w:rsidRDefault="00BA1052" w:rsidP="00CE49C8">
      <w:pPr>
        <w:pStyle w:val="Nadpis5"/>
        <w:numPr>
          <w:ilvl w:val="4"/>
          <w:numId w:val="2"/>
        </w:numPr>
        <w:suppressLineNumbers/>
        <w:jc w:val="both"/>
        <w:rPr>
          <w:rFonts w:ascii="Times New Roman" w:hAnsi="Times New Roman"/>
          <w:color w:val="000000" w:themeColor="text1"/>
          <w:sz w:val="24"/>
          <w:szCs w:val="24"/>
          <w:lang w:val="sk-SK"/>
        </w:rPr>
      </w:pPr>
      <w:bookmarkStart w:id="32" w:name="_Hlk159485262"/>
      <w:r w:rsidRPr="00375F26">
        <w:rPr>
          <w:rFonts w:ascii="Times New Roman" w:hAnsi="Times New Roman"/>
          <w:color w:val="000000" w:themeColor="text1"/>
          <w:sz w:val="24"/>
          <w:szCs w:val="24"/>
          <w:lang w:val="sk-SK"/>
        </w:rPr>
        <w:t>Jadrová elektráreň Mochovce 3</w:t>
      </w:r>
    </w:p>
    <w:bookmarkEnd w:id="32"/>
    <w:p w14:paraId="4E075DBD" w14:textId="6FF090A5" w:rsidR="00195B0A" w:rsidRPr="00375F26" w:rsidRDefault="00195B0A" w:rsidP="00BA1052">
      <w:pPr>
        <w:jc w:val="both"/>
        <w:rPr>
          <w:color w:val="000000" w:themeColor="text1"/>
        </w:rPr>
      </w:pPr>
      <w:r w:rsidRPr="00375F26">
        <w:rPr>
          <w:color w:val="000000" w:themeColor="text1"/>
        </w:rPr>
        <w:t>Na 3. bloku JE Mochovce, ktorý sa nachádzal v etape predprevádzkových testov, boli v roku 2024 ukončené všetky testy podľa schváleného špeciálneho predpisu – 3-SP/0001 Predprevádzkové  testy.  Po posúdení etapy predprevádzkových testov vydal dňa 6.</w:t>
      </w:r>
      <w:r w:rsidR="00D26519" w:rsidRPr="00375F26">
        <w:rPr>
          <w:color w:val="000000" w:themeColor="text1"/>
        </w:rPr>
        <w:t xml:space="preserve"> </w:t>
      </w:r>
      <w:r w:rsidRPr="00375F26">
        <w:rPr>
          <w:color w:val="000000" w:themeColor="text1"/>
        </w:rPr>
        <w:t>11.</w:t>
      </w:r>
      <w:r w:rsidR="00D26519" w:rsidRPr="00375F26">
        <w:rPr>
          <w:color w:val="000000" w:themeColor="text1"/>
        </w:rPr>
        <w:t xml:space="preserve"> </w:t>
      </w:r>
      <w:r w:rsidRPr="00375F26">
        <w:rPr>
          <w:color w:val="000000" w:themeColor="text1"/>
        </w:rPr>
        <w:t>2024 ÚJD SR súhlas na prechod do etapy skúšobnej prevádzky</w:t>
      </w:r>
      <w:r w:rsidR="00E44B18">
        <w:rPr>
          <w:color w:val="000000" w:themeColor="text1"/>
        </w:rPr>
        <w:t xml:space="preserve"> a prevádzky</w:t>
      </w:r>
      <w:r w:rsidRPr="00375F26">
        <w:rPr>
          <w:color w:val="000000" w:themeColor="text1"/>
        </w:rPr>
        <w:t xml:space="preserve"> 3. bloku. V priebehu etapy predprevádzkových testov bola vykonaná v čase od 18.</w:t>
      </w:r>
      <w:r w:rsidR="00D26519" w:rsidRPr="00375F26">
        <w:rPr>
          <w:color w:val="000000" w:themeColor="text1"/>
        </w:rPr>
        <w:t xml:space="preserve"> </w:t>
      </w:r>
      <w:r w:rsidRPr="00375F26">
        <w:rPr>
          <w:color w:val="000000" w:themeColor="text1"/>
        </w:rPr>
        <w:t>5.</w:t>
      </w:r>
      <w:r w:rsidR="00D26519" w:rsidRPr="00375F26">
        <w:rPr>
          <w:color w:val="000000" w:themeColor="text1"/>
        </w:rPr>
        <w:t xml:space="preserve"> </w:t>
      </w:r>
      <w:r w:rsidRPr="00375F26">
        <w:rPr>
          <w:color w:val="000000" w:themeColor="text1"/>
        </w:rPr>
        <w:t>2024 do 8.</w:t>
      </w:r>
      <w:r w:rsidR="00D26519" w:rsidRPr="00375F26">
        <w:rPr>
          <w:color w:val="000000" w:themeColor="text1"/>
        </w:rPr>
        <w:t xml:space="preserve"> </w:t>
      </w:r>
      <w:r w:rsidRPr="00375F26">
        <w:rPr>
          <w:color w:val="000000" w:themeColor="text1"/>
        </w:rPr>
        <w:t>7.</w:t>
      </w:r>
      <w:r w:rsidR="00D26519" w:rsidRPr="00375F26">
        <w:rPr>
          <w:color w:val="000000" w:themeColor="text1"/>
        </w:rPr>
        <w:t xml:space="preserve"> </w:t>
      </w:r>
      <w:r w:rsidRPr="00375F26">
        <w:rPr>
          <w:color w:val="000000" w:themeColor="text1"/>
        </w:rPr>
        <w:t xml:space="preserve">2024 prvá generálna odstávka bloku. </w:t>
      </w:r>
      <w:r w:rsidRPr="00F40A2C">
        <w:rPr>
          <w:color w:val="000000" w:themeColor="text1"/>
        </w:rPr>
        <w:t>Hlavné činnosti vykonávané počas</w:t>
      </w:r>
      <w:r w:rsidR="00F40A2C" w:rsidRPr="00F40A2C">
        <w:rPr>
          <w:color w:val="000000" w:themeColor="text1"/>
        </w:rPr>
        <w:t xml:space="preserve"> generálnej odstávky </w:t>
      </w:r>
      <w:r w:rsidRPr="00F40A2C">
        <w:rPr>
          <w:color w:val="000000" w:themeColor="text1"/>
        </w:rPr>
        <w:t>boli: výmena paliva, práce na</w:t>
      </w:r>
      <w:r w:rsidR="00E44B18">
        <w:rPr>
          <w:color w:val="000000" w:themeColor="text1"/>
        </w:rPr>
        <w:t xml:space="preserve"> druhej redundancii</w:t>
      </w:r>
      <w:r w:rsidR="00AB39BB">
        <w:rPr>
          <w:color w:val="000000" w:themeColor="text1"/>
        </w:rPr>
        <w:t xml:space="preserve"> </w:t>
      </w:r>
      <w:r w:rsidRPr="00F40A2C">
        <w:rPr>
          <w:color w:val="000000" w:themeColor="text1"/>
        </w:rPr>
        <w:t xml:space="preserve">systémoch </w:t>
      </w:r>
      <w:r w:rsidR="008850BE" w:rsidRPr="00F40A2C">
        <w:rPr>
          <w:color w:val="000000" w:themeColor="text1"/>
        </w:rPr>
        <w:t>DG</w:t>
      </w:r>
      <w:r w:rsidRPr="00F40A2C">
        <w:rPr>
          <w:color w:val="000000" w:themeColor="text1"/>
        </w:rPr>
        <w:t>, technickej vody dôležitej, havarijných systémo</w:t>
      </w:r>
      <w:r w:rsidR="000A68E5" w:rsidRPr="00F40A2C">
        <w:rPr>
          <w:color w:val="000000" w:themeColor="text1"/>
        </w:rPr>
        <w:t>ch</w:t>
      </w:r>
      <w:r w:rsidRPr="00F40A2C">
        <w:rPr>
          <w:color w:val="000000" w:themeColor="text1"/>
        </w:rPr>
        <w:t xml:space="preserve"> chladenia aktívnej zóny</w:t>
      </w:r>
      <w:r w:rsidR="000A68E5" w:rsidRPr="00F40A2C">
        <w:rPr>
          <w:color w:val="000000" w:themeColor="text1"/>
        </w:rPr>
        <w:t>, p</w:t>
      </w:r>
      <w:r w:rsidRPr="00F40A2C">
        <w:rPr>
          <w:color w:val="000000" w:themeColor="text1"/>
        </w:rPr>
        <w:t>rehliadky a opravy tepelných výmenníkov, čerpadiel, elektrozariadení</w:t>
      </w:r>
      <w:r w:rsidR="000A68E5" w:rsidRPr="00F40A2C">
        <w:rPr>
          <w:color w:val="000000" w:themeColor="text1"/>
        </w:rPr>
        <w:t xml:space="preserve">, </w:t>
      </w:r>
      <w:r w:rsidRPr="00F40A2C">
        <w:rPr>
          <w:color w:val="000000" w:themeColor="text1"/>
        </w:rPr>
        <w:t>nedeštruktívne kontroly vybraných zvarových spojov. Boli</w:t>
      </w:r>
      <w:r w:rsidRPr="00375F26">
        <w:rPr>
          <w:color w:val="000000" w:themeColor="text1"/>
        </w:rPr>
        <w:t xml:space="preserve"> vymenené rozvádzacie kolesá  </w:t>
      </w:r>
      <w:proofErr w:type="spellStart"/>
      <w:r w:rsidRPr="00375F26">
        <w:rPr>
          <w:color w:val="000000" w:themeColor="text1"/>
        </w:rPr>
        <w:t>vysokotlakého</w:t>
      </w:r>
      <w:proofErr w:type="spellEnd"/>
      <w:r w:rsidRPr="00375F26">
        <w:rPr>
          <w:color w:val="000000" w:themeColor="text1"/>
        </w:rPr>
        <w:t xml:space="preserve"> dielu turbogenerátorov za účelom zvýšenia efektivity výroby. V októbri 2024 došlo k výmene jedného blokového </w:t>
      </w:r>
      <w:proofErr w:type="spellStart"/>
      <w:r w:rsidRPr="00375F26">
        <w:rPr>
          <w:color w:val="000000" w:themeColor="text1"/>
        </w:rPr>
        <w:t>trasformátora</w:t>
      </w:r>
      <w:proofErr w:type="spellEnd"/>
      <w:r w:rsidRPr="00375F26">
        <w:rPr>
          <w:color w:val="000000" w:themeColor="text1"/>
        </w:rPr>
        <w:t xml:space="preserve"> z dôvodu jeho poruchy. Bol použitý transformátor zo 4. bloku.  Počas celej etapy ÚJD SR sledoval vykonávané činnosti držiteľa povolenia a priebežne posudzoval predkladané protokoly a správy a v prípade zistení ukladal držiteľovi povolenia nápravné opatrenia.  </w:t>
      </w:r>
    </w:p>
    <w:p w14:paraId="13C40308" w14:textId="77777777" w:rsidR="00BA1052" w:rsidRPr="00375F26" w:rsidRDefault="00BA1052" w:rsidP="00BA1052">
      <w:pPr>
        <w:jc w:val="both"/>
        <w:rPr>
          <w:bCs/>
          <w:color w:val="000000" w:themeColor="text1"/>
          <w:szCs w:val="24"/>
          <w:shd w:val="clear" w:color="auto" w:fill="FFFFFF"/>
        </w:rPr>
      </w:pPr>
    </w:p>
    <w:p w14:paraId="61B50D31" w14:textId="194C29D3" w:rsidR="00BA1052" w:rsidRPr="00375F26" w:rsidRDefault="00BA1052" w:rsidP="00BA1052">
      <w:pPr>
        <w:jc w:val="both"/>
        <w:rPr>
          <w:b/>
          <w:bCs/>
          <w:color w:val="000000" w:themeColor="text1"/>
          <w:szCs w:val="24"/>
          <w:shd w:val="clear" w:color="auto" w:fill="FFFFFF"/>
        </w:rPr>
      </w:pPr>
      <w:r w:rsidRPr="00375F26">
        <w:rPr>
          <w:b/>
          <w:bCs/>
          <w:color w:val="000000" w:themeColor="text1"/>
          <w:szCs w:val="24"/>
          <w:shd w:val="clear" w:color="auto" w:fill="FFFFFF"/>
        </w:rPr>
        <w:t>Prevádzkové udalosti</w:t>
      </w:r>
    </w:p>
    <w:p w14:paraId="24182F2D" w14:textId="7EE07EC4" w:rsidR="00195B0A" w:rsidRPr="00375F26" w:rsidRDefault="00195B0A" w:rsidP="00BA1052">
      <w:pPr>
        <w:jc w:val="both"/>
        <w:rPr>
          <w:color w:val="000000" w:themeColor="text1"/>
        </w:rPr>
      </w:pPr>
      <w:r w:rsidRPr="00375F26">
        <w:rPr>
          <w:color w:val="000000" w:themeColor="text1"/>
        </w:rPr>
        <w:t>V roku 2024 ÚJD SR zaevidoval 17 udalostí podliehajúcich hláseniu dozornému orgánu</w:t>
      </w:r>
      <w:r w:rsidR="0043471E">
        <w:rPr>
          <w:color w:val="000000" w:themeColor="text1"/>
        </w:rPr>
        <w:t>:</w:t>
      </w:r>
      <w:r w:rsidRPr="00375F26">
        <w:rPr>
          <w:color w:val="000000" w:themeColor="text1"/>
        </w:rPr>
        <w:t xml:space="preserve"> </w:t>
      </w:r>
      <w:r w:rsidR="0043471E">
        <w:rPr>
          <w:color w:val="000000" w:themeColor="text1"/>
        </w:rPr>
        <w:t>l</w:t>
      </w:r>
      <w:r w:rsidRPr="00375F26">
        <w:rPr>
          <w:color w:val="000000" w:themeColor="text1"/>
        </w:rPr>
        <w:t xml:space="preserve">okálne zvýšenie teploty v hermetických priestoroch z dôvodu neukončených prác na tepelnej izolácii, hromadný automatický záskok rezervy z dôvodu elektrickej poruchy na vonkajšej rozvodni, aktivácia  AO1 (automatická ochrana) a nábeh havarijných čerpadiel od  signálov bezpečnostného systému  počas testovania a kontroly systému v režime 6 (podkritická aktívna zóna a </w:t>
      </w:r>
      <w:proofErr w:type="spellStart"/>
      <w:r w:rsidRPr="00375F26">
        <w:rPr>
          <w:color w:val="000000" w:themeColor="text1"/>
        </w:rPr>
        <w:t>roztesnený</w:t>
      </w:r>
      <w:proofErr w:type="spellEnd"/>
      <w:r w:rsidRPr="00375F26">
        <w:rPr>
          <w:color w:val="000000" w:themeColor="text1"/>
        </w:rPr>
        <w:t xml:space="preserve"> primárny okruh)</w:t>
      </w:r>
      <w:r w:rsidR="006A1D1A">
        <w:rPr>
          <w:color w:val="000000" w:themeColor="text1"/>
        </w:rPr>
        <w:t>,</w:t>
      </w:r>
      <w:r w:rsidRPr="00375F26">
        <w:rPr>
          <w:color w:val="000000" w:themeColor="text1"/>
        </w:rPr>
        <w:t xml:space="preserve"> nedodržanie požiadaviek procesu počas uvádzania čerpadiel  do prevádzkyschopného stavu, nefunkčné </w:t>
      </w:r>
      <w:proofErr w:type="spellStart"/>
      <w:r w:rsidRPr="00375F26">
        <w:rPr>
          <w:color w:val="000000" w:themeColor="text1"/>
        </w:rPr>
        <w:t>OaB</w:t>
      </w:r>
      <w:proofErr w:type="spellEnd"/>
      <w:r w:rsidRPr="00375F26">
        <w:rPr>
          <w:color w:val="000000" w:themeColor="text1"/>
        </w:rPr>
        <w:t xml:space="preserve"> (ochrany a blokády) vybraných armatúr na systéme napájacej vody do PG z dôvodu aktívnych simulácií, prekročenie povolenej doby na vykonanie činností pri oprave čerpadla. Počas roku 2024 boli dotknuté viaceré atribúty kultúry bezpečnosti, hlavne kvôli nedostatočnej odozve personálu a nedostatočnému kritickému postoju.</w:t>
      </w:r>
    </w:p>
    <w:p w14:paraId="293F9643" w14:textId="77777777" w:rsidR="00195B0A" w:rsidRPr="00375F26" w:rsidRDefault="00195B0A" w:rsidP="006A7DCF">
      <w:pPr>
        <w:jc w:val="both"/>
        <w:rPr>
          <w:b/>
          <w:i/>
          <w:color w:val="000000" w:themeColor="text1"/>
        </w:rPr>
      </w:pPr>
    </w:p>
    <w:p w14:paraId="368DB4CE" w14:textId="1198AD5D" w:rsidR="006A7DCF" w:rsidRPr="00375F26" w:rsidRDefault="006A7DCF" w:rsidP="006A7DCF">
      <w:pPr>
        <w:jc w:val="both"/>
        <w:rPr>
          <w:b/>
          <w:i/>
          <w:color w:val="000000" w:themeColor="text1"/>
        </w:rPr>
      </w:pPr>
      <w:r w:rsidRPr="00375F26">
        <w:rPr>
          <w:b/>
          <w:i/>
          <w:color w:val="000000" w:themeColor="text1"/>
        </w:rPr>
        <w:t>Záver:</w:t>
      </w:r>
    </w:p>
    <w:p w14:paraId="30DD10E3" w14:textId="77777777" w:rsidR="00195B0A" w:rsidRPr="00375F26" w:rsidRDefault="00195B0A" w:rsidP="00195B0A">
      <w:pPr>
        <w:jc w:val="both"/>
        <w:rPr>
          <w:b/>
          <w:bCs/>
          <w:i/>
          <w:color w:val="000000" w:themeColor="text1"/>
          <w:szCs w:val="24"/>
          <w:shd w:val="clear" w:color="auto" w:fill="FFFFFF"/>
        </w:rPr>
      </w:pPr>
      <w:r w:rsidRPr="00375F26">
        <w:rPr>
          <w:b/>
          <w:bCs/>
          <w:i/>
          <w:color w:val="000000" w:themeColor="text1"/>
          <w:szCs w:val="24"/>
          <w:shd w:val="clear" w:color="auto" w:fill="FFFFFF"/>
        </w:rPr>
        <w:t>Podľa vyhodnotenia ÚJD SR etapa predprevádzkových testov 3. bloku preverila  prevádzkové parametre zariadení I.O. a II.O., pri práci reaktora na výkone. Cieľom preverovania bolo porovnávanie projektových parametrov bloku s reálne dosiahnutými parametrami.</w:t>
      </w:r>
    </w:p>
    <w:p w14:paraId="1D139D6E" w14:textId="5FAF5768" w:rsidR="00AB39BB" w:rsidRPr="00E44B18" w:rsidRDefault="00195B0A" w:rsidP="00AB39BB">
      <w:pPr>
        <w:jc w:val="both"/>
        <w:rPr>
          <w:b/>
          <w:bCs/>
          <w:i/>
          <w:color w:val="000000" w:themeColor="text1"/>
          <w:szCs w:val="24"/>
          <w:shd w:val="clear" w:color="auto" w:fill="FFFFFF"/>
        </w:rPr>
      </w:pPr>
      <w:r w:rsidRPr="00375F26">
        <w:rPr>
          <w:b/>
          <w:bCs/>
          <w:i/>
          <w:color w:val="000000" w:themeColor="text1"/>
          <w:szCs w:val="24"/>
          <w:shd w:val="clear" w:color="auto" w:fill="FFFFFF"/>
        </w:rPr>
        <w:t xml:space="preserve">Predprevádzkové testy preverili stav a kvalitu namontovaných výrobných zariadení a technicky zdokumentovali prípadné, aktuálne existujúce nedostatky procesu výroby </w:t>
      </w:r>
      <w:r w:rsidRPr="00375F26">
        <w:rPr>
          <w:b/>
          <w:bCs/>
          <w:i/>
          <w:color w:val="000000" w:themeColor="text1"/>
          <w:szCs w:val="24"/>
          <w:shd w:val="clear" w:color="auto" w:fill="FFFFFF"/>
        </w:rPr>
        <w:lastRenderedPageBreak/>
        <w:t>elektrickej energie. Overili všetky bezpečnostné a projektové kritériá, čo bol nevyhnutný predpoklad pre bezpečnú a spoľahlivú prevádzku jadrového zariadenia. ÚJD SR kontroloval priebeh a hodnotenie vykonávaných skúšok s technickou podporou externých špecialistov.</w:t>
      </w:r>
      <w:r w:rsidR="00AB39BB">
        <w:rPr>
          <w:b/>
          <w:bCs/>
          <w:i/>
          <w:color w:val="000000" w:themeColor="text1"/>
          <w:szCs w:val="24"/>
          <w:shd w:val="clear" w:color="auto" w:fill="FFFFFF"/>
        </w:rPr>
        <w:br/>
      </w:r>
      <w:r w:rsidR="00E44B18" w:rsidRPr="00E44B18">
        <w:rPr>
          <w:b/>
          <w:bCs/>
          <w:i/>
          <w:color w:val="000000" w:themeColor="text1"/>
          <w:szCs w:val="24"/>
          <w:shd w:val="clear" w:color="auto" w:fill="FFFFFF"/>
        </w:rPr>
        <w:t>Dňa 6. 11. 2024 nadobudlo právoplatnosť rozhodnutie č. 439/2024</w:t>
      </w:r>
      <w:r w:rsidR="00AB39BB">
        <w:rPr>
          <w:b/>
          <w:bCs/>
          <w:i/>
          <w:color w:val="000000" w:themeColor="text1"/>
          <w:szCs w:val="24"/>
          <w:shd w:val="clear" w:color="auto" w:fill="FFFFFF"/>
        </w:rPr>
        <w:t>, ktorým ÚJD SR povoľuje p</w:t>
      </w:r>
      <w:r w:rsidR="00E44B18" w:rsidRPr="00E44B18">
        <w:rPr>
          <w:b/>
          <w:bCs/>
          <w:i/>
          <w:color w:val="000000" w:themeColor="text1"/>
          <w:szCs w:val="24"/>
          <w:shd w:val="clear" w:color="auto" w:fill="FFFFFF"/>
        </w:rPr>
        <w:t>revádzku</w:t>
      </w:r>
      <w:r w:rsidR="00AB39BB">
        <w:rPr>
          <w:b/>
          <w:bCs/>
          <w:i/>
          <w:color w:val="000000" w:themeColor="text1"/>
          <w:szCs w:val="24"/>
          <w:shd w:val="clear" w:color="auto" w:fill="FFFFFF"/>
        </w:rPr>
        <w:t xml:space="preserve">, </w:t>
      </w:r>
      <w:r w:rsidR="00AB39BB" w:rsidRPr="00E44B18">
        <w:rPr>
          <w:b/>
          <w:bCs/>
          <w:i/>
          <w:color w:val="000000" w:themeColor="text1"/>
          <w:szCs w:val="24"/>
          <w:shd w:val="clear" w:color="auto" w:fill="FFFFFF"/>
        </w:rPr>
        <w:t>nakladanie s rádioaktívnymi odpadmi a vyhoretým jadrovým palivom</w:t>
      </w:r>
      <w:r w:rsidR="00AB39BB">
        <w:rPr>
          <w:b/>
          <w:bCs/>
          <w:i/>
          <w:color w:val="000000" w:themeColor="text1"/>
          <w:szCs w:val="24"/>
          <w:shd w:val="clear" w:color="auto" w:fill="FFFFFF"/>
        </w:rPr>
        <w:t>,</w:t>
      </w:r>
      <w:r w:rsidR="00AB39BB" w:rsidRPr="00AB39BB">
        <w:rPr>
          <w:b/>
          <w:bCs/>
          <w:i/>
          <w:color w:val="000000" w:themeColor="text1"/>
          <w:szCs w:val="24"/>
          <w:shd w:val="clear" w:color="auto" w:fill="FFFFFF"/>
        </w:rPr>
        <w:t xml:space="preserve"> </w:t>
      </w:r>
      <w:r w:rsidR="00AB39BB" w:rsidRPr="00E44B18">
        <w:rPr>
          <w:b/>
          <w:bCs/>
          <w:i/>
          <w:color w:val="000000" w:themeColor="text1"/>
          <w:szCs w:val="24"/>
          <w:shd w:val="clear" w:color="auto" w:fill="FFFFFF"/>
        </w:rPr>
        <w:t>nakladanie s jadrovým materiálom v jadrovom zariadení</w:t>
      </w:r>
      <w:r w:rsidR="00AB39BB">
        <w:rPr>
          <w:b/>
          <w:bCs/>
          <w:i/>
          <w:color w:val="000000" w:themeColor="text1"/>
          <w:szCs w:val="24"/>
          <w:shd w:val="clear" w:color="auto" w:fill="FFFFFF"/>
        </w:rPr>
        <w:t>,</w:t>
      </w:r>
      <w:r w:rsidR="00AB39BB" w:rsidRPr="00AB39BB">
        <w:rPr>
          <w:b/>
          <w:bCs/>
          <w:i/>
          <w:color w:val="000000" w:themeColor="text1"/>
          <w:szCs w:val="24"/>
          <w:shd w:val="clear" w:color="auto" w:fill="FFFFFF"/>
        </w:rPr>
        <w:t xml:space="preserve"> </w:t>
      </w:r>
      <w:r w:rsidR="00AB39BB" w:rsidRPr="00E44B18">
        <w:rPr>
          <w:b/>
          <w:bCs/>
          <w:i/>
          <w:color w:val="000000" w:themeColor="text1"/>
          <w:szCs w:val="24"/>
          <w:shd w:val="clear" w:color="auto" w:fill="FFFFFF"/>
        </w:rPr>
        <w:t>skúšobnú prevádzku</w:t>
      </w:r>
      <w:r w:rsidR="00AB39BB">
        <w:rPr>
          <w:b/>
          <w:bCs/>
          <w:i/>
          <w:color w:val="000000" w:themeColor="text1"/>
          <w:szCs w:val="24"/>
          <w:shd w:val="clear" w:color="auto" w:fill="FFFFFF"/>
        </w:rPr>
        <w:t xml:space="preserve"> a</w:t>
      </w:r>
      <w:r w:rsidR="00AB39BB" w:rsidRPr="00AB39BB">
        <w:rPr>
          <w:b/>
          <w:bCs/>
          <w:i/>
          <w:color w:val="000000" w:themeColor="text1"/>
          <w:szCs w:val="24"/>
          <w:shd w:val="clear" w:color="auto" w:fill="FFFFFF"/>
        </w:rPr>
        <w:t xml:space="preserve"> </w:t>
      </w:r>
      <w:r w:rsidR="00AB39BB" w:rsidRPr="00E44B18">
        <w:rPr>
          <w:b/>
          <w:bCs/>
          <w:i/>
          <w:color w:val="000000" w:themeColor="text1"/>
          <w:szCs w:val="24"/>
          <w:shd w:val="clear" w:color="auto" w:fill="FFFFFF"/>
        </w:rPr>
        <w:t>dočasné užívanie stavby 3. bloku JE Mochovce.</w:t>
      </w:r>
    </w:p>
    <w:p w14:paraId="52782383" w14:textId="77777777" w:rsidR="000F6829" w:rsidRDefault="000F6829" w:rsidP="00BA1052">
      <w:pPr>
        <w:jc w:val="both"/>
        <w:rPr>
          <w:b/>
          <w:bCs/>
          <w:i/>
          <w:color w:val="000000" w:themeColor="text1"/>
          <w:szCs w:val="24"/>
          <w:shd w:val="clear" w:color="auto" w:fill="FFFFFF"/>
        </w:rPr>
      </w:pPr>
    </w:p>
    <w:p w14:paraId="6060E59C" w14:textId="044882CD" w:rsidR="00BD6834" w:rsidRPr="00F229CB" w:rsidRDefault="00BD6834" w:rsidP="00BD6834">
      <w:pPr>
        <w:pStyle w:val="Nadpis4"/>
        <w:ind w:hanging="1728"/>
        <w:rPr>
          <w:b w:val="0"/>
          <w:u w:val="single"/>
        </w:rPr>
      </w:pPr>
      <w:bookmarkStart w:id="33" w:name="_Toc193697649"/>
      <w:r w:rsidRPr="00F229CB">
        <w:rPr>
          <w:b w:val="0"/>
          <w:u w:val="single"/>
        </w:rPr>
        <w:t>Jadrové elektrárne vo výstavbe</w:t>
      </w:r>
      <w:bookmarkEnd w:id="33"/>
    </w:p>
    <w:p w14:paraId="45A74B00" w14:textId="77777777" w:rsidR="00BD6834" w:rsidRDefault="00BD6834" w:rsidP="00BA1052">
      <w:pPr>
        <w:jc w:val="both"/>
        <w:rPr>
          <w:color w:val="000000" w:themeColor="text1"/>
        </w:rPr>
      </w:pPr>
    </w:p>
    <w:p w14:paraId="1510FE6D" w14:textId="7BD0F678" w:rsidR="007014B7" w:rsidRPr="00883101" w:rsidRDefault="007014B7" w:rsidP="007014B7">
      <w:pPr>
        <w:pStyle w:val="Nadpis5"/>
        <w:numPr>
          <w:ilvl w:val="4"/>
          <w:numId w:val="2"/>
        </w:numPr>
        <w:suppressLineNumbers/>
        <w:jc w:val="both"/>
        <w:rPr>
          <w:rFonts w:ascii="Times New Roman" w:hAnsi="Times New Roman"/>
          <w:color w:val="000000" w:themeColor="text1"/>
          <w:sz w:val="24"/>
          <w:szCs w:val="24"/>
          <w:lang w:val="sk-SK"/>
        </w:rPr>
      </w:pPr>
      <w:r w:rsidRPr="00883101">
        <w:rPr>
          <w:rFonts w:ascii="Times New Roman" w:hAnsi="Times New Roman"/>
          <w:color w:val="000000" w:themeColor="text1"/>
          <w:sz w:val="24"/>
          <w:szCs w:val="24"/>
          <w:lang w:val="sk-SK"/>
        </w:rPr>
        <w:t>Jadrová elektráreň Mochovce 4</w:t>
      </w:r>
    </w:p>
    <w:p w14:paraId="134F84F8" w14:textId="056C1B72" w:rsidR="00195B0A" w:rsidRPr="00375F26" w:rsidRDefault="00195B0A" w:rsidP="00195B0A">
      <w:pPr>
        <w:jc w:val="both"/>
        <w:rPr>
          <w:bCs/>
          <w:color w:val="000000" w:themeColor="text1"/>
          <w:szCs w:val="24"/>
          <w:shd w:val="clear" w:color="auto" w:fill="FFFFFF"/>
        </w:rPr>
      </w:pPr>
      <w:r w:rsidRPr="00375F26">
        <w:rPr>
          <w:bCs/>
          <w:color w:val="000000" w:themeColor="text1"/>
          <w:szCs w:val="24"/>
          <w:shd w:val="clear" w:color="auto" w:fill="FFFFFF"/>
        </w:rPr>
        <w:t>Výstavba 4. bloku JE Mochovce pokračovala funkčnými skúškami na havarijných systémoch. Všetky systémy zaisteného napájania  boli funkčne odskúšané a prevzaté do odbornej obsluhy spolu so vzduchotechnickými systémami</w:t>
      </w:r>
      <w:r w:rsidR="0043471E">
        <w:rPr>
          <w:bCs/>
          <w:color w:val="000000" w:themeColor="text1"/>
          <w:szCs w:val="24"/>
          <w:shd w:val="clear" w:color="auto" w:fill="FFFFFF"/>
        </w:rPr>
        <w:t>,</w:t>
      </w:r>
      <w:r w:rsidRPr="00375F26">
        <w:rPr>
          <w:bCs/>
          <w:color w:val="000000" w:themeColor="text1"/>
          <w:szCs w:val="24"/>
          <w:shd w:val="clear" w:color="auto" w:fill="FFFFFF"/>
        </w:rPr>
        <w:t xml:space="preserve"> ako aj elektrickou požiarnou signalizáciou. </w:t>
      </w:r>
    </w:p>
    <w:p w14:paraId="6CACE520" w14:textId="77777777" w:rsidR="00195B0A" w:rsidRPr="00375F26" w:rsidRDefault="00195B0A" w:rsidP="00195B0A">
      <w:pPr>
        <w:jc w:val="both"/>
        <w:rPr>
          <w:bCs/>
          <w:color w:val="000000" w:themeColor="text1"/>
          <w:szCs w:val="24"/>
          <w:shd w:val="clear" w:color="auto" w:fill="FFFFFF"/>
        </w:rPr>
      </w:pPr>
      <w:r w:rsidRPr="00375F26">
        <w:rPr>
          <w:bCs/>
          <w:color w:val="000000" w:themeColor="text1"/>
          <w:szCs w:val="24"/>
          <w:shd w:val="clear" w:color="auto" w:fill="FFFFFF"/>
        </w:rPr>
        <w:t xml:space="preserve">Držiteľ povolenia pokračoval v činnostiach zameraných na odskúšanie pevnosti a tesnosti na zariadeniach primárneho aj sekundárneho okruhu. </w:t>
      </w:r>
    </w:p>
    <w:p w14:paraId="63F5D80B" w14:textId="7D2517E9" w:rsidR="00195B0A" w:rsidRPr="00375F26" w:rsidRDefault="00195B0A" w:rsidP="00195B0A">
      <w:pPr>
        <w:jc w:val="both"/>
        <w:rPr>
          <w:bCs/>
          <w:color w:val="000000" w:themeColor="text1"/>
          <w:szCs w:val="24"/>
          <w:shd w:val="clear" w:color="auto" w:fill="FFFFFF"/>
        </w:rPr>
      </w:pPr>
      <w:r w:rsidRPr="00375F26">
        <w:rPr>
          <w:bCs/>
          <w:color w:val="000000" w:themeColor="text1"/>
          <w:szCs w:val="24"/>
          <w:shd w:val="clear" w:color="auto" w:fill="FFFFFF"/>
        </w:rPr>
        <w:t>Prebiehali testovania prenosu signálu meracích reťazcov systémov kontroly a riadenia,  funkčné skúšky technologických zariadení vrátane integrálnych skúšok na overenie spolupráce a zariadeniach systémov SKR</w:t>
      </w:r>
      <w:r w:rsidR="005E1DA1">
        <w:rPr>
          <w:bCs/>
          <w:color w:val="000000" w:themeColor="text1"/>
          <w:szCs w:val="24"/>
          <w:shd w:val="clear" w:color="auto" w:fill="FFFFFF"/>
        </w:rPr>
        <w:t xml:space="preserve"> (systém kontroly a riadenia)</w:t>
      </w:r>
      <w:r w:rsidRPr="00375F26">
        <w:rPr>
          <w:bCs/>
          <w:color w:val="000000" w:themeColor="text1"/>
          <w:szCs w:val="24"/>
          <w:shd w:val="clear" w:color="auto" w:fill="FFFFFF"/>
        </w:rPr>
        <w:t xml:space="preserve">. </w:t>
      </w:r>
    </w:p>
    <w:p w14:paraId="4BA8A197" w14:textId="397BA287" w:rsidR="00195B0A" w:rsidRPr="00375F26" w:rsidRDefault="00195B0A" w:rsidP="00195B0A">
      <w:pPr>
        <w:jc w:val="both"/>
        <w:rPr>
          <w:bCs/>
          <w:color w:val="000000" w:themeColor="text1"/>
          <w:szCs w:val="24"/>
          <w:shd w:val="clear" w:color="auto" w:fill="FFFFFF"/>
        </w:rPr>
      </w:pPr>
      <w:r w:rsidRPr="00375F26">
        <w:rPr>
          <w:bCs/>
          <w:color w:val="000000" w:themeColor="text1"/>
          <w:szCs w:val="24"/>
          <w:shd w:val="clear" w:color="auto" w:fill="FFFFFF"/>
        </w:rPr>
        <w:t xml:space="preserve">ÚJD SR pravidelne kontroloval a hodnotil stav jadrového zariadenia vo výstavbe, kvalitu montáže vybraných zariadení, realizáciu </w:t>
      </w:r>
      <w:proofErr w:type="spellStart"/>
      <w:r w:rsidRPr="00375F26">
        <w:rPr>
          <w:bCs/>
          <w:color w:val="000000" w:themeColor="text1"/>
          <w:szCs w:val="24"/>
          <w:shd w:val="clear" w:color="auto" w:fill="FFFFFF"/>
        </w:rPr>
        <w:t>pomontážnych</w:t>
      </w:r>
      <w:proofErr w:type="spellEnd"/>
      <w:r w:rsidRPr="00375F26">
        <w:rPr>
          <w:bCs/>
          <w:color w:val="000000" w:themeColor="text1"/>
          <w:szCs w:val="24"/>
          <w:shd w:val="clear" w:color="auto" w:fill="FFFFFF"/>
        </w:rPr>
        <w:t xml:space="preserve"> kontrol zmontovaných technologických celkov a ich častí, ako aj priebeh a výsledky jednotlivých neaktívnych skúšok a testov. Použitie jedného blokového transformátora na 3. bloku a jeho nahradenie iným transformátorom bolo identifikované ako významná činnosť z pohľadu možného negatívneho dopadu </w:t>
      </w:r>
      <w:r w:rsidR="00AD5CC7">
        <w:rPr>
          <w:bCs/>
          <w:color w:val="000000" w:themeColor="text1"/>
          <w:szCs w:val="24"/>
          <w:shd w:val="clear" w:color="auto" w:fill="FFFFFF"/>
        </w:rPr>
        <w:t>na</w:t>
      </w:r>
      <w:r w:rsidRPr="00375F26">
        <w:rPr>
          <w:bCs/>
          <w:color w:val="000000" w:themeColor="text1"/>
          <w:szCs w:val="24"/>
          <w:shd w:val="clear" w:color="auto" w:fill="FFFFFF"/>
        </w:rPr>
        <w:t xml:space="preserve"> harmonogram neaktívnych skúšok.</w:t>
      </w:r>
    </w:p>
    <w:p w14:paraId="3ADB1C90" w14:textId="77777777" w:rsidR="00BA1052" w:rsidRPr="00375F26" w:rsidRDefault="00BA1052" w:rsidP="00BA1052">
      <w:pPr>
        <w:jc w:val="both"/>
        <w:rPr>
          <w:b/>
          <w:bCs/>
          <w:color w:val="000000" w:themeColor="text1"/>
          <w:szCs w:val="24"/>
          <w:shd w:val="clear" w:color="auto" w:fill="FFFFFF"/>
        </w:rPr>
      </w:pPr>
    </w:p>
    <w:p w14:paraId="02E3A5FF" w14:textId="77777777" w:rsidR="00BA1052" w:rsidRPr="00375F26" w:rsidRDefault="00BA1052" w:rsidP="00BA1052">
      <w:pPr>
        <w:jc w:val="both"/>
        <w:rPr>
          <w:b/>
          <w:i/>
          <w:color w:val="000000" w:themeColor="text1"/>
        </w:rPr>
      </w:pPr>
      <w:bookmarkStart w:id="34" w:name="_Hlk159485346"/>
      <w:r w:rsidRPr="00375F26">
        <w:rPr>
          <w:b/>
          <w:i/>
          <w:color w:val="000000" w:themeColor="text1"/>
        </w:rPr>
        <w:t>Záver:</w:t>
      </w:r>
    </w:p>
    <w:bookmarkEnd w:id="34"/>
    <w:p w14:paraId="731ACAC8" w14:textId="3BF74AEB" w:rsidR="00195B0A" w:rsidRPr="00375F26" w:rsidRDefault="00195B0A" w:rsidP="00BA1052">
      <w:pPr>
        <w:jc w:val="both"/>
        <w:rPr>
          <w:b/>
          <w:bCs/>
          <w:i/>
          <w:color w:val="000000" w:themeColor="text1"/>
          <w:szCs w:val="24"/>
          <w:shd w:val="clear" w:color="auto" w:fill="FFFFFF"/>
        </w:rPr>
      </w:pPr>
      <w:r w:rsidRPr="00375F26">
        <w:rPr>
          <w:b/>
          <w:bCs/>
          <w:i/>
          <w:color w:val="000000" w:themeColor="text1"/>
          <w:szCs w:val="24"/>
          <w:shd w:val="clear" w:color="auto" w:fill="FFFFFF"/>
        </w:rPr>
        <w:t xml:space="preserve">Všetky činnosti na 4. bloku EMO boli v roku 2024 vykonávané hlavne s cieľom overiť technologické zariadenie za účelom jeho úspešného odskúšania a potvrdenia pripravenosti na zavezenie jadrového paliva v roku 2025. V roku 2024 boli vykonané etapové integrálne tlakové skúšky podľa programov 4P200 Program hydraulickej skúšky oddeliteľnej časti primárneho okruhu a 4P201 Program 1. </w:t>
      </w:r>
      <w:r w:rsidR="00AD5CC7">
        <w:rPr>
          <w:b/>
          <w:bCs/>
          <w:i/>
          <w:color w:val="000000" w:themeColor="text1"/>
          <w:szCs w:val="24"/>
          <w:shd w:val="clear" w:color="auto" w:fill="FFFFFF"/>
        </w:rPr>
        <w:t>h</w:t>
      </w:r>
      <w:r w:rsidRPr="00375F26">
        <w:rPr>
          <w:b/>
          <w:bCs/>
          <w:i/>
          <w:color w:val="000000" w:themeColor="text1"/>
          <w:szCs w:val="24"/>
          <w:shd w:val="clear" w:color="auto" w:fill="FFFFFF"/>
        </w:rPr>
        <w:t xml:space="preserve">ydraulickej skúšky, kde cieľom bolo preverenie tesnosti zariadení, armatúr a potrubí primárneho okruhu a nadväzujúcich systémov a preverenie pevnosti a tesnosti parogenerátorov, armatúr a nadväzujúcich potrubí. Inšpektori úradu podrobne </w:t>
      </w:r>
      <w:proofErr w:type="spellStart"/>
      <w:r w:rsidRPr="00375F26">
        <w:rPr>
          <w:b/>
          <w:bCs/>
          <w:i/>
          <w:color w:val="000000" w:themeColor="text1"/>
          <w:szCs w:val="24"/>
          <w:shd w:val="clear" w:color="auto" w:fill="FFFFFF"/>
        </w:rPr>
        <w:t>dozorovali</w:t>
      </w:r>
      <w:proofErr w:type="spellEnd"/>
      <w:r w:rsidRPr="00375F26">
        <w:rPr>
          <w:b/>
          <w:bCs/>
          <w:i/>
          <w:color w:val="000000" w:themeColor="text1"/>
          <w:szCs w:val="24"/>
          <w:shd w:val="clear" w:color="auto" w:fill="FFFFFF"/>
        </w:rPr>
        <w:t xml:space="preserve"> vykonávané činnosti držiteľa povolenia. Vykonali kontroly podľa schváleného inšpekčného plánu a inšpekčných postupov.</w:t>
      </w:r>
    </w:p>
    <w:p w14:paraId="4FFF2163" w14:textId="77777777" w:rsidR="00197F21" w:rsidRPr="00375F26" w:rsidRDefault="00197F21" w:rsidP="00160687">
      <w:pPr>
        <w:jc w:val="both"/>
        <w:rPr>
          <w:b/>
          <w:bCs/>
          <w:i/>
          <w:color w:val="000000" w:themeColor="text1"/>
          <w:szCs w:val="24"/>
          <w:shd w:val="clear" w:color="auto" w:fill="FFFFFF"/>
        </w:rPr>
      </w:pPr>
    </w:p>
    <w:p w14:paraId="37EF123F" w14:textId="77777777" w:rsidR="007F2381" w:rsidRPr="00375F26" w:rsidRDefault="007F2381" w:rsidP="00D20844">
      <w:pPr>
        <w:pStyle w:val="Nadpis4"/>
        <w:ind w:hanging="1728"/>
        <w:rPr>
          <w:b w:val="0"/>
          <w:u w:val="single"/>
        </w:rPr>
      </w:pPr>
      <w:bookmarkStart w:id="35" w:name="_Toc193697650"/>
      <w:r w:rsidRPr="00375F26">
        <w:rPr>
          <w:b w:val="0"/>
          <w:u w:val="single"/>
        </w:rPr>
        <w:t>Jadrové elektrárne vo vyraďovaní</w:t>
      </w:r>
      <w:bookmarkEnd w:id="35"/>
    </w:p>
    <w:p w14:paraId="699BC07E" w14:textId="77777777" w:rsidR="007F2381" w:rsidRPr="00375F26" w:rsidRDefault="007F2381" w:rsidP="007F2381">
      <w:pPr>
        <w:rPr>
          <w:color w:val="000000" w:themeColor="text1"/>
          <w:lang w:eastAsia="x-none"/>
        </w:rPr>
      </w:pPr>
    </w:p>
    <w:p w14:paraId="1324A56C" w14:textId="77777777" w:rsidR="00783BDA" w:rsidRPr="00375F26" w:rsidRDefault="00783BDA" w:rsidP="00783BDA">
      <w:pPr>
        <w:pStyle w:val="Nadpis5"/>
        <w:numPr>
          <w:ilvl w:val="4"/>
          <w:numId w:val="2"/>
        </w:numPr>
        <w:suppressLineNumbers/>
        <w:jc w:val="both"/>
        <w:rPr>
          <w:rFonts w:ascii="Times New Roman" w:hAnsi="Times New Roman"/>
          <w:b w:val="0"/>
          <w:iCs w:val="0"/>
          <w:color w:val="000000" w:themeColor="text1"/>
          <w:sz w:val="24"/>
          <w:szCs w:val="24"/>
          <w:lang w:val="sk-SK"/>
        </w:rPr>
      </w:pPr>
      <w:r w:rsidRPr="00375F26">
        <w:rPr>
          <w:rFonts w:ascii="Times New Roman" w:hAnsi="Times New Roman"/>
          <w:color w:val="000000" w:themeColor="text1"/>
          <w:sz w:val="24"/>
          <w:szCs w:val="24"/>
          <w:lang w:val="sk-SK"/>
        </w:rPr>
        <w:t xml:space="preserve">a) Jadrová elektráreň Bohunice A-1 </w:t>
      </w:r>
    </w:p>
    <w:p w14:paraId="76D1DDDE" w14:textId="3AD1C3C5" w:rsidR="00FD2016" w:rsidRPr="00375F26" w:rsidRDefault="00FD2016" w:rsidP="00FD2016">
      <w:pPr>
        <w:autoSpaceDE w:val="0"/>
        <w:autoSpaceDN w:val="0"/>
        <w:adjustRightInd w:val="0"/>
        <w:jc w:val="both"/>
        <w:rPr>
          <w:color w:val="000000"/>
          <w:szCs w:val="24"/>
        </w:rPr>
      </w:pPr>
      <w:bookmarkStart w:id="36" w:name="_Hlk157431817"/>
      <w:r w:rsidRPr="00375F26">
        <w:rPr>
          <w:color w:val="000000"/>
          <w:szCs w:val="24"/>
        </w:rPr>
        <w:t xml:space="preserve">V roku 2024 naďalej pokračovala realizácia činností III. a IV. etapy vyraďovania v súlade s rozhodnutím ÚJD SR č. 369/2016, ktorým bolo vydané povolenie na obe etapy súčasne v jednom povoľovacom konaní. Práce spojené s uvedenými etapami vyraďovania sú plánované do konca roka 2024 a sú zamerané na pokračujúce spracovanie kvapalných RAO, kalov z dlhodobého skladu a puzdier dlhodobého skladovania VJP. Držiteľ povolenia pokračoval v realizácii činností súvisiacich s vyraďovaním pôvodných, nefunkčných a nepoužívaných technologických systémov vonkajších objektov a technologických zariadení objektov hlavného výrobného bloku </w:t>
      </w:r>
      <w:proofErr w:type="spellStart"/>
      <w:r w:rsidRPr="00375F26">
        <w:rPr>
          <w:color w:val="000000"/>
          <w:szCs w:val="24"/>
        </w:rPr>
        <w:t>reaktorovne</w:t>
      </w:r>
      <w:proofErr w:type="spellEnd"/>
      <w:r w:rsidRPr="00375F26">
        <w:rPr>
          <w:color w:val="000000"/>
          <w:szCs w:val="24"/>
        </w:rPr>
        <w:t xml:space="preserve"> a </w:t>
      </w:r>
      <w:proofErr w:type="spellStart"/>
      <w:r w:rsidRPr="00375F26">
        <w:rPr>
          <w:color w:val="000000"/>
          <w:szCs w:val="24"/>
        </w:rPr>
        <w:t>medzistrojovne</w:t>
      </w:r>
      <w:proofErr w:type="spellEnd"/>
      <w:r w:rsidRPr="00375F26">
        <w:rPr>
          <w:color w:val="000000"/>
          <w:szCs w:val="24"/>
        </w:rPr>
        <w:t>. Počas roka 2024 išlo najmä o vyraďovanie chladiacich slučiek a sekčných armatúr primárneho okruhu, rekonštrukcia systému špeciálnej kanalizácie, rekonštrukcia VZT</w:t>
      </w:r>
      <w:r w:rsidR="0034434F">
        <w:rPr>
          <w:color w:val="000000"/>
          <w:szCs w:val="24"/>
        </w:rPr>
        <w:t xml:space="preserve"> (vzduchotechnika) </w:t>
      </w:r>
      <w:r w:rsidRPr="00375F26">
        <w:rPr>
          <w:color w:val="000000"/>
          <w:szCs w:val="24"/>
        </w:rPr>
        <w:t xml:space="preserve">systému hlavného výrobného bloku, </w:t>
      </w:r>
      <w:r w:rsidRPr="00375F26">
        <w:rPr>
          <w:color w:val="000000"/>
          <w:szCs w:val="24"/>
        </w:rPr>
        <w:lastRenderedPageBreak/>
        <w:t xml:space="preserve">vyraďovanie turbokompresorov a </w:t>
      </w:r>
      <w:r w:rsidR="008850BE">
        <w:rPr>
          <w:color w:val="000000"/>
          <w:szCs w:val="24"/>
        </w:rPr>
        <w:t>PG</w:t>
      </w:r>
      <w:r w:rsidRPr="00375F26">
        <w:rPr>
          <w:color w:val="000000"/>
          <w:szCs w:val="24"/>
        </w:rPr>
        <w:t xml:space="preserve"> č. 3 a č. 4, vyraďovanie nádrží N1/1, N1/2, N1/3 a  N1/4, monitorovanie a triedenie kontaminovaných zemín a betónov. Po skončení prác bude nasledovať záverečná V. etapa vyraďovania, ktorej ukončenie je plánované na rok 2033.</w:t>
      </w:r>
    </w:p>
    <w:p w14:paraId="6C398A54" w14:textId="59D288E8" w:rsidR="00FD2016" w:rsidRPr="00375F26" w:rsidRDefault="00FD2016" w:rsidP="00FD2016">
      <w:pPr>
        <w:autoSpaceDE w:val="0"/>
        <w:autoSpaceDN w:val="0"/>
        <w:adjustRightInd w:val="0"/>
        <w:jc w:val="both"/>
        <w:rPr>
          <w:color w:val="000000"/>
          <w:szCs w:val="24"/>
        </w:rPr>
      </w:pPr>
      <w:r w:rsidRPr="00375F26">
        <w:rPr>
          <w:color w:val="000000"/>
          <w:szCs w:val="24"/>
        </w:rPr>
        <w:t>Úrad v priebehu roka 2024 posudzoval správu „Periodické hodnotenie jadrovej bezpečnosti JE A1 po III. a IV. etape vyraďovania“. Výsledky vykonaného periodického hodnotenia poukázali na to, že neboli identifikované nezhody so zásadnou bezpečnostnou významnosťou. Bola posudzovaná dokumentáci</w:t>
      </w:r>
      <w:r w:rsidR="0034434F">
        <w:rPr>
          <w:color w:val="000000"/>
          <w:szCs w:val="24"/>
        </w:rPr>
        <w:t xml:space="preserve">a </w:t>
      </w:r>
      <w:r w:rsidRPr="00375F26">
        <w:rPr>
          <w:color w:val="000000"/>
          <w:szCs w:val="24"/>
        </w:rPr>
        <w:t>súvisiac</w:t>
      </w:r>
      <w:r w:rsidR="0034434F">
        <w:rPr>
          <w:color w:val="000000"/>
          <w:szCs w:val="24"/>
        </w:rPr>
        <w:t xml:space="preserve">a </w:t>
      </w:r>
      <w:r w:rsidRPr="00375F26">
        <w:rPr>
          <w:color w:val="000000"/>
          <w:szCs w:val="24"/>
        </w:rPr>
        <w:t>s</w:t>
      </w:r>
      <w:r w:rsidR="0034434F">
        <w:rPr>
          <w:color w:val="000000"/>
          <w:szCs w:val="24"/>
        </w:rPr>
        <w:t xml:space="preserve"> </w:t>
      </w:r>
      <w:r w:rsidRPr="00375F26">
        <w:rPr>
          <w:color w:val="000000"/>
          <w:szCs w:val="24"/>
        </w:rPr>
        <w:t xml:space="preserve">uvádzaním do prevádzky a využívaním  vzduchotechnických systémov P-31,  O-21 a P-15T. Okrem toho úrad posudzoval zmeny v prevádzkových predpisoch pre </w:t>
      </w:r>
      <w:proofErr w:type="spellStart"/>
      <w:r w:rsidRPr="00375F26">
        <w:rPr>
          <w:color w:val="000000"/>
          <w:szCs w:val="24"/>
        </w:rPr>
        <w:t>vitrifikáciu</w:t>
      </w:r>
      <w:proofErr w:type="spellEnd"/>
      <w:r w:rsidRPr="00375F26">
        <w:rPr>
          <w:color w:val="000000"/>
          <w:szCs w:val="24"/>
        </w:rPr>
        <w:t xml:space="preserve"> </w:t>
      </w:r>
      <w:proofErr w:type="spellStart"/>
      <w:r w:rsidRPr="00375F26">
        <w:rPr>
          <w:color w:val="000000"/>
          <w:szCs w:val="24"/>
        </w:rPr>
        <w:t>chrompiku</w:t>
      </w:r>
      <w:proofErr w:type="spellEnd"/>
      <w:r w:rsidRPr="00375F26">
        <w:rPr>
          <w:color w:val="000000"/>
          <w:szCs w:val="24"/>
        </w:rPr>
        <w:t xml:space="preserve"> a Limity a podmienky bezpečného vyraďovania JE A-1. Ďalej posudzoval vyhodnotenia programov PKV a KV prívodných a odvodných systémov VZT – O-12a, P-12a, P-15T, O-21 a P-31, vyhodnotenie programu PKV a KV zrekonštruovaného systému uhlíkovej kanalizácie v </w:t>
      </w:r>
      <w:proofErr w:type="spellStart"/>
      <w:r w:rsidRPr="00375F26">
        <w:rPr>
          <w:color w:val="000000"/>
          <w:szCs w:val="24"/>
        </w:rPr>
        <w:t>obj</w:t>
      </w:r>
      <w:proofErr w:type="spellEnd"/>
      <w:r w:rsidRPr="00375F26">
        <w:rPr>
          <w:color w:val="000000"/>
          <w:szCs w:val="24"/>
        </w:rPr>
        <w:t>. 30. V júni 2024 začal úrad správne konanie vo veci vydania povolenia na V. etapu vyraďovania JE A1</w:t>
      </w:r>
      <w:r w:rsidR="0034434F">
        <w:rPr>
          <w:color w:val="000000"/>
          <w:szCs w:val="24"/>
        </w:rPr>
        <w:t>,</w:t>
      </w:r>
      <w:r w:rsidRPr="00375F26">
        <w:rPr>
          <w:color w:val="000000"/>
          <w:szCs w:val="24"/>
        </w:rPr>
        <w:t xml:space="preserve"> v rámci ktorého posúdil predloženú dokumentáciu a vyžiadal si stanoviská dotknutých orgánov. Povolenie na V. etapu bude vydané po obdržaní záverečného stanoviska</w:t>
      </w:r>
      <w:r w:rsidR="00087989">
        <w:rPr>
          <w:color w:val="000000"/>
          <w:szCs w:val="24"/>
        </w:rPr>
        <w:t xml:space="preserve"> </w:t>
      </w:r>
      <w:r w:rsidR="0034434F">
        <w:rPr>
          <w:color w:val="000000"/>
          <w:szCs w:val="24"/>
        </w:rPr>
        <w:t>MŽP SR</w:t>
      </w:r>
      <w:r w:rsidRPr="00375F26">
        <w:rPr>
          <w:color w:val="000000"/>
          <w:szCs w:val="24"/>
        </w:rPr>
        <w:t xml:space="preserve"> k tejto etape. </w:t>
      </w:r>
    </w:p>
    <w:p w14:paraId="608AFF4E" w14:textId="767C9BF1" w:rsidR="00FD2016" w:rsidRPr="00375F26" w:rsidRDefault="00FD2016" w:rsidP="00FD2016">
      <w:pPr>
        <w:autoSpaceDE w:val="0"/>
        <w:autoSpaceDN w:val="0"/>
        <w:adjustRightInd w:val="0"/>
        <w:jc w:val="both"/>
        <w:rPr>
          <w:color w:val="000000"/>
          <w:szCs w:val="24"/>
        </w:rPr>
      </w:pPr>
      <w:r w:rsidRPr="00375F26">
        <w:rPr>
          <w:color w:val="000000"/>
          <w:szCs w:val="24"/>
        </w:rPr>
        <w:t>Plánované inšpekcie boli zamerané na kontrolu súladu vyraďovania so stavom opísaným v pláne III. a IV. etapy vyraďovania, na kontrolu dodržiavania podmienok jadrovej bezpečnosti a požiadaviek dozoru pri vyraďovaní elektrárne z prevádzky a pri nakladaní s RAO z vyraďovania.</w:t>
      </w:r>
    </w:p>
    <w:p w14:paraId="08C83517" w14:textId="2FAC8322" w:rsidR="004C18D7" w:rsidRPr="00375F26" w:rsidRDefault="004C18D7" w:rsidP="00783BDA">
      <w:pPr>
        <w:autoSpaceDE w:val="0"/>
        <w:autoSpaceDN w:val="0"/>
        <w:adjustRightInd w:val="0"/>
        <w:jc w:val="both"/>
        <w:rPr>
          <w:color w:val="000000"/>
          <w:szCs w:val="24"/>
        </w:rPr>
      </w:pPr>
    </w:p>
    <w:bookmarkEnd w:id="36"/>
    <w:p w14:paraId="5E7B9E08" w14:textId="77777777" w:rsidR="00783BDA" w:rsidRPr="00375F26" w:rsidRDefault="00783BDA" w:rsidP="00783BDA">
      <w:pPr>
        <w:autoSpaceDE w:val="0"/>
        <w:autoSpaceDN w:val="0"/>
        <w:adjustRightInd w:val="0"/>
        <w:jc w:val="both"/>
        <w:rPr>
          <w:b/>
          <w:i/>
          <w:iCs/>
        </w:rPr>
      </w:pPr>
      <w:r w:rsidRPr="00375F26">
        <w:rPr>
          <w:b/>
          <w:i/>
          <w:iCs/>
        </w:rPr>
        <w:t>Záver:</w:t>
      </w:r>
    </w:p>
    <w:p w14:paraId="5C18A2A9" w14:textId="61425AAB" w:rsidR="00FD2016" w:rsidRPr="00375F26" w:rsidRDefault="00FD2016" w:rsidP="00FD2016">
      <w:pPr>
        <w:autoSpaceDE w:val="0"/>
        <w:autoSpaceDN w:val="0"/>
        <w:adjustRightInd w:val="0"/>
        <w:jc w:val="both"/>
        <w:rPr>
          <w:b/>
          <w:i/>
          <w:iCs/>
        </w:rPr>
      </w:pPr>
      <w:r w:rsidRPr="00375F26">
        <w:rPr>
          <w:b/>
          <w:i/>
          <w:iCs/>
        </w:rPr>
        <w:t>Vyraďovanie JE A-1 sa v roku 2024 realizovalo podľa plánu III. a IV. etapy vyraďovania. Po zhrnutí výsledkov inšpekcií a na základe sumárneho hodnotenia bezpečnostných ukazovateľov ÚJD SR konštatuje, že činnosti na JE A-1 boli vykonávané bez závažných nedostatkov v oblasti jadrovej bezpečnosti.</w:t>
      </w:r>
    </w:p>
    <w:p w14:paraId="1D381FFD" w14:textId="77777777" w:rsidR="007F2381" w:rsidRPr="00375F26" w:rsidRDefault="007F2381" w:rsidP="007F2381">
      <w:pPr>
        <w:pStyle w:val="hodnotenie"/>
        <w:spacing w:before="0" w:beforeAutospacing="0" w:after="0" w:afterAutospacing="0"/>
        <w:jc w:val="left"/>
        <w:rPr>
          <w:b w:val="0"/>
          <w:noProof w:val="0"/>
        </w:rPr>
      </w:pPr>
    </w:p>
    <w:p w14:paraId="0D2FFB24" w14:textId="77777777" w:rsidR="007F2381" w:rsidRPr="00375F26" w:rsidRDefault="007F2381" w:rsidP="007C21EA">
      <w:pPr>
        <w:pStyle w:val="Nadpis5"/>
        <w:numPr>
          <w:ilvl w:val="4"/>
          <w:numId w:val="2"/>
        </w:numPr>
        <w:suppressLineNumbers/>
        <w:jc w:val="left"/>
        <w:rPr>
          <w:rFonts w:ascii="Times New Roman" w:hAnsi="Times New Roman"/>
          <w:b w:val="0"/>
          <w:iCs w:val="0"/>
          <w:sz w:val="24"/>
          <w:szCs w:val="24"/>
        </w:rPr>
      </w:pPr>
      <w:r w:rsidRPr="00375F26">
        <w:rPr>
          <w:rFonts w:ascii="Times New Roman" w:hAnsi="Times New Roman"/>
          <w:sz w:val="24"/>
          <w:szCs w:val="24"/>
        </w:rPr>
        <w:t xml:space="preserve">b) </w:t>
      </w:r>
      <w:r w:rsidRPr="00375F26">
        <w:rPr>
          <w:rFonts w:ascii="Times New Roman" w:hAnsi="Times New Roman"/>
          <w:sz w:val="24"/>
          <w:szCs w:val="24"/>
          <w:lang w:val="sk-SK"/>
        </w:rPr>
        <w:t>Jadrová elektráreň</w:t>
      </w:r>
      <w:r w:rsidRPr="00375F26">
        <w:rPr>
          <w:rFonts w:ascii="Times New Roman" w:hAnsi="Times New Roman"/>
          <w:sz w:val="24"/>
          <w:szCs w:val="24"/>
        </w:rPr>
        <w:t xml:space="preserve"> Bohunice V-1</w:t>
      </w:r>
    </w:p>
    <w:p w14:paraId="0D275F54" w14:textId="53228D94" w:rsidR="00FD2016" w:rsidRPr="00375F26" w:rsidRDefault="00FD2016" w:rsidP="00FD2016">
      <w:pPr>
        <w:autoSpaceDE w:val="0"/>
        <w:autoSpaceDN w:val="0"/>
        <w:adjustRightInd w:val="0"/>
        <w:jc w:val="both"/>
        <w:rPr>
          <w:color w:val="000000"/>
          <w:szCs w:val="24"/>
        </w:rPr>
      </w:pPr>
      <w:bookmarkStart w:id="37" w:name="_Hlk157432724"/>
      <w:r w:rsidRPr="00375F26">
        <w:rPr>
          <w:color w:val="000000"/>
          <w:szCs w:val="24"/>
        </w:rPr>
        <w:t xml:space="preserve">Rozhodnutím č. 900/2014 udelil úrad spoločnosti JAVYS, a. s., povolenie na II. etapu vyraďovania elektrárne z prevádzky a zároveň povolenie na nakladanie s RAO a na nakladanie s JM počas II. etapy vyraďovania. II. etapa zahŕňa hlavne vyradenie objektov hlavného výrobného bloku, budovy pomocných prevádzok a zostávajúcich pomocných objektov. V roku 2024 prebiehali činnosti odstraňovania aktivovaných a kontaminovaných  betónov zo šachty oboch reaktorov a odstraňovanie kontaminovaných betónov z bazénov skladu R003/1,2 a z havarijných nádrží roztoku kyseliny boritej. Pokračovala demontáž </w:t>
      </w:r>
      <w:proofErr w:type="spellStart"/>
      <w:r w:rsidRPr="00375F26">
        <w:rPr>
          <w:color w:val="000000"/>
          <w:szCs w:val="24"/>
        </w:rPr>
        <w:t>oblicoviek</w:t>
      </w:r>
      <w:proofErr w:type="spellEnd"/>
      <w:r w:rsidRPr="00375F26">
        <w:rPr>
          <w:color w:val="000000"/>
          <w:szCs w:val="24"/>
        </w:rPr>
        <w:t xml:space="preserve"> z </w:t>
      </w:r>
      <w:proofErr w:type="spellStart"/>
      <w:r w:rsidRPr="00375F26">
        <w:rPr>
          <w:color w:val="000000"/>
          <w:szCs w:val="24"/>
        </w:rPr>
        <w:t>kontainmentu</w:t>
      </w:r>
      <w:proofErr w:type="spellEnd"/>
      <w:r w:rsidRPr="00375F26">
        <w:rPr>
          <w:color w:val="000000"/>
          <w:szCs w:val="24"/>
        </w:rPr>
        <w:t xml:space="preserve"> V</w:t>
      </w:r>
      <w:r w:rsidR="00AD5CC7">
        <w:rPr>
          <w:color w:val="000000"/>
          <w:szCs w:val="24"/>
        </w:rPr>
        <w:t>-</w:t>
      </w:r>
      <w:r w:rsidRPr="00375F26">
        <w:rPr>
          <w:color w:val="000000"/>
          <w:szCs w:val="24"/>
        </w:rPr>
        <w:t>1, demontáž pomocných systémov, elektrozariadení a zdvíhacích zariadení. Realizovali sa činnosti nakladania s kontaminovanými betónmi a s materiálmi z demontáže.</w:t>
      </w:r>
    </w:p>
    <w:p w14:paraId="3A80D695" w14:textId="5716E24B" w:rsidR="00FD2016" w:rsidRPr="00375F26" w:rsidRDefault="00FD2016" w:rsidP="00FD2016">
      <w:pPr>
        <w:autoSpaceDE w:val="0"/>
        <w:autoSpaceDN w:val="0"/>
        <w:adjustRightInd w:val="0"/>
        <w:jc w:val="both"/>
        <w:rPr>
          <w:color w:val="000000"/>
          <w:szCs w:val="24"/>
        </w:rPr>
      </w:pPr>
      <w:r w:rsidRPr="00375F26">
        <w:rPr>
          <w:color w:val="000000"/>
          <w:szCs w:val="24"/>
        </w:rPr>
        <w:t xml:space="preserve">Úrad v roku 2024 posudzoval zmeny v prevádzkových predpisoch </w:t>
      </w:r>
      <w:proofErr w:type="spellStart"/>
      <w:r w:rsidRPr="00375F26">
        <w:rPr>
          <w:color w:val="000000"/>
          <w:szCs w:val="24"/>
        </w:rPr>
        <w:t>L</w:t>
      </w:r>
      <w:r w:rsidR="00CB7D86">
        <w:rPr>
          <w:color w:val="000000"/>
          <w:szCs w:val="24"/>
        </w:rPr>
        <w:t>aP</w:t>
      </w:r>
      <w:proofErr w:type="spellEnd"/>
      <w:r w:rsidRPr="00375F26">
        <w:rPr>
          <w:color w:val="000000"/>
          <w:szCs w:val="24"/>
        </w:rPr>
        <w:t xml:space="preserve"> bezpečného vyraďovania JZ JE V</w:t>
      </w:r>
      <w:r w:rsidR="00AD5CC7">
        <w:rPr>
          <w:color w:val="000000"/>
          <w:szCs w:val="24"/>
        </w:rPr>
        <w:t>-</w:t>
      </w:r>
      <w:r w:rsidRPr="00375F26">
        <w:rPr>
          <w:color w:val="000000"/>
          <w:szCs w:val="24"/>
        </w:rPr>
        <w:t xml:space="preserve">1 a vo vybranom prevádzkovom predpise Ventilácia </w:t>
      </w:r>
      <w:proofErr w:type="spellStart"/>
      <w:r w:rsidRPr="00375F26">
        <w:rPr>
          <w:color w:val="000000"/>
          <w:szCs w:val="24"/>
        </w:rPr>
        <w:t>reaktorovne</w:t>
      </w:r>
      <w:proofErr w:type="spellEnd"/>
      <w:r w:rsidRPr="00375F26">
        <w:rPr>
          <w:color w:val="000000"/>
          <w:szCs w:val="24"/>
        </w:rPr>
        <w:t xml:space="preserve"> a budovy pomocných prevádzok, ktoré boli vyvolané postupnou demontážou vybraných vzduchotechnických jednotiek ventilačných systémov. Dňa 30.</w:t>
      </w:r>
      <w:r w:rsidR="00D26519" w:rsidRPr="00375F26">
        <w:rPr>
          <w:color w:val="000000"/>
          <w:szCs w:val="24"/>
        </w:rPr>
        <w:t xml:space="preserve"> </w:t>
      </w:r>
      <w:r w:rsidRPr="00375F26">
        <w:rPr>
          <w:color w:val="000000"/>
          <w:szCs w:val="24"/>
        </w:rPr>
        <w:t>12.</w:t>
      </w:r>
      <w:r w:rsidR="00D26519" w:rsidRPr="00375F26">
        <w:rPr>
          <w:color w:val="000000"/>
          <w:szCs w:val="24"/>
        </w:rPr>
        <w:t xml:space="preserve"> </w:t>
      </w:r>
      <w:r w:rsidRPr="00375F26">
        <w:rPr>
          <w:color w:val="000000"/>
          <w:szCs w:val="24"/>
        </w:rPr>
        <w:t>2024 vstúpil do realizácie záverečný projekt vyraďovania Dekontaminácia a demolácia budov JE V1 a uvedenie areálu do pôvodného stavu.</w:t>
      </w:r>
    </w:p>
    <w:p w14:paraId="7BB4ED63" w14:textId="77777777" w:rsidR="00FD2016" w:rsidRPr="00375F26" w:rsidRDefault="00FD2016" w:rsidP="00FD2016">
      <w:pPr>
        <w:autoSpaceDE w:val="0"/>
        <w:autoSpaceDN w:val="0"/>
        <w:adjustRightInd w:val="0"/>
        <w:jc w:val="both"/>
        <w:rPr>
          <w:color w:val="000000"/>
          <w:szCs w:val="24"/>
        </w:rPr>
      </w:pPr>
      <w:r w:rsidRPr="00375F26">
        <w:rPr>
          <w:color w:val="000000"/>
          <w:szCs w:val="24"/>
        </w:rPr>
        <w:t>Konečný stav areálu na konci II. etapy bude uvoľnenie lokality na obmedzené využitie. Po záverečnej kontrole dôjde k vyňatiu areálu spod pôsobnosti atómového zákona.</w:t>
      </w:r>
    </w:p>
    <w:p w14:paraId="2324EE90" w14:textId="6703F84E" w:rsidR="00FD2016" w:rsidRPr="00375F26" w:rsidRDefault="00FD2016" w:rsidP="00FD2016">
      <w:pPr>
        <w:autoSpaceDE w:val="0"/>
        <w:autoSpaceDN w:val="0"/>
        <w:adjustRightInd w:val="0"/>
        <w:jc w:val="both"/>
        <w:rPr>
          <w:color w:val="000000"/>
          <w:szCs w:val="24"/>
        </w:rPr>
      </w:pPr>
      <w:r w:rsidRPr="00375F26">
        <w:rPr>
          <w:color w:val="000000"/>
          <w:szCs w:val="24"/>
        </w:rPr>
        <w:t>Plánované inšpekcie boli v roku 2024 zamerané na kontrolu súladu postupu vyraďovania so stavom opísaným v pláne II. etapy vyraďovania, na kontrolu dodržiavania podmienok jadrovej bezpečnosti a požiadaviek dozoru pri činnostiach demontáže a fragmentácie zariadení v kontrolovanom pásme a pri činnostiach nakladania s materiálmi z vyraďovania.</w:t>
      </w:r>
    </w:p>
    <w:bookmarkEnd w:id="37"/>
    <w:p w14:paraId="0DC02E53" w14:textId="77777777" w:rsidR="00783BDA" w:rsidRPr="00375F26" w:rsidRDefault="00783BDA" w:rsidP="00783BDA">
      <w:pPr>
        <w:autoSpaceDE w:val="0"/>
        <w:autoSpaceDN w:val="0"/>
        <w:adjustRightInd w:val="0"/>
        <w:jc w:val="both"/>
        <w:rPr>
          <w:color w:val="000000"/>
          <w:szCs w:val="24"/>
        </w:rPr>
      </w:pPr>
    </w:p>
    <w:p w14:paraId="2F038BF2" w14:textId="77777777" w:rsidR="00AB39BB" w:rsidRDefault="00AB39BB">
      <w:pPr>
        <w:spacing w:after="200" w:line="276" w:lineRule="auto"/>
        <w:rPr>
          <w:b/>
          <w:i/>
          <w:iCs/>
        </w:rPr>
      </w:pPr>
      <w:r>
        <w:rPr>
          <w:b/>
          <w:i/>
          <w:iCs/>
        </w:rPr>
        <w:br w:type="page"/>
      </w:r>
    </w:p>
    <w:p w14:paraId="20BDDDE7" w14:textId="64B92D16" w:rsidR="00783BDA" w:rsidRPr="00375F26" w:rsidRDefault="00783BDA" w:rsidP="00783BDA">
      <w:pPr>
        <w:autoSpaceDE w:val="0"/>
        <w:autoSpaceDN w:val="0"/>
        <w:adjustRightInd w:val="0"/>
        <w:jc w:val="both"/>
        <w:rPr>
          <w:b/>
          <w:i/>
          <w:iCs/>
        </w:rPr>
      </w:pPr>
      <w:r w:rsidRPr="00375F26">
        <w:rPr>
          <w:b/>
          <w:i/>
          <w:iCs/>
        </w:rPr>
        <w:lastRenderedPageBreak/>
        <w:t>Záver:</w:t>
      </w:r>
    </w:p>
    <w:p w14:paraId="2EC651E1" w14:textId="41639EAC" w:rsidR="00FD2016" w:rsidRPr="00783BDA" w:rsidRDefault="00FD2016" w:rsidP="00783BDA">
      <w:pPr>
        <w:autoSpaceDE w:val="0"/>
        <w:autoSpaceDN w:val="0"/>
        <w:adjustRightInd w:val="0"/>
        <w:jc w:val="both"/>
        <w:rPr>
          <w:b/>
          <w:i/>
          <w:iCs/>
        </w:rPr>
      </w:pPr>
      <w:r w:rsidRPr="00375F26">
        <w:rPr>
          <w:b/>
          <w:i/>
          <w:iCs/>
        </w:rPr>
        <w:t>Vyraďovanie JE V-1 sa v roku 2024 realizovalo podľa plánu II. etapy vyraďovania. ÚJD SR nezaznamenal žiadne prevádzkové udalosti s osobitným vplyvom na jadrovú bezpečnosť.</w:t>
      </w:r>
    </w:p>
    <w:p w14:paraId="05B84A8E" w14:textId="77777777" w:rsidR="007F2381" w:rsidRPr="00F35D55" w:rsidRDefault="007F2381" w:rsidP="007F2381">
      <w:pPr>
        <w:jc w:val="both"/>
        <w:rPr>
          <w:iCs/>
          <w:color w:val="333333"/>
          <w:szCs w:val="24"/>
          <w:highlight w:val="green"/>
        </w:rPr>
      </w:pPr>
    </w:p>
    <w:p w14:paraId="0A10E2C3" w14:textId="77777777" w:rsidR="007F2381" w:rsidRPr="00F229CB" w:rsidRDefault="007F2381" w:rsidP="003E535A">
      <w:pPr>
        <w:pStyle w:val="Nadpis4"/>
        <w:ind w:hanging="1728"/>
        <w:rPr>
          <w:b w:val="0"/>
          <w:u w:val="single"/>
        </w:rPr>
      </w:pPr>
      <w:bookmarkStart w:id="38" w:name="_Toc193697651"/>
      <w:r w:rsidRPr="00F229CB">
        <w:rPr>
          <w:b w:val="0"/>
          <w:u w:val="single"/>
        </w:rPr>
        <w:t>Iné jadrové zariadenia</w:t>
      </w:r>
      <w:bookmarkEnd w:id="38"/>
    </w:p>
    <w:p w14:paraId="44D7F6A8" w14:textId="77777777" w:rsidR="007F2381" w:rsidRPr="00990F82" w:rsidRDefault="007F2381" w:rsidP="007F2381">
      <w:pPr>
        <w:rPr>
          <w:highlight w:val="red"/>
        </w:rPr>
      </w:pPr>
    </w:p>
    <w:p w14:paraId="2C1E5E21" w14:textId="77777777" w:rsidR="007F2381" w:rsidRPr="001C594E" w:rsidRDefault="007F2381" w:rsidP="007F2381">
      <w:pPr>
        <w:pStyle w:val="Nadpis5"/>
        <w:jc w:val="left"/>
        <w:rPr>
          <w:rFonts w:ascii="Times New Roman" w:hAnsi="Times New Roman"/>
          <w:b w:val="0"/>
          <w:iCs w:val="0"/>
          <w:sz w:val="24"/>
          <w:szCs w:val="24"/>
          <w:lang w:val="sk-SK"/>
        </w:rPr>
      </w:pPr>
      <w:r w:rsidRPr="006F1170">
        <w:rPr>
          <w:rFonts w:ascii="Times New Roman" w:hAnsi="Times New Roman"/>
          <w:sz w:val="24"/>
          <w:szCs w:val="24"/>
        </w:rPr>
        <w:t xml:space="preserve">a) </w:t>
      </w:r>
      <w:proofErr w:type="spellStart"/>
      <w:r w:rsidRPr="006F1170">
        <w:rPr>
          <w:rFonts w:ascii="Times New Roman" w:hAnsi="Times New Roman"/>
          <w:sz w:val="24"/>
          <w:szCs w:val="24"/>
          <w:lang w:val="sk-SK"/>
        </w:rPr>
        <w:t>Medzisklad</w:t>
      </w:r>
      <w:proofErr w:type="spellEnd"/>
      <w:r w:rsidRPr="006F1170">
        <w:rPr>
          <w:rFonts w:ascii="Times New Roman" w:hAnsi="Times New Roman"/>
          <w:sz w:val="24"/>
          <w:szCs w:val="24"/>
          <w:lang w:val="sk-SK"/>
        </w:rPr>
        <w:t xml:space="preserve"> vyhoretého jadrového paliva Bohunice</w:t>
      </w:r>
      <w:r w:rsidRPr="006F1170">
        <w:rPr>
          <w:rFonts w:ascii="Times New Roman" w:hAnsi="Times New Roman"/>
          <w:sz w:val="24"/>
          <w:szCs w:val="24"/>
        </w:rPr>
        <w:t xml:space="preserve"> </w:t>
      </w:r>
      <w:r w:rsidRPr="006F1170">
        <w:rPr>
          <w:rFonts w:ascii="Times New Roman" w:hAnsi="Times New Roman"/>
          <w:sz w:val="24"/>
          <w:szCs w:val="24"/>
          <w:lang w:val="sk-SK"/>
        </w:rPr>
        <w:t>(MSVP)</w:t>
      </w:r>
    </w:p>
    <w:p w14:paraId="23923CA2" w14:textId="28EF3564" w:rsidR="00B93CC8" w:rsidRPr="00375F26" w:rsidRDefault="00B93CC8" w:rsidP="00B93CC8">
      <w:pPr>
        <w:autoSpaceDE w:val="0"/>
        <w:autoSpaceDN w:val="0"/>
        <w:adjustRightInd w:val="0"/>
        <w:jc w:val="both"/>
        <w:rPr>
          <w:color w:val="000000"/>
          <w:szCs w:val="24"/>
        </w:rPr>
      </w:pPr>
      <w:r w:rsidRPr="00375F26">
        <w:rPr>
          <w:color w:val="000000"/>
          <w:szCs w:val="24"/>
        </w:rPr>
        <w:t xml:space="preserve">VJP z JE Bohunice V-1 (ukončená produkcia VJP), JE Bohunice V-2 a JE Mochovce 1, 2 sa dočasne skladuje v MSVP v Bohuniciach. Palivo je skladované v bazénoch naplnených </w:t>
      </w:r>
      <w:proofErr w:type="spellStart"/>
      <w:r w:rsidRPr="00375F26">
        <w:rPr>
          <w:color w:val="000000"/>
          <w:szCs w:val="24"/>
        </w:rPr>
        <w:t>demineralizovanou</w:t>
      </w:r>
      <w:proofErr w:type="spellEnd"/>
      <w:r w:rsidRPr="00375F26">
        <w:rPr>
          <w:color w:val="000000"/>
          <w:szCs w:val="24"/>
        </w:rPr>
        <w:t xml:space="preserve"> vodou. K 31.</w:t>
      </w:r>
      <w:r w:rsidR="00D26519" w:rsidRPr="00375F26">
        <w:rPr>
          <w:color w:val="000000"/>
          <w:szCs w:val="24"/>
        </w:rPr>
        <w:t xml:space="preserve"> </w:t>
      </w:r>
      <w:r w:rsidRPr="00375F26">
        <w:rPr>
          <w:color w:val="000000"/>
          <w:szCs w:val="24"/>
        </w:rPr>
        <w:t>12. 2024 bol MSVP zaplnený na približne 98 %</w:t>
      </w:r>
      <w:r w:rsidR="008F7FB5">
        <w:rPr>
          <w:color w:val="000000"/>
          <w:szCs w:val="24"/>
        </w:rPr>
        <w:t xml:space="preserve"> </w:t>
      </w:r>
      <w:r w:rsidRPr="00375F26">
        <w:rPr>
          <w:color w:val="000000"/>
          <w:szCs w:val="24"/>
        </w:rPr>
        <w:t xml:space="preserve">jeho celkovej kapacity. V roku 2021 sa začalo s výstavbou suchej časti MSVP, v ktorej bude možné suchou formou skladovať 10 115 kaziet. Tieto kazety budú uložené v špeciálnych obalových súboroch chladené prirodzenou cirkuláciou vzduchu. Koncom roka 2023 vydal úrad návrh rozhodnutia pre uvádzanie suchej časti JZ MSVP do prevádzky a prevádzku. V januári 2024 úrad vydal finálne rozhodnutie. Koncom februára po nadobudnutí právoplatnosti rozhodnutia sa začalo </w:t>
      </w:r>
      <w:r w:rsidR="00CB7D86">
        <w:rPr>
          <w:color w:val="000000"/>
          <w:szCs w:val="24"/>
        </w:rPr>
        <w:t xml:space="preserve">JZ </w:t>
      </w:r>
      <w:r w:rsidRPr="00375F26">
        <w:rPr>
          <w:color w:val="000000"/>
          <w:szCs w:val="24"/>
        </w:rPr>
        <w:t>uvádzať do prevádzky v rozsahu programov aktívneho vyskúšania</w:t>
      </w:r>
      <w:r w:rsidR="008850BE">
        <w:rPr>
          <w:color w:val="000000"/>
          <w:szCs w:val="24"/>
        </w:rPr>
        <w:t>.</w:t>
      </w:r>
      <w:r w:rsidRPr="00375F26">
        <w:rPr>
          <w:color w:val="000000"/>
          <w:szCs w:val="24"/>
        </w:rPr>
        <w:t xml:space="preserve"> </w:t>
      </w:r>
    </w:p>
    <w:p w14:paraId="6C1241A5" w14:textId="53B0F78D" w:rsidR="00B93CC8" w:rsidRPr="00712B72" w:rsidRDefault="00B93CC8" w:rsidP="00B93CC8">
      <w:pPr>
        <w:autoSpaceDE w:val="0"/>
        <w:autoSpaceDN w:val="0"/>
        <w:adjustRightInd w:val="0"/>
        <w:jc w:val="both"/>
        <w:rPr>
          <w:color w:val="000000"/>
          <w:szCs w:val="24"/>
        </w:rPr>
      </w:pPr>
      <w:r w:rsidRPr="00375F26">
        <w:rPr>
          <w:color w:val="000000"/>
          <w:szCs w:val="24"/>
        </w:rPr>
        <w:t>V rámci inšpekčnej činnosti v roku 2024 sa v MSVP Bohunice realizovali dve inšpekcie zamerané na bezpečnosť skladovania VJP a jedna na kontrolu uvádzania do prevádzky suchej časti JZ MSVP.</w:t>
      </w:r>
      <w:r w:rsidR="008F7FB5">
        <w:rPr>
          <w:color w:val="000000"/>
          <w:szCs w:val="24"/>
        </w:rPr>
        <w:t xml:space="preserve"> </w:t>
      </w:r>
      <w:r w:rsidRPr="00375F26">
        <w:rPr>
          <w:color w:val="000000"/>
          <w:szCs w:val="24"/>
        </w:rPr>
        <w:t>Cieľom inšpekcií bola kontrola dodržiavania limít a podmienok a prevádzkových predpisov pre obsluhu jednotlivých zariadení, ako aj pripravenosť obslužného personálu v prípade nežiadúcej udalosti. Ani v jednom prípade nebolo zistené porušenie podmienok jadrovej bezpečnosti a prevádzkových predpisov. Obslužný personál preukázal vysokú pripravenosť a úroveň znalostí a postupov pri abnormálnej prevádzke. Počas uvádzania do prevádzky prišlo k poruche manipulátora s palivom. Počas udalosti nedošlo k porušeniu palivovej kazety a úniku rádioaktívnych látok. Po odstránení poruchy sa pokračovalo v bezpečnom uvádzaní do prevádzky.</w:t>
      </w:r>
    </w:p>
    <w:p w14:paraId="49DFB562" w14:textId="77777777" w:rsidR="00424404" w:rsidRPr="00712B72" w:rsidRDefault="00424404" w:rsidP="00FF48A0">
      <w:pPr>
        <w:autoSpaceDE w:val="0"/>
        <w:autoSpaceDN w:val="0"/>
        <w:adjustRightInd w:val="0"/>
        <w:jc w:val="both"/>
        <w:rPr>
          <w:color w:val="000000"/>
          <w:szCs w:val="24"/>
        </w:rPr>
      </w:pPr>
    </w:p>
    <w:p w14:paraId="7373A828" w14:textId="77777777" w:rsidR="00F82221" w:rsidRPr="00712B72" w:rsidRDefault="00F82221" w:rsidP="00F82221">
      <w:pPr>
        <w:autoSpaceDE w:val="0"/>
        <w:autoSpaceDN w:val="0"/>
        <w:adjustRightInd w:val="0"/>
        <w:jc w:val="both"/>
        <w:rPr>
          <w:b/>
          <w:i/>
          <w:iCs/>
        </w:rPr>
      </w:pPr>
      <w:r w:rsidRPr="00712B72">
        <w:rPr>
          <w:b/>
          <w:i/>
          <w:iCs/>
        </w:rPr>
        <w:t>Záver:</w:t>
      </w:r>
    </w:p>
    <w:p w14:paraId="45578E02" w14:textId="7F2B0A45" w:rsidR="00F82221" w:rsidRDefault="008F7FB5" w:rsidP="00F82221">
      <w:pPr>
        <w:autoSpaceDE w:val="0"/>
        <w:autoSpaceDN w:val="0"/>
        <w:adjustRightInd w:val="0"/>
        <w:jc w:val="both"/>
        <w:rPr>
          <w:b/>
          <w:i/>
          <w:iCs/>
        </w:rPr>
      </w:pPr>
      <w:r w:rsidRPr="008F7FB5">
        <w:rPr>
          <w:b/>
          <w:i/>
          <w:iCs/>
        </w:rPr>
        <w:t>Na základe výsledkov kontrolnej činnosti bola prevádzka MSVP v roku 2024 hodnotená ako bezpečná.</w:t>
      </w:r>
    </w:p>
    <w:p w14:paraId="3135E603" w14:textId="77777777" w:rsidR="008F7FB5" w:rsidRPr="00CB1D8F" w:rsidRDefault="008F7FB5" w:rsidP="00F82221">
      <w:pPr>
        <w:autoSpaceDE w:val="0"/>
        <w:autoSpaceDN w:val="0"/>
        <w:adjustRightInd w:val="0"/>
        <w:jc w:val="both"/>
        <w:rPr>
          <w:b/>
          <w:i/>
          <w:iCs/>
        </w:rPr>
      </w:pPr>
    </w:p>
    <w:p w14:paraId="542292DE" w14:textId="77777777" w:rsidR="007F2381" w:rsidRPr="006F1170" w:rsidRDefault="007F2381" w:rsidP="007C21EA">
      <w:pPr>
        <w:pStyle w:val="Nadpis5"/>
        <w:numPr>
          <w:ilvl w:val="4"/>
          <w:numId w:val="2"/>
        </w:numPr>
        <w:suppressLineNumbers/>
        <w:jc w:val="left"/>
        <w:rPr>
          <w:rFonts w:ascii="Times New Roman" w:hAnsi="Times New Roman"/>
          <w:b w:val="0"/>
          <w:iCs w:val="0"/>
          <w:sz w:val="24"/>
          <w:szCs w:val="24"/>
          <w:lang w:val="sk-SK"/>
        </w:rPr>
      </w:pPr>
      <w:r w:rsidRPr="006F1170">
        <w:rPr>
          <w:rFonts w:ascii="Times New Roman" w:hAnsi="Times New Roman"/>
          <w:sz w:val="24"/>
          <w:szCs w:val="24"/>
        </w:rPr>
        <w:t xml:space="preserve">b) </w:t>
      </w:r>
      <w:r w:rsidRPr="006F1170">
        <w:rPr>
          <w:rFonts w:ascii="Times New Roman" w:hAnsi="Times New Roman"/>
          <w:sz w:val="24"/>
          <w:szCs w:val="24"/>
          <w:lang w:val="sk-SK"/>
        </w:rPr>
        <w:t>Technológie na spracovanie a úpravu RAO (TSÚ RAO)</w:t>
      </w:r>
    </w:p>
    <w:p w14:paraId="01D758EC" w14:textId="4E473439" w:rsidR="00992441" w:rsidRPr="00375F26" w:rsidRDefault="00992441" w:rsidP="00992441">
      <w:pPr>
        <w:autoSpaceDE w:val="0"/>
        <w:autoSpaceDN w:val="0"/>
        <w:adjustRightInd w:val="0"/>
        <w:jc w:val="both"/>
        <w:rPr>
          <w:color w:val="000000"/>
          <w:szCs w:val="24"/>
        </w:rPr>
      </w:pPr>
      <w:bookmarkStart w:id="39" w:name="_Hlk157433322"/>
      <w:r w:rsidRPr="00375F26">
        <w:rPr>
          <w:color w:val="000000"/>
          <w:szCs w:val="24"/>
        </w:rPr>
        <w:t>TSÚ RAO zahŕňajú Bohunické spracovateľské centrum rádioaktívnych odpadov (</w:t>
      </w:r>
      <w:r w:rsidR="00C726F5">
        <w:rPr>
          <w:color w:val="000000"/>
          <w:szCs w:val="24"/>
        </w:rPr>
        <w:t>ďalej len „</w:t>
      </w:r>
      <w:r w:rsidRPr="00375F26">
        <w:rPr>
          <w:color w:val="000000"/>
          <w:szCs w:val="24"/>
        </w:rPr>
        <w:t>BSC RAO</w:t>
      </w:r>
      <w:r w:rsidR="00C726F5">
        <w:rPr>
          <w:color w:val="000000"/>
          <w:szCs w:val="24"/>
        </w:rPr>
        <w:t>“</w:t>
      </w:r>
      <w:r w:rsidRPr="00375F26">
        <w:rPr>
          <w:color w:val="000000"/>
          <w:szCs w:val="24"/>
        </w:rPr>
        <w:t xml:space="preserve">), </w:t>
      </w:r>
      <w:proofErr w:type="spellStart"/>
      <w:r w:rsidRPr="00375F26">
        <w:rPr>
          <w:color w:val="000000"/>
          <w:szCs w:val="24"/>
        </w:rPr>
        <w:t>fragmentačnú</w:t>
      </w:r>
      <w:proofErr w:type="spellEnd"/>
      <w:r w:rsidRPr="00375F26">
        <w:rPr>
          <w:color w:val="000000"/>
          <w:szCs w:val="24"/>
        </w:rPr>
        <w:t xml:space="preserve"> linku, veľkokapacitnú dekontaminačnú linku, pracovisko spracovania použitých vzduchotechnických filtrov, čistiacu stanicu odpadových vôd a sklady RAO. BSC RAO slúži ako ťažiskové zariadenie pre konečnú úpravu RAO pred ich uložením v Republikovom úložisku rádioaktívnych odpadov v Mochovciach (</w:t>
      </w:r>
      <w:r w:rsidR="00C726F5">
        <w:rPr>
          <w:color w:val="000000"/>
          <w:szCs w:val="24"/>
        </w:rPr>
        <w:t>ďalej len „</w:t>
      </w:r>
      <w:r w:rsidRPr="00375F26">
        <w:rPr>
          <w:color w:val="000000"/>
          <w:szCs w:val="24"/>
        </w:rPr>
        <w:t>RÚ RAO</w:t>
      </w:r>
      <w:r w:rsidR="00C726F5">
        <w:rPr>
          <w:color w:val="000000"/>
          <w:szCs w:val="24"/>
        </w:rPr>
        <w:t>“</w:t>
      </w:r>
      <w:r w:rsidRPr="00375F26">
        <w:rPr>
          <w:color w:val="000000"/>
          <w:szCs w:val="24"/>
        </w:rPr>
        <w:t>).</w:t>
      </w:r>
    </w:p>
    <w:p w14:paraId="3D7B07DD" w14:textId="3BAD33CC" w:rsidR="00992441" w:rsidRPr="00375F26" w:rsidRDefault="00992441" w:rsidP="00992441">
      <w:pPr>
        <w:autoSpaceDE w:val="0"/>
        <w:autoSpaceDN w:val="0"/>
        <w:adjustRightInd w:val="0"/>
        <w:jc w:val="both"/>
        <w:rPr>
          <w:color w:val="000000"/>
          <w:szCs w:val="24"/>
        </w:rPr>
      </w:pPr>
      <w:r w:rsidRPr="00375F26">
        <w:rPr>
          <w:color w:val="000000"/>
          <w:szCs w:val="24"/>
        </w:rPr>
        <w:t xml:space="preserve">Na spracovanie a úpravu RAO sa okrem cementácie využíva aj spaľovanie, fragmentácia, vysokotlakové lisovanie, </w:t>
      </w:r>
      <w:proofErr w:type="spellStart"/>
      <w:r w:rsidRPr="00375F26">
        <w:rPr>
          <w:color w:val="000000"/>
          <w:szCs w:val="24"/>
        </w:rPr>
        <w:t>pretavba</w:t>
      </w:r>
      <w:proofErr w:type="spellEnd"/>
      <w:r w:rsidRPr="00375F26">
        <w:rPr>
          <w:color w:val="000000"/>
          <w:szCs w:val="24"/>
        </w:rPr>
        <w:t xml:space="preserve"> a zvyšovanie koncentrácie odparovaním. Výsledné produkty spracovania a úpravy RAO sa vkladajú do </w:t>
      </w:r>
      <w:proofErr w:type="spellStart"/>
      <w:r w:rsidRPr="00375F26">
        <w:rPr>
          <w:color w:val="000000"/>
          <w:szCs w:val="24"/>
        </w:rPr>
        <w:t>vláknobetónového</w:t>
      </w:r>
      <w:proofErr w:type="spellEnd"/>
      <w:r w:rsidRPr="00375F26">
        <w:rPr>
          <w:color w:val="000000"/>
          <w:szCs w:val="24"/>
        </w:rPr>
        <w:t xml:space="preserve"> kontajnera (</w:t>
      </w:r>
      <w:r w:rsidR="008D7D1C">
        <w:rPr>
          <w:color w:val="000000"/>
          <w:szCs w:val="24"/>
        </w:rPr>
        <w:t>ďalej len „</w:t>
      </w:r>
      <w:r w:rsidRPr="00375F26">
        <w:rPr>
          <w:color w:val="000000"/>
          <w:szCs w:val="24"/>
        </w:rPr>
        <w:t>VBK</w:t>
      </w:r>
      <w:r w:rsidR="008D7D1C">
        <w:rPr>
          <w:color w:val="000000"/>
          <w:szCs w:val="24"/>
        </w:rPr>
        <w:t>“</w:t>
      </w:r>
      <w:r w:rsidRPr="00375F26">
        <w:rPr>
          <w:color w:val="000000"/>
          <w:szCs w:val="24"/>
        </w:rPr>
        <w:t>) tak, aby vyhovovali podmienkam uloženia v RÚ RAO.</w:t>
      </w:r>
    </w:p>
    <w:p w14:paraId="33E9709F" w14:textId="7DB43355" w:rsidR="00992441" w:rsidRPr="00375F26" w:rsidRDefault="00992441" w:rsidP="00992441">
      <w:pPr>
        <w:autoSpaceDE w:val="0"/>
        <w:autoSpaceDN w:val="0"/>
        <w:adjustRightInd w:val="0"/>
        <w:jc w:val="both"/>
        <w:rPr>
          <w:color w:val="000000"/>
          <w:szCs w:val="24"/>
        </w:rPr>
      </w:pPr>
      <w:r w:rsidRPr="00375F26">
        <w:rPr>
          <w:color w:val="000000"/>
          <w:szCs w:val="24"/>
        </w:rPr>
        <w:t>Úrad v roku 2024 posudzoval zmeny v prevádzkových predpisoch Limity a podmienky bezpečnej prevádzky JZ TSÚ RAO, Odôvodnenia limít a podmienok bezpečnej prevádzky JZ TSÚ RAO, vydal súhlas na realizáciu zmeny v prevádzkových predpisoch Riešenie abnormálnych prevádzkových stavov v JZ TSÚ RAO, Predprevádzková bezpečnostná správa pre JZ TSÚ RAO, Optimalizácia spracovateľských kapacít JZ TSÚ RAO – VT lisovanie, Zoznam vybraných zariadení pre JZ JE A1, TSÚ RAO, MSVP a FS KRAO, Koncepčný plán vyraďovania JZ TSÚ RAO z prevádzky, schválil dokumentáciu systému manažérstva kvality držiteľa povolenia JAVYS, a. s.</w:t>
      </w:r>
      <w:r w:rsidR="00CB7D86">
        <w:rPr>
          <w:color w:val="000000"/>
          <w:szCs w:val="24"/>
        </w:rPr>
        <w:t>,</w:t>
      </w:r>
      <w:r w:rsidRPr="00375F26">
        <w:rPr>
          <w:color w:val="000000"/>
          <w:szCs w:val="24"/>
        </w:rPr>
        <w:t xml:space="preserve"> v rozsahu požiadaviek na zabezpečovanie kvality vybraných zariadení a Jadrové zariadenia JAVYS, a.</w:t>
      </w:r>
      <w:r w:rsidR="00CB7D86">
        <w:rPr>
          <w:color w:val="000000"/>
          <w:szCs w:val="24"/>
        </w:rPr>
        <w:t xml:space="preserve"> </w:t>
      </w:r>
      <w:r w:rsidRPr="00375F26">
        <w:rPr>
          <w:color w:val="000000"/>
          <w:szCs w:val="24"/>
        </w:rPr>
        <w:t>s.</w:t>
      </w:r>
      <w:r w:rsidR="00CB7D86">
        <w:rPr>
          <w:color w:val="000000"/>
          <w:szCs w:val="24"/>
        </w:rPr>
        <w:t>,</w:t>
      </w:r>
      <w:r w:rsidRPr="00375F26">
        <w:rPr>
          <w:color w:val="000000"/>
          <w:szCs w:val="24"/>
        </w:rPr>
        <w:t xml:space="preserve"> a ich hranice.</w:t>
      </w:r>
    </w:p>
    <w:p w14:paraId="4949784F" w14:textId="105D6E4E" w:rsidR="00992441" w:rsidRPr="00446944" w:rsidRDefault="00992441" w:rsidP="00992441">
      <w:pPr>
        <w:autoSpaceDE w:val="0"/>
        <w:autoSpaceDN w:val="0"/>
        <w:adjustRightInd w:val="0"/>
        <w:jc w:val="both"/>
        <w:rPr>
          <w:color w:val="000000"/>
          <w:szCs w:val="24"/>
        </w:rPr>
      </w:pPr>
      <w:r w:rsidRPr="00375F26">
        <w:rPr>
          <w:color w:val="000000"/>
          <w:szCs w:val="24"/>
        </w:rPr>
        <w:lastRenderedPageBreak/>
        <w:t>Inšpektori priebežne preverovali aktuálny stav uvedených zariadení, zamerali sa na kontrolu skladov v celom objekte JZ TSÚ RAO a kontrolovali plnenie podmienok právnych predpisov tak, aby realizované činnosti smerovali k zabezpečeniu ich ďalšej bezpečnej prevádzky.</w:t>
      </w:r>
    </w:p>
    <w:bookmarkEnd w:id="39"/>
    <w:p w14:paraId="4941E9FB" w14:textId="77777777" w:rsidR="00446944" w:rsidRPr="00446944" w:rsidRDefault="00446944" w:rsidP="00446944">
      <w:pPr>
        <w:autoSpaceDE w:val="0"/>
        <w:autoSpaceDN w:val="0"/>
        <w:adjustRightInd w:val="0"/>
        <w:jc w:val="both"/>
        <w:rPr>
          <w:color w:val="000000"/>
          <w:szCs w:val="24"/>
        </w:rPr>
      </w:pPr>
    </w:p>
    <w:p w14:paraId="00BA0B9E" w14:textId="77777777" w:rsidR="00446944" w:rsidRPr="00375F26" w:rsidRDefault="00446944" w:rsidP="00446944">
      <w:pPr>
        <w:autoSpaceDE w:val="0"/>
        <w:autoSpaceDN w:val="0"/>
        <w:adjustRightInd w:val="0"/>
        <w:jc w:val="both"/>
        <w:rPr>
          <w:b/>
          <w:i/>
          <w:iCs/>
        </w:rPr>
      </w:pPr>
      <w:r w:rsidRPr="00375F26">
        <w:rPr>
          <w:b/>
          <w:i/>
          <w:iCs/>
        </w:rPr>
        <w:t>Záver:</w:t>
      </w:r>
    </w:p>
    <w:p w14:paraId="06F6C28C" w14:textId="01D7D7B1" w:rsidR="00992441" w:rsidRPr="00375F26" w:rsidRDefault="00992441" w:rsidP="00446944">
      <w:pPr>
        <w:autoSpaceDE w:val="0"/>
        <w:autoSpaceDN w:val="0"/>
        <w:adjustRightInd w:val="0"/>
        <w:jc w:val="both"/>
        <w:rPr>
          <w:b/>
          <w:i/>
          <w:szCs w:val="24"/>
        </w:rPr>
      </w:pPr>
      <w:r w:rsidRPr="00375F26">
        <w:rPr>
          <w:b/>
          <w:i/>
          <w:szCs w:val="24"/>
        </w:rPr>
        <w:t>Na základe výsledkov kontrolnej činnosti bola v roku 2024 prevádzka TSÚ RAO hodnotená ako bezpečná.</w:t>
      </w:r>
    </w:p>
    <w:p w14:paraId="39175CAA" w14:textId="77777777" w:rsidR="007F2381" w:rsidRPr="00375F26" w:rsidRDefault="007F2381" w:rsidP="007C21EA">
      <w:pPr>
        <w:pStyle w:val="slovanzoznam"/>
        <w:numPr>
          <w:ilvl w:val="0"/>
          <w:numId w:val="2"/>
        </w:numPr>
        <w:tabs>
          <w:tab w:val="num" w:pos="567"/>
        </w:tabs>
        <w:spacing w:before="0"/>
        <w:ind w:left="0" w:firstLine="0"/>
        <w:jc w:val="both"/>
        <w:rPr>
          <w:b/>
          <w:i/>
          <w:szCs w:val="24"/>
        </w:rPr>
      </w:pPr>
    </w:p>
    <w:p w14:paraId="4DB630BA" w14:textId="77777777" w:rsidR="00446944" w:rsidRPr="00375F26" w:rsidRDefault="00446944" w:rsidP="00446944">
      <w:pPr>
        <w:pStyle w:val="Nadpis5"/>
        <w:jc w:val="left"/>
        <w:rPr>
          <w:rFonts w:ascii="Times New Roman" w:hAnsi="Times New Roman"/>
          <w:b w:val="0"/>
          <w:szCs w:val="24"/>
          <w:lang w:val="sk-SK"/>
        </w:rPr>
      </w:pPr>
      <w:r w:rsidRPr="00375F26">
        <w:rPr>
          <w:rFonts w:ascii="Times New Roman" w:hAnsi="Times New Roman"/>
          <w:szCs w:val="24"/>
        </w:rPr>
        <w:t xml:space="preserve">c) </w:t>
      </w:r>
      <w:r w:rsidRPr="00375F26">
        <w:rPr>
          <w:rFonts w:ascii="Times New Roman" w:hAnsi="Times New Roman"/>
          <w:sz w:val="24"/>
          <w:szCs w:val="22"/>
        </w:rPr>
        <w:t xml:space="preserve">Republikové úložisko RAO Mochovce </w:t>
      </w:r>
      <w:r w:rsidRPr="00375F26">
        <w:rPr>
          <w:rFonts w:ascii="Times New Roman" w:hAnsi="Times New Roman"/>
          <w:sz w:val="24"/>
          <w:szCs w:val="22"/>
          <w:lang w:val="sk-SK"/>
        </w:rPr>
        <w:t>(RÚ RAO)</w:t>
      </w:r>
    </w:p>
    <w:p w14:paraId="669533F4" w14:textId="0D5D8C3F" w:rsidR="00992441" w:rsidRPr="00375F26" w:rsidRDefault="00992441" w:rsidP="00992441">
      <w:pPr>
        <w:autoSpaceDE w:val="0"/>
        <w:autoSpaceDN w:val="0"/>
        <w:adjustRightInd w:val="0"/>
        <w:jc w:val="both"/>
        <w:rPr>
          <w:color w:val="000000"/>
          <w:szCs w:val="24"/>
        </w:rPr>
      </w:pPr>
      <w:r w:rsidRPr="00375F26">
        <w:rPr>
          <w:color w:val="000000"/>
          <w:szCs w:val="24"/>
        </w:rPr>
        <w:t>RÚ RAO je určené na ukladanie nízkoaktívnych (</w:t>
      </w:r>
      <w:r w:rsidR="00C726F5">
        <w:rPr>
          <w:color w:val="000000"/>
          <w:szCs w:val="24"/>
        </w:rPr>
        <w:t>ďalej len „</w:t>
      </w:r>
      <w:r w:rsidRPr="00375F26">
        <w:rPr>
          <w:color w:val="000000"/>
          <w:szCs w:val="24"/>
        </w:rPr>
        <w:t>NRAO</w:t>
      </w:r>
      <w:r w:rsidR="00C726F5">
        <w:rPr>
          <w:color w:val="000000"/>
          <w:szCs w:val="24"/>
        </w:rPr>
        <w:t>“</w:t>
      </w:r>
      <w:r w:rsidRPr="00375F26">
        <w:rPr>
          <w:color w:val="000000"/>
          <w:szCs w:val="24"/>
        </w:rPr>
        <w:t>) a veľmi nízkoaktívnych rádioaktívnych odpadov (</w:t>
      </w:r>
      <w:r w:rsidR="00C726F5">
        <w:rPr>
          <w:color w:val="000000"/>
          <w:szCs w:val="24"/>
        </w:rPr>
        <w:t>ďalej len „</w:t>
      </w:r>
      <w:r w:rsidRPr="00375F26">
        <w:rPr>
          <w:color w:val="000000"/>
          <w:szCs w:val="24"/>
        </w:rPr>
        <w:t>VNRAO</w:t>
      </w:r>
      <w:r w:rsidR="00C726F5">
        <w:rPr>
          <w:color w:val="000000"/>
          <w:szCs w:val="24"/>
        </w:rPr>
        <w:t>“</w:t>
      </w:r>
      <w:r w:rsidRPr="00375F26">
        <w:rPr>
          <w:color w:val="000000"/>
          <w:szCs w:val="24"/>
        </w:rPr>
        <w:t>) z prevádzky a vyraďovania JZ. Činnosti ukladania NRAO a VNRAO sa uskutočňovali štandardne. V roku 2024 bolo uložených 404 ks VBK s NAO a 1248,23 m</w:t>
      </w:r>
      <w:r w:rsidR="00C726F5">
        <w:rPr>
          <w:color w:val="000000"/>
          <w:szCs w:val="24"/>
          <w:vertAlign w:val="superscript"/>
        </w:rPr>
        <w:t>3</w:t>
      </w:r>
      <w:r w:rsidRPr="00375F26">
        <w:rPr>
          <w:color w:val="000000"/>
          <w:szCs w:val="24"/>
        </w:rPr>
        <w:t xml:space="preserve"> VNRAO. Počas celého roka pokračovala výstavba 4. dvojradu. V decembri začal úrad správne konanie vo veci vydania súhlasu na realizáciu zmeny v rozsahu uvádzania do prevádzky a prevádzku 4. dvojradu úložných boxov na ukladanie NAO a  na vydanie kolaudačného rozhodnutia v rámci projektu „Vybudovanie 4. dvojradu úložiska NRAO V RÚ RAO Mochovce“, v rámci ktorého  prebiehalo </w:t>
      </w:r>
      <w:proofErr w:type="spellStart"/>
      <w:r w:rsidRPr="00375F26">
        <w:rPr>
          <w:color w:val="000000"/>
          <w:szCs w:val="24"/>
        </w:rPr>
        <w:t>vnútroúradné</w:t>
      </w:r>
      <w:proofErr w:type="spellEnd"/>
      <w:r w:rsidRPr="00375F26">
        <w:rPr>
          <w:color w:val="000000"/>
          <w:szCs w:val="24"/>
        </w:rPr>
        <w:t xml:space="preserve"> posudzovanie predloženej dokumentácie.</w:t>
      </w:r>
    </w:p>
    <w:p w14:paraId="07B2A0D8" w14:textId="04F6F89A" w:rsidR="00992441" w:rsidRPr="00375F26" w:rsidRDefault="00992441" w:rsidP="00992441">
      <w:pPr>
        <w:autoSpaceDE w:val="0"/>
        <w:autoSpaceDN w:val="0"/>
        <w:adjustRightInd w:val="0"/>
        <w:jc w:val="both"/>
        <w:rPr>
          <w:color w:val="000000"/>
          <w:szCs w:val="24"/>
        </w:rPr>
      </w:pPr>
      <w:r w:rsidRPr="00375F26">
        <w:rPr>
          <w:color w:val="000000"/>
          <w:szCs w:val="24"/>
        </w:rPr>
        <w:t>Špeciálna inšpekčná činnosť zameraná najmä na kontrolu pripravenosti 4. dvojradu úložných boxov pre ukladanie NRAO bola preložená zo IV. kvartálu 2024 na I. kvartál 2025.</w:t>
      </w:r>
    </w:p>
    <w:p w14:paraId="2BAEDFD0" w14:textId="77777777" w:rsidR="00446944" w:rsidRPr="00375F26" w:rsidRDefault="00446944" w:rsidP="00446944">
      <w:pPr>
        <w:autoSpaceDE w:val="0"/>
        <w:autoSpaceDN w:val="0"/>
        <w:adjustRightInd w:val="0"/>
        <w:jc w:val="both"/>
        <w:rPr>
          <w:color w:val="000000"/>
          <w:szCs w:val="24"/>
        </w:rPr>
      </w:pPr>
    </w:p>
    <w:p w14:paraId="6ECCFF2F" w14:textId="77777777" w:rsidR="00446944" w:rsidRPr="00375F26" w:rsidRDefault="00446944" w:rsidP="00446944">
      <w:pPr>
        <w:autoSpaceDE w:val="0"/>
        <w:autoSpaceDN w:val="0"/>
        <w:adjustRightInd w:val="0"/>
        <w:jc w:val="both"/>
        <w:rPr>
          <w:b/>
          <w:i/>
          <w:iCs/>
        </w:rPr>
      </w:pPr>
      <w:r w:rsidRPr="00375F26">
        <w:rPr>
          <w:b/>
          <w:i/>
          <w:iCs/>
        </w:rPr>
        <w:t>Záver:</w:t>
      </w:r>
    </w:p>
    <w:p w14:paraId="420AFD10" w14:textId="08900103" w:rsidR="00992441" w:rsidRPr="00375F26" w:rsidRDefault="00992441" w:rsidP="00446944">
      <w:pPr>
        <w:autoSpaceDE w:val="0"/>
        <w:autoSpaceDN w:val="0"/>
        <w:adjustRightInd w:val="0"/>
        <w:jc w:val="both"/>
        <w:rPr>
          <w:b/>
          <w:i/>
          <w:iCs/>
        </w:rPr>
      </w:pPr>
      <w:r w:rsidRPr="00375F26">
        <w:rPr>
          <w:b/>
          <w:i/>
          <w:iCs/>
        </w:rPr>
        <w:t>Na základe kontrolných činností v roku 2024 je možné hodnotiť doterajšiu prevádzku RÚ RAO ako bezpečnú, so zanedbateľným vplyvom na životné prostredie.</w:t>
      </w:r>
    </w:p>
    <w:p w14:paraId="0F34D1B2" w14:textId="77777777" w:rsidR="004C18D7" w:rsidRPr="00375F26" w:rsidRDefault="004C18D7" w:rsidP="00446944">
      <w:pPr>
        <w:autoSpaceDE w:val="0"/>
        <w:autoSpaceDN w:val="0"/>
        <w:adjustRightInd w:val="0"/>
        <w:jc w:val="both"/>
        <w:rPr>
          <w:b/>
          <w:i/>
          <w:iCs/>
        </w:rPr>
      </w:pPr>
    </w:p>
    <w:p w14:paraId="59FC348A" w14:textId="77777777" w:rsidR="00446944" w:rsidRPr="00375F26" w:rsidRDefault="00446944" w:rsidP="00446944">
      <w:pPr>
        <w:rPr>
          <w:b/>
          <w:i/>
          <w:iCs/>
          <w:szCs w:val="24"/>
        </w:rPr>
      </w:pPr>
      <w:r w:rsidRPr="00375F26">
        <w:rPr>
          <w:b/>
          <w:i/>
          <w:iCs/>
          <w:szCs w:val="24"/>
        </w:rPr>
        <w:t>d) Finálne spracovanie kvapalných RAO Mochovce (FS KRAO)</w:t>
      </w:r>
    </w:p>
    <w:p w14:paraId="284AC16C" w14:textId="6B9B78AF" w:rsidR="00992441" w:rsidRPr="00375F26" w:rsidRDefault="00992441" w:rsidP="00992441">
      <w:pPr>
        <w:autoSpaceDE w:val="0"/>
        <w:autoSpaceDN w:val="0"/>
        <w:adjustRightInd w:val="0"/>
        <w:jc w:val="both"/>
        <w:rPr>
          <w:color w:val="000000"/>
          <w:szCs w:val="24"/>
        </w:rPr>
      </w:pPr>
      <w:r w:rsidRPr="00375F26">
        <w:rPr>
          <w:color w:val="000000"/>
          <w:szCs w:val="24"/>
        </w:rPr>
        <w:t xml:space="preserve">Účelom objektu FS KRAO je finálne spracovanie a úprava kvapalných RAO (rádioaktívne koncentráty, </w:t>
      </w:r>
      <w:proofErr w:type="spellStart"/>
      <w:r w:rsidRPr="00375F26">
        <w:rPr>
          <w:color w:val="000000"/>
          <w:szCs w:val="24"/>
        </w:rPr>
        <w:t>vysýtené</w:t>
      </w:r>
      <w:proofErr w:type="spellEnd"/>
      <w:r w:rsidRPr="00375F26">
        <w:rPr>
          <w:color w:val="000000"/>
          <w:szCs w:val="24"/>
        </w:rPr>
        <w:t xml:space="preserve"> </w:t>
      </w:r>
      <w:proofErr w:type="spellStart"/>
      <w:r w:rsidRPr="00375F26">
        <w:rPr>
          <w:color w:val="000000"/>
          <w:szCs w:val="24"/>
        </w:rPr>
        <w:t>sorbenty</w:t>
      </w:r>
      <w:proofErr w:type="spellEnd"/>
      <w:r w:rsidRPr="00375F26">
        <w:rPr>
          <w:color w:val="000000"/>
          <w:szCs w:val="24"/>
        </w:rPr>
        <w:t xml:space="preserve"> a kaly) produkovaných v EMO1, 2, niektorých druhov pevných RAO z prevádzky blokov uvedenej elektrárne a úprava spracovaných pevných RAO z iných JZ. Kapacita technologických liniek vysoko prekračuje tvorbu RAO z mochovských jadrových blokov. Vo FS KRAO sú umiestnené  technológie na spracovanie rádioaktívnych koncentrátov </w:t>
      </w:r>
      <w:proofErr w:type="spellStart"/>
      <w:r w:rsidRPr="00375F26">
        <w:rPr>
          <w:color w:val="000000"/>
          <w:szCs w:val="24"/>
        </w:rPr>
        <w:t>bitúmenáciou</w:t>
      </w:r>
      <w:proofErr w:type="spellEnd"/>
      <w:r w:rsidRPr="00375F26">
        <w:rPr>
          <w:color w:val="000000"/>
          <w:szCs w:val="24"/>
        </w:rPr>
        <w:t xml:space="preserve"> vo filmovej rotorovej </w:t>
      </w:r>
      <w:proofErr w:type="spellStart"/>
      <w:r w:rsidRPr="00375F26">
        <w:rPr>
          <w:color w:val="000000"/>
          <w:szCs w:val="24"/>
        </w:rPr>
        <w:t>odparke</w:t>
      </w:r>
      <w:proofErr w:type="spellEnd"/>
      <w:r w:rsidRPr="00375F26">
        <w:rPr>
          <w:color w:val="000000"/>
          <w:szCs w:val="24"/>
        </w:rPr>
        <w:t xml:space="preserve"> a zahusťovaním na koncentračnej </w:t>
      </w:r>
      <w:proofErr w:type="spellStart"/>
      <w:r w:rsidRPr="00375F26">
        <w:rPr>
          <w:color w:val="000000"/>
          <w:szCs w:val="24"/>
        </w:rPr>
        <w:t>odparke</w:t>
      </w:r>
      <w:proofErr w:type="spellEnd"/>
      <w:r w:rsidRPr="00375F26">
        <w:rPr>
          <w:color w:val="000000"/>
          <w:szCs w:val="24"/>
        </w:rPr>
        <w:t xml:space="preserve">. Diskontinuálna </w:t>
      </w:r>
      <w:proofErr w:type="spellStart"/>
      <w:r w:rsidRPr="00375F26">
        <w:rPr>
          <w:color w:val="000000"/>
          <w:szCs w:val="24"/>
        </w:rPr>
        <w:t>bitúmenačná</w:t>
      </w:r>
      <w:proofErr w:type="spellEnd"/>
      <w:r w:rsidRPr="00375F26">
        <w:rPr>
          <w:color w:val="000000"/>
          <w:szCs w:val="24"/>
        </w:rPr>
        <w:t xml:space="preserve"> linka (</w:t>
      </w:r>
      <w:r w:rsidR="00C726F5">
        <w:rPr>
          <w:color w:val="000000"/>
          <w:szCs w:val="24"/>
        </w:rPr>
        <w:t>ďalej len „</w:t>
      </w:r>
      <w:r w:rsidRPr="00375F26">
        <w:rPr>
          <w:color w:val="000000"/>
          <w:szCs w:val="24"/>
        </w:rPr>
        <w:t>DBL</w:t>
      </w:r>
      <w:r w:rsidR="00C726F5">
        <w:rPr>
          <w:color w:val="000000"/>
          <w:szCs w:val="24"/>
        </w:rPr>
        <w:t>“</w:t>
      </w:r>
      <w:r w:rsidRPr="00375F26">
        <w:rPr>
          <w:color w:val="000000"/>
          <w:szCs w:val="24"/>
        </w:rPr>
        <w:t xml:space="preserve">) slúži na fixáciu rádioaktívnych </w:t>
      </w:r>
      <w:proofErr w:type="spellStart"/>
      <w:r w:rsidRPr="00375F26">
        <w:rPr>
          <w:color w:val="000000"/>
          <w:szCs w:val="24"/>
        </w:rPr>
        <w:t>sorbentov</w:t>
      </w:r>
      <w:proofErr w:type="spellEnd"/>
      <w:r w:rsidRPr="00375F26">
        <w:rPr>
          <w:color w:val="000000"/>
          <w:szCs w:val="24"/>
        </w:rPr>
        <w:t xml:space="preserve">. Na cementačnej linke sa následne takto spracované RAO a iné pevné resp. spevnené RAO vkladajú do VBK a zalievajú aktívnou cementovou zálievkou.  VBK sú prepravené a uložené v RÚ RAO. Úrad v roku 2024 posudzoval zmeny v prevádzkových predpisoch Limity a podmienky bezpečnej prevádzky JZ FS KRAO a Predprevádzková bezpečnostná správa pre JZ FS KRAO. Prevádzka FS KRAO v roku 2024 pozostávala najmä z úpravy RAO cementáciou do VBK na cementačnej linke. </w:t>
      </w:r>
    </w:p>
    <w:p w14:paraId="5E488CC6" w14:textId="56EB2337" w:rsidR="00992441" w:rsidRPr="00375F26" w:rsidRDefault="00992441" w:rsidP="00992441">
      <w:pPr>
        <w:autoSpaceDE w:val="0"/>
        <w:autoSpaceDN w:val="0"/>
        <w:adjustRightInd w:val="0"/>
        <w:jc w:val="both"/>
        <w:rPr>
          <w:color w:val="000000"/>
          <w:szCs w:val="24"/>
        </w:rPr>
      </w:pPr>
      <w:r w:rsidRPr="00375F26">
        <w:rPr>
          <w:color w:val="000000"/>
          <w:szCs w:val="24"/>
        </w:rPr>
        <w:t xml:space="preserve">Inšpekčná činnosť na FS KRAO bola zameraná na kontrolu dodržiavania podmienok jadrovej bezpečnosti pri nakladaní s RAO, kontrolu úplnosti údajov uvedených v sprievodných listoch a dodržiavanie </w:t>
      </w:r>
      <w:proofErr w:type="spellStart"/>
      <w:r w:rsidRPr="00375F26">
        <w:rPr>
          <w:color w:val="000000"/>
          <w:szCs w:val="24"/>
        </w:rPr>
        <w:t>LaP</w:t>
      </w:r>
      <w:proofErr w:type="spellEnd"/>
      <w:r w:rsidRPr="00375F26">
        <w:rPr>
          <w:color w:val="000000"/>
          <w:szCs w:val="24"/>
        </w:rPr>
        <w:t xml:space="preserve"> bezpečnej prevádzky FS KRAO.</w:t>
      </w:r>
    </w:p>
    <w:p w14:paraId="06C71C53" w14:textId="77777777" w:rsidR="00446944" w:rsidRPr="00375F26" w:rsidRDefault="00446944" w:rsidP="00446944">
      <w:pPr>
        <w:autoSpaceDE w:val="0"/>
        <w:autoSpaceDN w:val="0"/>
        <w:adjustRightInd w:val="0"/>
        <w:jc w:val="both"/>
        <w:rPr>
          <w:color w:val="000000"/>
          <w:szCs w:val="24"/>
        </w:rPr>
      </w:pPr>
    </w:p>
    <w:p w14:paraId="1F965121" w14:textId="77777777" w:rsidR="00446944" w:rsidRPr="00375F26" w:rsidRDefault="00446944" w:rsidP="00446944">
      <w:pPr>
        <w:autoSpaceDE w:val="0"/>
        <w:autoSpaceDN w:val="0"/>
        <w:adjustRightInd w:val="0"/>
        <w:jc w:val="both"/>
        <w:rPr>
          <w:b/>
          <w:i/>
          <w:iCs/>
        </w:rPr>
      </w:pPr>
      <w:r w:rsidRPr="00375F26">
        <w:rPr>
          <w:b/>
          <w:i/>
          <w:iCs/>
        </w:rPr>
        <w:t>Záver:</w:t>
      </w:r>
    </w:p>
    <w:p w14:paraId="732DB4CE" w14:textId="7C6FB331" w:rsidR="00992441" w:rsidRPr="00375F26" w:rsidRDefault="00992441" w:rsidP="00446944">
      <w:pPr>
        <w:autoSpaceDE w:val="0"/>
        <w:autoSpaceDN w:val="0"/>
        <w:adjustRightInd w:val="0"/>
        <w:jc w:val="both"/>
        <w:rPr>
          <w:b/>
          <w:i/>
          <w:iCs/>
        </w:rPr>
      </w:pPr>
      <w:r w:rsidRPr="00375F26">
        <w:rPr>
          <w:b/>
          <w:i/>
          <w:iCs/>
        </w:rPr>
        <w:t>Na základe výsledkov inšpekčnej činnosti bola v roku 2024 prevádzka FS KRAO hodnotená ako bezpečná.</w:t>
      </w:r>
    </w:p>
    <w:p w14:paraId="47423519" w14:textId="77777777" w:rsidR="00446944" w:rsidRPr="00375F26" w:rsidRDefault="00446944" w:rsidP="00446944">
      <w:pPr>
        <w:autoSpaceDE w:val="0"/>
        <w:autoSpaceDN w:val="0"/>
        <w:adjustRightInd w:val="0"/>
        <w:jc w:val="both"/>
        <w:rPr>
          <w:iCs/>
          <w:szCs w:val="24"/>
        </w:rPr>
      </w:pPr>
    </w:p>
    <w:p w14:paraId="51FBD5CD" w14:textId="77777777" w:rsidR="00446944" w:rsidRPr="00375F26" w:rsidRDefault="00446944" w:rsidP="00446944">
      <w:pPr>
        <w:rPr>
          <w:b/>
        </w:rPr>
      </w:pPr>
      <w:r w:rsidRPr="00375F26">
        <w:rPr>
          <w:b/>
        </w:rPr>
        <w:t xml:space="preserve">e) </w:t>
      </w:r>
      <w:r w:rsidRPr="00375F26">
        <w:rPr>
          <w:b/>
          <w:i/>
          <w:iCs/>
          <w:szCs w:val="24"/>
        </w:rPr>
        <w:t>Integrálny sklad RAO (IS RAO)</w:t>
      </w:r>
    </w:p>
    <w:p w14:paraId="3FD4CE89" w14:textId="77777777" w:rsidR="00992441" w:rsidRPr="00375F26" w:rsidRDefault="00992441" w:rsidP="00992441">
      <w:pPr>
        <w:autoSpaceDE w:val="0"/>
        <w:autoSpaceDN w:val="0"/>
        <w:adjustRightInd w:val="0"/>
        <w:jc w:val="both"/>
        <w:rPr>
          <w:color w:val="000000"/>
          <w:szCs w:val="24"/>
        </w:rPr>
      </w:pPr>
      <w:r w:rsidRPr="00375F26">
        <w:rPr>
          <w:color w:val="000000"/>
          <w:szCs w:val="24"/>
        </w:rPr>
        <w:t xml:space="preserve">Zariadenie je určené na dlhodobé skladovanie RAO z vyraďovania JE. Okrem toho slúži na dočasné skladovanie prechodných RAO, pokiaľ pokles rádioaktivity v čase neumožní ich </w:t>
      </w:r>
      <w:r w:rsidRPr="00375F26">
        <w:rPr>
          <w:color w:val="000000"/>
          <w:szCs w:val="24"/>
        </w:rPr>
        <w:lastRenderedPageBreak/>
        <w:t xml:space="preserve">uvoľnenie do životného prostredia. ÚJD SR vydal rozhodnutím č. 423/2017 povolenie na prevádzku IS RAO. V roku 2020 bolo úradom vydané rozhodnutie č. 330/2020, ktorým sa povolila zmena v užívaní stavby IS RAO. Táto zmena spočívala v zmene pôvodne schváleného </w:t>
      </w:r>
      <w:proofErr w:type="spellStart"/>
      <w:r w:rsidRPr="00375F26">
        <w:rPr>
          <w:color w:val="000000"/>
          <w:szCs w:val="24"/>
        </w:rPr>
        <w:t>aktivitného</w:t>
      </w:r>
      <w:proofErr w:type="spellEnd"/>
      <w:r w:rsidRPr="00375F26">
        <w:rPr>
          <w:color w:val="000000"/>
          <w:szCs w:val="24"/>
        </w:rPr>
        <w:t xml:space="preserve"> inventára 8,41x10</w:t>
      </w:r>
      <w:r w:rsidRPr="00843B69">
        <w:rPr>
          <w:color w:val="000000"/>
          <w:szCs w:val="24"/>
          <w:vertAlign w:val="superscript"/>
        </w:rPr>
        <w:t>14</w:t>
      </w:r>
      <w:r w:rsidRPr="00375F26">
        <w:rPr>
          <w:color w:val="000000"/>
          <w:szCs w:val="24"/>
        </w:rPr>
        <w:t xml:space="preserve"> </w:t>
      </w:r>
      <w:proofErr w:type="spellStart"/>
      <w:r w:rsidRPr="00375F26">
        <w:rPr>
          <w:color w:val="000000"/>
          <w:szCs w:val="24"/>
        </w:rPr>
        <w:t>Bq</w:t>
      </w:r>
      <w:proofErr w:type="spellEnd"/>
      <w:r w:rsidRPr="00375F26">
        <w:rPr>
          <w:color w:val="000000"/>
          <w:szCs w:val="24"/>
        </w:rPr>
        <w:t xml:space="preserve"> na projektovaný inventár 1x10</w:t>
      </w:r>
      <w:r w:rsidRPr="00843B69">
        <w:rPr>
          <w:color w:val="000000"/>
          <w:szCs w:val="24"/>
          <w:vertAlign w:val="superscript"/>
        </w:rPr>
        <w:t>18</w:t>
      </w:r>
      <w:r w:rsidRPr="00375F26">
        <w:rPr>
          <w:color w:val="000000"/>
          <w:szCs w:val="24"/>
        </w:rPr>
        <w:t xml:space="preserve"> </w:t>
      </w:r>
      <w:proofErr w:type="spellStart"/>
      <w:r w:rsidRPr="00375F26">
        <w:rPr>
          <w:color w:val="000000"/>
          <w:szCs w:val="24"/>
        </w:rPr>
        <w:t>Bq</w:t>
      </w:r>
      <w:proofErr w:type="spellEnd"/>
      <w:r w:rsidRPr="00375F26">
        <w:rPr>
          <w:color w:val="000000"/>
          <w:szCs w:val="24"/>
        </w:rPr>
        <w:t>. Počas roka 2023 boli do zariadenia postupne prijímané RAO z realizácie projektov vyraďovania JE V-1 a JE A- 1 v celkovej aktivite 1,78x10</w:t>
      </w:r>
      <w:r w:rsidRPr="00843B69">
        <w:rPr>
          <w:color w:val="000000"/>
          <w:szCs w:val="24"/>
          <w:vertAlign w:val="superscript"/>
        </w:rPr>
        <w:t>16</w:t>
      </w:r>
      <w:r w:rsidRPr="00375F26">
        <w:rPr>
          <w:color w:val="000000"/>
          <w:szCs w:val="24"/>
        </w:rPr>
        <w:t xml:space="preserve"> </w:t>
      </w:r>
      <w:proofErr w:type="spellStart"/>
      <w:r w:rsidRPr="00375F26">
        <w:rPr>
          <w:color w:val="000000"/>
          <w:szCs w:val="24"/>
        </w:rPr>
        <w:t>Bq</w:t>
      </w:r>
      <w:proofErr w:type="spellEnd"/>
      <w:r w:rsidRPr="00375F26">
        <w:rPr>
          <w:color w:val="000000"/>
          <w:szCs w:val="24"/>
        </w:rPr>
        <w:t xml:space="preserve">. </w:t>
      </w:r>
    </w:p>
    <w:p w14:paraId="62042E77" w14:textId="77777777" w:rsidR="00992441" w:rsidRPr="00375F26" w:rsidRDefault="00992441" w:rsidP="00992441">
      <w:pPr>
        <w:autoSpaceDE w:val="0"/>
        <w:autoSpaceDN w:val="0"/>
        <w:adjustRightInd w:val="0"/>
        <w:jc w:val="both"/>
        <w:rPr>
          <w:color w:val="000000"/>
          <w:szCs w:val="24"/>
        </w:rPr>
      </w:pPr>
      <w:r w:rsidRPr="00375F26">
        <w:rPr>
          <w:color w:val="000000"/>
          <w:szCs w:val="24"/>
        </w:rPr>
        <w:t>Úrad v roku 2024 posudzoval zmeny v prevádzkových predpisoch Limity a podmienky bezpečnej prevádzky JZ IS RAO, Odôvodnenia pre limity a podmienky bezpečnej prevádzky JZ IS RAO a vydal súhlas na realizáciu zmeny v prevádzkových predpisoch Predprevádzková bezpečnostná správa pre JZ IS RAO v lokalite Bohunice, Plán nakladania s rádioaktívnymi odpadmi JZ IS RAO a Technologický predpis pre JZ IS RAO.</w:t>
      </w:r>
    </w:p>
    <w:p w14:paraId="5D397E0D" w14:textId="55777D1F" w:rsidR="00992441" w:rsidRPr="00375F26" w:rsidRDefault="00992441" w:rsidP="00992441">
      <w:pPr>
        <w:autoSpaceDE w:val="0"/>
        <w:autoSpaceDN w:val="0"/>
        <w:adjustRightInd w:val="0"/>
        <w:jc w:val="both"/>
        <w:rPr>
          <w:color w:val="000000"/>
          <w:szCs w:val="24"/>
        </w:rPr>
      </w:pPr>
      <w:r w:rsidRPr="00375F26">
        <w:rPr>
          <w:color w:val="000000"/>
          <w:szCs w:val="24"/>
        </w:rPr>
        <w:t>Počas roka 2024 bola inšpekčná činnosť zameraná na kontrolu spôsobu preberania RAO na skladovanie, na kontrolu evidencie stavu RAO v IS RAO. Úrad sa taktiež zameral na kontrolu plnenia požiadaviek na bezpečnú prevádzku zariadení v súlade s prevádzkovou dokumentáciou.</w:t>
      </w:r>
    </w:p>
    <w:p w14:paraId="2A77A20F" w14:textId="77777777" w:rsidR="00446944" w:rsidRPr="00375F26" w:rsidRDefault="00446944" w:rsidP="00446944">
      <w:pPr>
        <w:jc w:val="both"/>
        <w:rPr>
          <w:color w:val="000000"/>
          <w:szCs w:val="24"/>
        </w:rPr>
      </w:pPr>
    </w:p>
    <w:p w14:paraId="4A90E713" w14:textId="77777777" w:rsidR="00446944" w:rsidRPr="00375F26" w:rsidRDefault="00446944" w:rsidP="00446944">
      <w:pPr>
        <w:jc w:val="both"/>
        <w:rPr>
          <w:b/>
          <w:bCs/>
          <w:i/>
          <w:iCs/>
          <w:color w:val="000000"/>
          <w:szCs w:val="24"/>
        </w:rPr>
      </w:pPr>
      <w:r w:rsidRPr="00375F26">
        <w:rPr>
          <w:b/>
          <w:bCs/>
          <w:i/>
          <w:iCs/>
          <w:color w:val="000000"/>
          <w:szCs w:val="24"/>
        </w:rPr>
        <w:t>Záver:</w:t>
      </w:r>
    </w:p>
    <w:p w14:paraId="3793A3A3" w14:textId="7F625AF2" w:rsidR="00992441" w:rsidRPr="00375F26" w:rsidRDefault="00992441" w:rsidP="00446944">
      <w:pPr>
        <w:autoSpaceDE w:val="0"/>
        <w:autoSpaceDN w:val="0"/>
        <w:adjustRightInd w:val="0"/>
        <w:jc w:val="both"/>
        <w:rPr>
          <w:b/>
          <w:i/>
          <w:iCs/>
        </w:rPr>
      </w:pPr>
      <w:r w:rsidRPr="00375F26">
        <w:rPr>
          <w:b/>
          <w:i/>
          <w:iCs/>
        </w:rPr>
        <w:t>Na základe výsledkov inšpekčnej činnosti bola v roku 2024 prevádzka IS RAO hodnotená ako bezpečná.</w:t>
      </w:r>
    </w:p>
    <w:p w14:paraId="162FC9FD" w14:textId="77777777" w:rsidR="00FF48A0" w:rsidRPr="00375F26" w:rsidRDefault="00FF48A0" w:rsidP="00DE59BD">
      <w:pPr>
        <w:jc w:val="both"/>
        <w:rPr>
          <w:b/>
          <w:bCs/>
          <w:i/>
          <w:iCs/>
          <w:color w:val="000000"/>
          <w:szCs w:val="24"/>
        </w:rPr>
      </w:pPr>
    </w:p>
    <w:p w14:paraId="457600BA" w14:textId="77777777" w:rsidR="007F2381" w:rsidRPr="00375F26" w:rsidRDefault="007F2381" w:rsidP="007F2381">
      <w:pPr>
        <w:jc w:val="both"/>
        <w:rPr>
          <w:b/>
          <w:i/>
          <w:iCs/>
        </w:rPr>
      </w:pPr>
      <w:r w:rsidRPr="00375F26">
        <w:rPr>
          <w:b/>
          <w:i/>
          <w:iCs/>
        </w:rPr>
        <w:t>f) Prepravy rádioaktívnych odpadov</w:t>
      </w:r>
    </w:p>
    <w:p w14:paraId="4D1256E4" w14:textId="234F28BF" w:rsidR="00992441" w:rsidRPr="00375F26" w:rsidRDefault="00992441" w:rsidP="00992441">
      <w:pPr>
        <w:autoSpaceDE w:val="0"/>
        <w:autoSpaceDN w:val="0"/>
        <w:adjustRightInd w:val="0"/>
        <w:jc w:val="both"/>
        <w:rPr>
          <w:color w:val="000000"/>
          <w:szCs w:val="24"/>
        </w:rPr>
      </w:pPr>
      <w:bookmarkStart w:id="40" w:name="_Hlk157433922"/>
      <w:r w:rsidRPr="00375F26">
        <w:rPr>
          <w:color w:val="000000"/>
          <w:szCs w:val="24"/>
        </w:rPr>
        <w:t>ÚJD SR priebežným typovým schvaľovaním prepravných zariadení, vydávaním povolení na prepravu a schvaľovaním medzinárodných prepráv v zmysle smernice Rady 2006/117/</w:t>
      </w:r>
      <w:r w:rsidR="008D7D1C">
        <w:rPr>
          <w:color w:val="000000"/>
          <w:szCs w:val="24"/>
        </w:rPr>
        <w:t xml:space="preserve"> </w:t>
      </w:r>
      <w:r w:rsidRPr="00375F26">
        <w:rPr>
          <w:color w:val="000000"/>
          <w:szCs w:val="24"/>
        </w:rPr>
        <w:t>o dozore a kontrole pri preprave RAO a VJP vytváral podmienky na udržanie fungujúceho a bezpečného systému za účelom zabezpečenia potrebných prepráv RAO medzi jednotlivými technológiami a JZ, ako aj dovozmi RAO za účelom ich spracovania na spracovateľských linkách TSÚ RAO a spätnými prepravami produktov spracovania do krajín pôvodu RAO.</w:t>
      </w:r>
    </w:p>
    <w:p w14:paraId="539C539A" w14:textId="422C202F" w:rsidR="00992441" w:rsidRPr="00375F26" w:rsidRDefault="00992441" w:rsidP="00992441">
      <w:pPr>
        <w:autoSpaceDE w:val="0"/>
        <w:autoSpaceDN w:val="0"/>
        <w:adjustRightInd w:val="0"/>
        <w:jc w:val="both"/>
        <w:rPr>
          <w:color w:val="000000"/>
          <w:szCs w:val="24"/>
        </w:rPr>
      </w:pPr>
      <w:r w:rsidRPr="00375F26">
        <w:rPr>
          <w:color w:val="000000"/>
          <w:szCs w:val="24"/>
        </w:rPr>
        <w:t xml:space="preserve">Konkrétne v roku 2024 ÚJD SR vydal na základe žiadostí a po posúdení predloženej dokumentácie spoločnosti JAVYS, a. s., povolenie na cestnú prepravu kombinovaným spôsobom  v prepravnom zariadení typu </w:t>
      </w:r>
      <w:proofErr w:type="spellStart"/>
      <w:r w:rsidRPr="00375F26">
        <w:rPr>
          <w:color w:val="000000"/>
          <w:szCs w:val="24"/>
        </w:rPr>
        <w:t>vláknobetónový</w:t>
      </w:r>
      <w:proofErr w:type="spellEnd"/>
      <w:r w:rsidRPr="00375F26">
        <w:rPr>
          <w:color w:val="000000"/>
          <w:szCs w:val="24"/>
        </w:rPr>
        <w:t xml:space="preserve"> kontajner FRC AS IP pre podmienky zásielky typu A </w:t>
      </w:r>
      <w:proofErr w:type="spellStart"/>
      <w:r w:rsidRPr="00375F26">
        <w:rPr>
          <w:color w:val="000000"/>
          <w:szCs w:val="24"/>
        </w:rPr>
        <w:t>a</w:t>
      </w:r>
      <w:proofErr w:type="spellEnd"/>
      <w:r w:rsidRPr="00375F26">
        <w:rPr>
          <w:color w:val="000000"/>
          <w:szCs w:val="24"/>
        </w:rPr>
        <w:t xml:space="preserve"> na cestnú prepravu rádioaktívnych materiálov v prepravnom zariadení typu kontajner PK/SK pre podmienky zásielky typu A.</w:t>
      </w:r>
    </w:p>
    <w:p w14:paraId="2F400E91" w14:textId="77777777" w:rsidR="00992441" w:rsidRPr="00375F26" w:rsidRDefault="00992441" w:rsidP="00992441">
      <w:pPr>
        <w:autoSpaceDE w:val="0"/>
        <w:autoSpaceDN w:val="0"/>
        <w:adjustRightInd w:val="0"/>
        <w:jc w:val="both"/>
        <w:rPr>
          <w:color w:val="000000"/>
          <w:szCs w:val="24"/>
        </w:rPr>
      </w:pPr>
      <w:r w:rsidRPr="00375F26">
        <w:rPr>
          <w:color w:val="000000"/>
          <w:szCs w:val="24"/>
        </w:rPr>
        <w:t xml:space="preserve">Zároveň bolo typovo schválené prepravné zariadenie kontajner ISO 20ʹ pre podmienky priemyselnej zásielky typu 2 (PZ-2) a prepravné zariadenie typu PK90 pre podmienky zásielky typu B(U). </w:t>
      </w:r>
    </w:p>
    <w:p w14:paraId="477B9F6D" w14:textId="77777777" w:rsidR="00992441" w:rsidRPr="00375F26" w:rsidRDefault="00992441" w:rsidP="00992441">
      <w:pPr>
        <w:autoSpaceDE w:val="0"/>
        <w:autoSpaceDN w:val="0"/>
        <w:adjustRightInd w:val="0"/>
        <w:jc w:val="both"/>
        <w:rPr>
          <w:color w:val="000000"/>
          <w:szCs w:val="24"/>
        </w:rPr>
      </w:pPr>
      <w:r w:rsidRPr="00375F26">
        <w:rPr>
          <w:color w:val="000000"/>
          <w:szCs w:val="24"/>
        </w:rPr>
        <w:t xml:space="preserve">V oblasti medzinárodných prepráv RAO úrad v priebehu roku 2024 nevydal nové povolenie na prepravu RAO a ani dovoz RAO. Úrad kontroloval a vyhodnocoval plnenie požiadaviek na predkladanie oddielu A-6 štandardného dokumentu v súvislosti s realizáciou medzinárodnej prepravy RAO z Českej republiky za účelom ich spracovania </w:t>
      </w:r>
      <w:proofErr w:type="spellStart"/>
      <w:r w:rsidRPr="00375F26">
        <w:rPr>
          <w:color w:val="000000"/>
          <w:szCs w:val="24"/>
        </w:rPr>
        <w:t>vysokotlakým</w:t>
      </w:r>
      <w:proofErr w:type="spellEnd"/>
      <w:r w:rsidRPr="00375F26">
        <w:rPr>
          <w:color w:val="000000"/>
          <w:szCs w:val="24"/>
        </w:rPr>
        <w:t xml:space="preserve"> lisovaním v TSÚ RAO.</w:t>
      </w:r>
    </w:p>
    <w:p w14:paraId="09ADCA60" w14:textId="6C9FEEC3" w:rsidR="00992441" w:rsidRPr="00375F26" w:rsidRDefault="00992441" w:rsidP="00992441">
      <w:pPr>
        <w:autoSpaceDE w:val="0"/>
        <w:autoSpaceDN w:val="0"/>
        <w:adjustRightInd w:val="0"/>
        <w:jc w:val="both"/>
        <w:rPr>
          <w:color w:val="000000"/>
          <w:szCs w:val="24"/>
        </w:rPr>
      </w:pPr>
      <w:r w:rsidRPr="00375F26">
        <w:rPr>
          <w:color w:val="000000"/>
          <w:szCs w:val="24"/>
        </w:rPr>
        <w:t>Inšpekčná činnosť v oblasti prepráv RAO a dovozov RAO bola zameraná na kontrolu platnosti povolení, správnosti sprievodnej dokumentácie, evidencie prepravovaných RAO a spôsobu plnenia limitných hodnôt pre vybrané bezpečnostné parametre prepravy.</w:t>
      </w:r>
    </w:p>
    <w:bookmarkEnd w:id="40"/>
    <w:p w14:paraId="468EEA73" w14:textId="77777777" w:rsidR="00446944" w:rsidRPr="00375F26" w:rsidRDefault="00446944" w:rsidP="00446944">
      <w:pPr>
        <w:autoSpaceDE w:val="0"/>
        <w:autoSpaceDN w:val="0"/>
        <w:adjustRightInd w:val="0"/>
        <w:jc w:val="both"/>
        <w:rPr>
          <w:b/>
          <w:i/>
          <w:iCs/>
          <w:color w:val="000000"/>
          <w:szCs w:val="24"/>
        </w:rPr>
      </w:pPr>
    </w:p>
    <w:p w14:paraId="73C52181" w14:textId="77777777" w:rsidR="00446944" w:rsidRPr="00375F26" w:rsidRDefault="00446944" w:rsidP="00446944">
      <w:pPr>
        <w:autoSpaceDE w:val="0"/>
        <w:autoSpaceDN w:val="0"/>
        <w:adjustRightInd w:val="0"/>
        <w:jc w:val="both"/>
        <w:rPr>
          <w:b/>
          <w:i/>
          <w:iCs/>
          <w:color w:val="000000"/>
          <w:szCs w:val="24"/>
        </w:rPr>
      </w:pPr>
      <w:r w:rsidRPr="00375F26">
        <w:rPr>
          <w:b/>
          <w:i/>
          <w:iCs/>
          <w:color w:val="000000"/>
          <w:szCs w:val="24"/>
        </w:rPr>
        <w:t>Záver:</w:t>
      </w:r>
    </w:p>
    <w:p w14:paraId="39D64288" w14:textId="03467784" w:rsidR="003E535A" w:rsidRDefault="00992441" w:rsidP="009B33A2">
      <w:pPr>
        <w:autoSpaceDE w:val="0"/>
        <w:autoSpaceDN w:val="0"/>
        <w:adjustRightInd w:val="0"/>
        <w:jc w:val="both"/>
        <w:rPr>
          <w:b/>
          <w:i/>
          <w:iCs/>
          <w:color w:val="000000"/>
          <w:szCs w:val="24"/>
        </w:rPr>
      </w:pPr>
      <w:r w:rsidRPr="00375F26">
        <w:rPr>
          <w:b/>
          <w:i/>
          <w:iCs/>
          <w:color w:val="000000"/>
          <w:szCs w:val="24"/>
        </w:rPr>
        <w:t>Na základe výsledkov kontrolnej činnosti úradu bola v roku 2024 oblasť prepráv RAO vrátane medzinárodných prepráv RAO hodnotená ako bezpečná. Prepravy RAO sa uskutočnili v súlade s plánmi prepráv a v zmysle vyhlášky ÚJD SR č. 57/2006 Z. z. Všetky prepravy RAO boli pred realizáciou oznámené a následne vyhodnotené.</w:t>
      </w:r>
    </w:p>
    <w:p w14:paraId="4163A665" w14:textId="77777777" w:rsidR="00DE7B1E" w:rsidRDefault="00DE7B1E" w:rsidP="009B33A2">
      <w:pPr>
        <w:autoSpaceDE w:val="0"/>
        <w:autoSpaceDN w:val="0"/>
        <w:adjustRightInd w:val="0"/>
        <w:jc w:val="both"/>
        <w:rPr>
          <w:b/>
          <w:i/>
          <w:iCs/>
          <w:color w:val="000000"/>
          <w:szCs w:val="24"/>
        </w:rPr>
      </w:pPr>
    </w:p>
    <w:p w14:paraId="58941F19" w14:textId="562406D0" w:rsidR="003E535A" w:rsidRPr="003E535A" w:rsidRDefault="003E535A" w:rsidP="003E535A">
      <w:pPr>
        <w:pStyle w:val="Nadpis3"/>
        <w:tabs>
          <w:tab w:val="clear" w:pos="1440"/>
          <w:tab w:val="num" w:pos="709"/>
        </w:tabs>
        <w:ind w:left="357" w:hanging="357"/>
        <w:rPr>
          <w:color w:val="000000" w:themeColor="text1"/>
        </w:rPr>
      </w:pPr>
      <w:bookmarkStart w:id="41" w:name="_Toc193697652"/>
      <w:r>
        <w:rPr>
          <w:color w:val="000000" w:themeColor="text1"/>
        </w:rPr>
        <w:lastRenderedPageBreak/>
        <w:t>Jadrové materiály</w:t>
      </w:r>
      <w:bookmarkEnd w:id="41"/>
    </w:p>
    <w:p w14:paraId="4579E3F0" w14:textId="77777777" w:rsidR="003E535A" w:rsidRPr="00203415" w:rsidRDefault="003E535A" w:rsidP="003E535A">
      <w:pPr>
        <w:jc w:val="both"/>
        <w:rPr>
          <w:lang w:val="x-none" w:eastAsia="cs-CZ"/>
        </w:rPr>
      </w:pPr>
    </w:p>
    <w:p w14:paraId="702A5091" w14:textId="77777777" w:rsidR="003E535A" w:rsidRPr="00F229CB" w:rsidRDefault="003E535A" w:rsidP="003E535A">
      <w:pPr>
        <w:pStyle w:val="Nadpis4"/>
        <w:ind w:hanging="1728"/>
        <w:rPr>
          <w:b w:val="0"/>
          <w:u w:val="single"/>
        </w:rPr>
      </w:pPr>
      <w:bookmarkStart w:id="42" w:name="_Toc193697653"/>
      <w:r w:rsidRPr="00F229CB">
        <w:rPr>
          <w:b w:val="0"/>
          <w:u w:val="single"/>
        </w:rPr>
        <w:t>Evidencia a kontrola jadrových materiálov</w:t>
      </w:r>
      <w:bookmarkEnd w:id="42"/>
    </w:p>
    <w:p w14:paraId="2261B779" w14:textId="77777777" w:rsidR="003E535A" w:rsidRPr="00375F26" w:rsidRDefault="003E535A" w:rsidP="003E535A">
      <w:pPr>
        <w:jc w:val="both"/>
        <w:rPr>
          <w:rFonts w:eastAsia="Calibri"/>
          <w:lang w:eastAsia="en-US"/>
        </w:rPr>
      </w:pPr>
    </w:p>
    <w:p w14:paraId="7C0F53F8" w14:textId="77777777" w:rsidR="00B93CC8" w:rsidRPr="00375F26" w:rsidRDefault="00B93CC8" w:rsidP="00B93CC8">
      <w:pPr>
        <w:jc w:val="both"/>
        <w:rPr>
          <w:color w:val="000000"/>
          <w:szCs w:val="24"/>
        </w:rPr>
      </w:pPr>
      <w:r w:rsidRPr="00375F26">
        <w:rPr>
          <w:color w:val="000000"/>
          <w:szCs w:val="24"/>
        </w:rPr>
        <w:t>ÚJD SR je štátnym orgánom zodpovedným za výkon dozorných činností v oblasti mierového využívania jadrovej energie. JM sa v Slovenskej republike môžu používať iba na mierové účely a v súlade s povolením na činnosti, ktoré ÚJD SR vydáva len tým žiadateľom, ktorí preukážu schopnosť nakladať s JM v zmysle platných právnych predpisov a medzinárodných záväzkov SR.</w:t>
      </w:r>
    </w:p>
    <w:p w14:paraId="731555F0" w14:textId="77777777" w:rsidR="00B93CC8" w:rsidRPr="00375F26" w:rsidRDefault="00B93CC8" w:rsidP="00B93CC8">
      <w:pPr>
        <w:jc w:val="both"/>
        <w:rPr>
          <w:color w:val="000000"/>
          <w:szCs w:val="24"/>
        </w:rPr>
      </w:pPr>
      <w:r w:rsidRPr="00375F26">
        <w:rPr>
          <w:color w:val="000000"/>
          <w:szCs w:val="24"/>
        </w:rPr>
        <w:t xml:space="preserve">Prijať záruky na JM Slovenskú republiku zaväzuje Zmluva o nešírení jadrových zbraní a z nej vyplývajúca Dohoda o implementácii článku III. ods. 1 a 4  Zmluvy o nešírení jadrových zbraní a jej Dodatkový protokol. Zároveň je prijatie záruk na JM prvým základným krokom k mierovému využívaniu jadrovej energie. V oblasti záruk na JM  je dôležitým nástrojom štátny systém evidencie a kontroly JM, ktorý vedie ÚJD SR v zmysle atómového zákona. </w:t>
      </w:r>
    </w:p>
    <w:p w14:paraId="148EDA57" w14:textId="639F663E" w:rsidR="00B93CC8" w:rsidRPr="00375F26" w:rsidRDefault="00B93CC8" w:rsidP="00B93CC8">
      <w:pPr>
        <w:jc w:val="both"/>
        <w:rPr>
          <w:color w:val="000000"/>
          <w:szCs w:val="24"/>
        </w:rPr>
      </w:pPr>
      <w:r w:rsidRPr="00375F26">
        <w:rPr>
          <w:color w:val="000000"/>
          <w:szCs w:val="24"/>
        </w:rPr>
        <w:t xml:space="preserve">Okrem požiadaviek Dohody o implementácii záruk na JM a jej Dodatkového protokolu je SR viazaná aj požiadavkami legislatívy EÚ vyplývajúcimi zo Zmluvy </w:t>
      </w:r>
      <w:proofErr w:type="spellStart"/>
      <w:r w:rsidRPr="00375F26">
        <w:rPr>
          <w:color w:val="000000"/>
          <w:szCs w:val="24"/>
        </w:rPr>
        <w:t>Euratom</w:t>
      </w:r>
      <w:proofErr w:type="spellEnd"/>
      <w:r w:rsidRPr="00375F26">
        <w:rPr>
          <w:color w:val="000000"/>
          <w:szCs w:val="24"/>
        </w:rPr>
        <w:t xml:space="preserve"> a s ňou súvisiacimi právnymi predpismi</w:t>
      </w:r>
      <w:r w:rsidR="00DB5FFE">
        <w:rPr>
          <w:color w:val="000000"/>
          <w:szCs w:val="24"/>
        </w:rPr>
        <w:t>,</w:t>
      </w:r>
      <w:r w:rsidRPr="00375F26">
        <w:rPr>
          <w:color w:val="000000"/>
          <w:szCs w:val="24"/>
        </w:rPr>
        <w:t xml:space="preserve"> ako je Nariadenie Komisie (</w:t>
      </w:r>
      <w:proofErr w:type="spellStart"/>
      <w:r w:rsidRPr="00375F26">
        <w:rPr>
          <w:color w:val="000000"/>
          <w:szCs w:val="24"/>
        </w:rPr>
        <w:t>Euratom</w:t>
      </w:r>
      <w:proofErr w:type="spellEnd"/>
      <w:r w:rsidRPr="00375F26">
        <w:rPr>
          <w:color w:val="000000"/>
          <w:szCs w:val="24"/>
        </w:rPr>
        <w:t xml:space="preserve">) č. 302/2005 o uplatňovaní systému záruk  </w:t>
      </w:r>
      <w:proofErr w:type="spellStart"/>
      <w:r w:rsidRPr="00375F26">
        <w:rPr>
          <w:color w:val="000000"/>
          <w:szCs w:val="24"/>
        </w:rPr>
        <w:t>Euratomu</w:t>
      </w:r>
      <w:proofErr w:type="spellEnd"/>
      <w:r w:rsidRPr="00375F26">
        <w:rPr>
          <w:color w:val="000000"/>
          <w:szCs w:val="24"/>
        </w:rPr>
        <w:t xml:space="preserve">. Taktiež Rezolúcia bezpečnostnej rady OSN č. 1540/2004  zaväzuje v oblasti využívania jadrovej energie členské štáty OSN k prijatiu transparentných opatrení na zvýšenie kontroly nešírenia jadrových zbraní. Cieľom týchto opatrení je zabrániť nezákonnému obchodovaniu s JM a ďalšími jadrovými položkami. </w:t>
      </w:r>
    </w:p>
    <w:p w14:paraId="475B02B6" w14:textId="1D11C619" w:rsidR="00B93CC8" w:rsidRPr="00375F26" w:rsidRDefault="00B93CC8" w:rsidP="00B93CC8">
      <w:pPr>
        <w:jc w:val="both"/>
        <w:rPr>
          <w:color w:val="000000"/>
          <w:szCs w:val="24"/>
        </w:rPr>
      </w:pPr>
      <w:r w:rsidRPr="00375F26">
        <w:rPr>
          <w:color w:val="000000"/>
          <w:szCs w:val="24"/>
        </w:rPr>
        <w:t>Účelom štátneho systému evidencie a kontroly JM v SR je veden</w:t>
      </w:r>
      <w:r w:rsidR="00DB5FFE">
        <w:rPr>
          <w:color w:val="000000"/>
          <w:szCs w:val="24"/>
        </w:rPr>
        <w:t>ie</w:t>
      </w:r>
      <w:r w:rsidRPr="00375F26">
        <w:rPr>
          <w:color w:val="000000"/>
          <w:szCs w:val="24"/>
        </w:rPr>
        <w:t xml:space="preserve"> evidencie všetkých JM deklarovaných na území SR potvrdzovať súlad medzi deklarovanými údajmi a skutočným stavom, odhaľovať straty JM, poskytnúť informácie, ktoré by mohli viesť k opätovnému získaniu chýbajúcich JM, predchádzať neoprávnenému využívaniu JM, spolupracovať pri odhaľovaní neoprávneného využívania JM a poskytnúť aktuálne informácie o počte a umiestnení JM v SR. Správnosť údajov vedených v štátnom systéme evidencie JM je overovaná inšpekčnou činnosťou.  </w:t>
      </w:r>
    </w:p>
    <w:p w14:paraId="0983E86C" w14:textId="77777777" w:rsidR="00B93CC8" w:rsidRPr="00375F26" w:rsidRDefault="00B93CC8" w:rsidP="00B93CC8">
      <w:pPr>
        <w:jc w:val="both"/>
        <w:rPr>
          <w:color w:val="000000"/>
          <w:szCs w:val="24"/>
        </w:rPr>
      </w:pPr>
      <w:r w:rsidRPr="00375F26">
        <w:rPr>
          <w:color w:val="000000"/>
          <w:szCs w:val="24"/>
        </w:rPr>
        <w:t xml:space="preserve">Efektívny systém evidencie a kontroly JM je základom pre nezávislé overenie JM na území SR inšpektormi ÚJD SR, MAAE a </w:t>
      </w:r>
      <w:proofErr w:type="spellStart"/>
      <w:r w:rsidRPr="00375F26">
        <w:rPr>
          <w:color w:val="000000"/>
          <w:szCs w:val="24"/>
        </w:rPr>
        <w:t>Euratomu</w:t>
      </w:r>
      <w:proofErr w:type="spellEnd"/>
      <w:r w:rsidRPr="00375F26">
        <w:rPr>
          <w:color w:val="000000"/>
          <w:szCs w:val="24"/>
        </w:rPr>
        <w:t>. Toto overenie potvrdzuje, že JM sa používajú ako bolo deklarované  a zároveň nedošlo k ich diverzii na iné ako mierové účely.</w:t>
      </w:r>
    </w:p>
    <w:p w14:paraId="247824B8" w14:textId="587D218E" w:rsidR="00B93CC8" w:rsidRPr="00375F26" w:rsidRDefault="00B93CC8" w:rsidP="00B93CC8">
      <w:pPr>
        <w:jc w:val="both"/>
        <w:rPr>
          <w:color w:val="000000"/>
          <w:szCs w:val="24"/>
        </w:rPr>
      </w:pPr>
      <w:r w:rsidRPr="00375F26">
        <w:rPr>
          <w:color w:val="000000"/>
          <w:szCs w:val="24"/>
        </w:rPr>
        <w:t>Výkon inšpekčnej činnosti v oblasti evidencie a kontroly JM prebieha od 1.</w:t>
      </w:r>
      <w:r w:rsidR="00F642BF">
        <w:rPr>
          <w:color w:val="000000"/>
          <w:szCs w:val="24"/>
        </w:rPr>
        <w:t xml:space="preserve"> </w:t>
      </w:r>
      <w:r w:rsidRPr="00375F26">
        <w:rPr>
          <w:color w:val="000000"/>
          <w:szCs w:val="24"/>
        </w:rPr>
        <w:t>9.</w:t>
      </w:r>
      <w:r w:rsidR="00F642BF">
        <w:rPr>
          <w:color w:val="000000"/>
          <w:szCs w:val="24"/>
        </w:rPr>
        <w:t xml:space="preserve"> </w:t>
      </w:r>
      <w:r w:rsidRPr="00375F26">
        <w:rPr>
          <w:color w:val="000000"/>
          <w:szCs w:val="24"/>
        </w:rPr>
        <w:t xml:space="preserve">2009 v režime Integrovaných záruk, ktoré sú optimálnou a efektívnou kombináciou všetkých </w:t>
      </w:r>
      <w:proofErr w:type="spellStart"/>
      <w:r w:rsidRPr="00375F26">
        <w:rPr>
          <w:color w:val="000000"/>
          <w:szCs w:val="24"/>
        </w:rPr>
        <w:t>zárukových</w:t>
      </w:r>
      <w:proofErr w:type="spellEnd"/>
      <w:r w:rsidRPr="00375F26">
        <w:rPr>
          <w:color w:val="000000"/>
          <w:szCs w:val="24"/>
        </w:rPr>
        <w:t xml:space="preserve"> aktivít vykonávaných v súlade s právnym rámcom. </w:t>
      </w:r>
    </w:p>
    <w:p w14:paraId="30256423" w14:textId="77777777" w:rsidR="00B93CC8" w:rsidRPr="00375F26" w:rsidRDefault="00B93CC8" w:rsidP="00B93CC8">
      <w:pPr>
        <w:jc w:val="both"/>
        <w:rPr>
          <w:color w:val="000000"/>
          <w:szCs w:val="24"/>
        </w:rPr>
      </w:pPr>
      <w:r w:rsidRPr="00375F26">
        <w:rPr>
          <w:color w:val="000000"/>
          <w:szCs w:val="24"/>
        </w:rPr>
        <w:t xml:space="preserve">V roku 2020 bola schválená koncepcia „State Level </w:t>
      </w:r>
      <w:proofErr w:type="spellStart"/>
      <w:r w:rsidRPr="00375F26">
        <w:rPr>
          <w:color w:val="000000"/>
          <w:szCs w:val="24"/>
        </w:rPr>
        <w:t>Approach</w:t>
      </w:r>
      <w:proofErr w:type="spellEnd"/>
      <w:r w:rsidRPr="00375F26">
        <w:rPr>
          <w:color w:val="000000"/>
          <w:szCs w:val="24"/>
        </w:rPr>
        <w:t xml:space="preserve">“ pre Slovenskú republiku. Koncepcia „SLA“  je ďalšia úroveň prístupu MAAE, v ktorom MAAE zvažuje a hodnotí širokú škálu informácií o jadrových kapacitách štátu a výsledkom daného hodnotenia prispôsobuje </w:t>
      </w:r>
      <w:proofErr w:type="spellStart"/>
      <w:r w:rsidRPr="00375F26">
        <w:rPr>
          <w:color w:val="000000"/>
          <w:szCs w:val="24"/>
        </w:rPr>
        <w:t>zárukové</w:t>
      </w:r>
      <w:proofErr w:type="spellEnd"/>
      <w:r w:rsidRPr="00375F26">
        <w:rPr>
          <w:color w:val="000000"/>
          <w:szCs w:val="24"/>
        </w:rPr>
        <w:t xml:space="preserve"> postupy aplikované v danom štáte. Implementácia tohto prístupu umožní MAAE lepšie alokovať zdroje a zamerať svoje úsilie na štáty s akýmkoľvek podozrením týkajúcim sa záruk na jadrový materiál.</w:t>
      </w:r>
    </w:p>
    <w:p w14:paraId="257F5C85" w14:textId="77777777" w:rsidR="00B93CC8" w:rsidRPr="00375F26" w:rsidRDefault="00B93CC8" w:rsidP="00B93CC8">
      <w:pPr>
        <w:jc w:val="both"/>
        <w:rPr>
          <w:color w:val="000000"/>
          <w:szCs w:val="24"/>
        </w:rPr>
      </w:pPr>
      <w:r w:rsidRPr="00375F26">
        <w:rPr>
          <w:color w:val="000000"/>
          <w:szCs w:val="24"/>
        </w:rPr>
        <w:t xml:space="preserve">V rámci výkonu inšpekčnej činnosti v oblasti evidencie a kontroly JM ÚJD SR vykonal v roku 2024 40 inšpekcií. Inšpekcie na jadrových zariadeniach boli vykonané za prítomnosti medzinárodných inšpektorov. Výnimkou sú zvyčajne inšpekcie zamerané na kontrolu zavezenia aktívnej zóny reaktora. V prípade inšpekcií u držiteľov povolení na nakladanie s JM mimo JZ bolo za prítomnosti medzinárodných inšpektorov vykonaných 6 inšpekcií. Ostatné inšpekcie boli vykonané ako samostatné inšpekcie ÚJD SR.  </w:t>
      </w:r>
    </w:p>
    <w:p w14:paraId="220D30F0" w14:textId="0FCDA13C" w:rsidR="00B93CC8" w:rsidRPr="00375F26" w:rsidRDefault="00B93CC8" w:rsidP="00B93CC8">
      <w:pPr>
        <w:jc w:val="both"/>
        <w:rPr>
          <w:color w:val="000000"/>
          <w:szCs w:val="24"/>
        </w:rPr>
      </w:pPr>
      <w:r w:rsidRPr="00375F26">
        <w:rPr>
          <w:color w:val="000000"/>
          <w:szCs w:val="24"/>
        </w:rPr>
        <w:t>Činnosť ÚJD SR zahŕňa aj kontrolu a spracovanie evidenčných hlásení zaslaných na ÚJD SR držiteľmi povolení. Tieto sú vkladané do štátneho systému evidencie JM, pričom je vykonaná aj kontrola správnosti údajov. Za oblasť materiálovej bilancie jadrového materiálu</w:t>
      </w:r>
      <w:r w:rsidR="00DB5FFE">
        <w:rPr>
          <w:color w:val="000000"/>
          <w:szCs w:val="24"/>
        </w:rPr>
        <w:t>,</w:t>
      </w:r>
      <w:r w:rsidRPr="00375F26">
        <w:rPr>
          <w:color w:val="000000"/>
          <w:szCs w:val="24"/>
        </w:rPr>
        <w:t xml:space="preserve"> zastrešujúcu </w:t>
      </w:r>
      <w:r w:rsidRPr="00375F26">
        <w:rPr>
          <w:color w:val="000000"/>
          <w:szCs w:val="24"/>
        </w:rPr>
        <w:lastRenderedPageBreak/>
        <w:t>držiteľov povolení na nakladanie s JM mimo JZ</w:t>
      </w:r>
      <w:r w:rsidR="00DB5FFE">
        <w:rPr>
          <w:color w:val="000000"/>
          <w:szCs w:val="24"/>
        </w:rPr>
        <w:t>,</w:t>
      </w:r>
      <w:r w:rsidRPr="00375F26">
        <w:rPr>
          <w:color w:val="000000"/>
          <w:szCs w:val="24"/>
        </w:rPr>
        <w:t xml:space="preserve"> ÚJD SR každý mesiac zasiela evidenčné správy do </w:t>
      </w:r>
      <w:proofErr w:type="spellStart"/>
      <w:r w:rsidRPr="00375F26">
        <w:rPr>
          <w:color w:val="000000"/>
          <w:szCs w:val="24"/>
        </w:rPr>
        <w:t>Euratomu</w:t>
      </w:r>
      <w:proofErr w:type="spellEnd"/>
      <w:r w:rsidRPr="00375F26">
        <w:rPr>
          <w:color w:val="000000"/>
          <w:szCs w:val="24"/>
        </w:rPr>
        <w:t>.</w:t>
      </w:r>
    </w:p>
    <w:p w14:paraId="6F1B19C3" w14:textId="4671D3F3" w:rsidR="00B93CC8" w:rsidRPr="00375F26" w:rsidRDefault="00B93CC8" w:rsidP="00B93CC8">
      <w:pPr>
        <w:jc w:val="both"/>
        <w:rPr>
          <w:color w:val="000000"/>
          <w:szCs w:val="24"/>
        </w:rPr>
      </w:pPr>
      <w:r w:rsidRPr="00375F26">
        <w:rPr>
          <w:color w:val="000000"/>
          <w:szCs w:val="24"/>
        </w:rPr>
        <w:t xml:space="preserve">V roku 2024 ÚJD SR spolupracoval aj na zavedení procesu implementácie záruk na jadrové materiály v rámci projektu dobudovania skladovacích kapacít vyhoretého jadrového paliva </w:t>
      </w:r>
      <w:r w:rsidR="00DB5FFE">
        <w:rPr>
          <w:color w:val="000000"/>
          <w:szCs w:val="24"/>
        </w:rPr>
        <w:t xml:space="preserve">a </w:t>
      </w:r>
      <w:r w:rsidRPr="00375F26">
        <w:rPr>
          <w:color w:val="000000"/>
          <w:szCs w:val="24"/>
        </w:rPr>
        <w:t xml:space="preserve">zúčastňoval sa aktivít MAAE a </w:t>
      </w:r>
      <w:proofErr w:type="spellStart"/>
      <w:r w:rsidRPr="00375F26">
        <w:rPr>
          <w:color w:val="000000"/>
          <w:szCs w:val="24"/>
        </w:rPr>
        <w:t>Euratomu</w:t>
      </w:r>
      <w:proofErr w:type="spellEnd"/>
      <w:r w:rsidRPr="00375F26">
        <w:rPr>
          <w:color w:val="000000"/>
          <w:szCs w:val="24"/>
        </w:rPr>
        <w:t xml:space="preserve"> s tým spojený</w:t>
      </w:r>
      <w:r w:rsidR="00DE7B1E">
        <w:rPr>
          <w:color w:val="000000"/>
          <w:szCs w:val="24"/>
        </w:rPr>
        <w:t>ch</w:t>
      </w:r>
      <w:r w:rsidRPr="00375F26">
        <w:rPr>
          <w:color w:val="000000"/>
          <w:szCs w:val="24"/>
        </w:rPr>
        <w:t xml:space="preserve">. </w:t>
      </w:r>
    </w:p>
    <w:p w14:paraId="7DB83EFA" w14:textId="77777777" w:rsidR="00B93CC8" w:rsidRPr="00375F26" w:rsidRDefault="00B93CC8" w:rsidP="00B93CC8">
      <w:pPr>
        <w:jc w:val="both"/>
        <w:rPr>
          <w:color w:val="000000"/>
          <w:szCs w:val="24"/>
        </w:rPr>
      </w:pPr>
      <w:r w:rsidRPr="00375F26">
        <w:rPr>
          <w:color w:val="000000"/>
          <w:szCs w:val="24"/>
        </w:rPr>
        <w:t xml:space="preserve">ÚJD SR ďalej v rámci svojich kompetencií zodpovedá aj za včasné zasielanie hlásení vypracovávaných na základe požiadaviek článku 2 Dodatkového protokolu k </w:t>
      </w:r>
      <w:proofErr w:type="spellStart"/>
      <w:r w:rsidRPr="00375F26">
        <w:rPr>
          <w:color w:val="000000"/>
          <w:szCs w:val="24"/>
        </w:rPr>
        <w:t>trilaterálnej</w:t>
      </w:r>
      <w:proofErr w:type="spellEnd"/>
      <w:r w:rsidRPr="00375F26">
        <w:rPr>
          <w:color w:val="000000"/>
          <w:szCs w:val="24"/>
        </w:rPr>
        <w:t xml:space="preserve"> </w:t>
      </w:r>
      <w:proofErr w:type="spellStart"/>
      <w:r w:rsidRPr="00375F26">
        <w:rPr>
          <w:color w:val="000000"/>
          <w:szCs w:val="24"/>
        </w:rPr>
        <w:t>zárukovej</w:t>
      </w:r>
      <w:proofErr w:type="spellEnd"/>
      <w:r w:rsidRPr="00375F26">
        <w:rPr>
          <w:color w:val="000000"/>
          <w:szCs w:val="24"/>
        </w:rPr>
        <w:t xml:space="preserve"> dohode do </w:t>
      </w:r>
      <w:proofErr w:type="spellStart"/>
      <w:r w:rsidRPr="00375F26">
        <w:rPr>
          <w:color w:val="000000"/>
          <w:szCs w:val="24"/>
        </w:rPr>
        <w:t>Euratomu</w:t>
      </w:r>
      <w:proofErr w:type="spellEnd"/>
      <w:r w:rsidRPr="00375F26">
        <w:rPr>
          <w:color w:val="000000"/>
          <w:szCs w:val="24"/>
        </w:rPr>
        <w:t xml:space="preserve"> a MAAE. V roku 2024 ÚJD SR zaslal 10 takýchto hlásení.</w:t>
      </w:r>
    </w:p>
    <w:p w14:paraId="205507D1" w14:textId="77777777" w:rsidR="00B93CC8" w:rsidRPr="00375F26" w:rsidRDefault="00B93CC8" w:rsidP="00B93CC8">
      <w:pPr>
        <w:jc w:val="both"/>
        <w:rPr>
          <w:color w:val="000000"/>
          <w:szCs w:val="24"/>
        </w:rPr>
      </w:pPr>
      <w:r w:rsidRPr="00375F26">
        <w:rPr>
          <w:color w:val="000000"/>
          <w:szCs w:val="24"/>
        </w:rPr>
        <w:t>Tieto hlásenia sú ďalším potvrdením skutočnosti, že na celom území SR sa vykonávajú iba činnosti súvisiace s mierovým využitím jadrovej energie a dodržiavajú sa záväzky v oblasti nešírenia jadrových zbraní.</w:t>
      </w:r>
    </w:p>
    <w:p w14:paraId="79198E4D" w14:textId="77777777" w:rsidR="00B93CC8" w:rsidRPr="00375F26" w:rsidRDefault="00B93CC8" w:rsidP="00B93CC8">
      <w:pPr>
        <w:jc w:val="both"/>
        <w:rPr>
          <w:color w:val="000000"/>
          <w:szCs w:val="24"/>
        </w:rPr>
      </w:pPr>
      <w:r w:rsidRPr="00375F26">
        <w:rPr>
          <w:color w:val="000000"/>
          <w:szCs w:val="24"/>
        </w:rPr>
        <w:t>Podľa §5 ods. 2 písm. n) zákona č. 541/2004 Z. z. o mierovom využívaní jadrovej energie a o zmene a doplnení niektorých zákonov v znení neskorších predpisov ÚJD SR vydáva povolenia na nakladanie s JM mimo jadrového zariadenia. V roku 2024 bolo vydaných 6 takýchto povolení.</w:t>
      </w:r>
    </w:p>
    <w:p w14:paraId="24FC82B8" w14:textId="647514B6" w:rsidR="00B93CC8" w:rsidRPr="00375F26" w:rsidRDefault="00B93CC8" w:rsidP="00B93CC8">
      <w:pPr>
        <w:jc w:val="both"/>
        <w:rPr>
          <w:color w:val="000000"/>
          <w:szCs w:val="24"/>
        </w:rPr>
      </w:pPr>
      <w:r w:rsidRPr="00375F26">
        <w:rPr>
          <w:color w:val="000000"/>
          <w:szCs w:val="24"/>
        </w:rPr>
        <w:t>V roku 2024 ÚJD SR v správnom konaní uložil pokutu pre porušenie § 10 ods. 1 písm. a) atómového zákona v súvislosti s ustanoveniami § 26 ods. 1 atómového zákona, § 9 a § 19 vyhlášky úradu č. 30/2012 Z. z. ktorou sa ustanovujú podrobnosti o požiadavkách pri nakladaní s jadrovými materiálmi, rádioaktívnymi odpadmi a vyhoretým jadrovým palivom v znení vyhlášky úradu č. 101/2016 Z. z. a § 5 vyhlášky úradu č. 54/2006 Z. z. o evidencii a kontrole jadrových materiálov a o oznamovaní vybraných činností a pre porušenie ustanovení § 13 ods. 1 písm. a) atómového zákona. ÚJD SR taktiež v roku 2024 zahájil správne konanie vo veci uloženia pokuty za porušenie ustanovení § 3 ods. 6 atómového zákona  v súvislosti s porušením ustanovení § 5 ods. 1 atómového zákona spočívajúce v porušení zákazu využívať jadrovú energiu bez súhlasu alebo povolenia.</w:t>
      </w:r>
    </w:p>
    <w:p w14:paraId="0D7C15D5" w14:textId="77777777" w:rsidR="003E535A" w:rsidRPr="00375F26" w:rsidRDefault="003E535A" w:rsidP="003E535A">
      <w:pPr>
        <w:autoSpaceDE w:val="0"/>
        <w:autoSpaceDN w:val="0"/>
        <w:adjustRightInd w:val="0"/>
        <w:jc w:val="both"/>
        <w:rPr>
          <w:color w:val="000000"/>
          <w:szCs w:val="24"/>
        </w:rPr>
      </w:pPr>
    </w:p>
    <w:p w14:paraId="6C5E36C9" w14:textId="77777777" w:rsidR="003E535A" w:rsidRPr="00375F26" w:rsidRDefault="003E535A" w:rsidP="003E535A">
      <w:pPr>
        <w:autoSpaceDE w:val="0"/>
        <w:autoSpaceDN w:val="0"/>
        <w:adjustRightInd w:val="0"/>
        <w:jc w:val="both"/>
        <w:rPr>
          <w:b/>
          <w:i/>
          <w:iCs/>
        </w:rPr>
      </w:pPr>
      <w:r w:rsidRPr="00375F26">
        <w:rPr>
          <w:b/>
          <w:i/>
          <w:iCs/>
        </w:rPr>
        <w:t>Záver:</w:t>
      </w:r>
    </w:p>
    <w:p w14:paraId="51B2507F" w14:textId="4764C868" w:rsidR="00B93CC8" w:rsidRPr="00375F26" w:rsidRDefault="00B93CC8" w:rsidP="003E535A">
      <w:pPr>
        <w:autoSpaceDE w:val="0"/>
        <w:autoSpaceDN w:val="0"/>
        <w:adjustRightInd w:val="0"/>
        <w:jc w:val="both"/>
        <w:rPr>
          <w:b/>
          <w:i/>
          <w:iCs/>
        </w:rPr>
      </w:pPr>
      <w:r w:rsidRPr="00375F26">
        <w:rPr>
          <w:b/>
          <w:i/>
          <w:iCs/>
        </w:rPr>
        <w:t>Na základe výsledkov vykonaných inšpekcií a kontrol evidenčných a prevádzkových záznamov držiteľov povolení je možné jednoznačne skonštatovať, že v roku 2024 boli jadrové materiály v SR využívané iba na mierové účely</w:t>
      </w:r>
      <w:r w:rsidR="00DB5FFE">
        <w:rPr>
          <w:b/>
          <w:i/>
          <w:iCs/>
        </w:rPr>
        <w:t>.</w:t>
      </w:r>
      <w:r w:rsidRPr="00375F26">
        <w:rPr>
          <w:b/>
          <w:i/>
          <w:iCs/>
        </w:rPr>
        <w:t xml:space="preserve"> SR v plnom rozsahu napĺňa svoje medzinárodné záväzky v oblasti záruk na jadrové materiály a údaje v štátnom systéme evidencie a kontroly jadrových materiálov sú v plnej zhode s údajmi </w:t>
      </w:r>
      <w:proofErr w:type="spellStart"/>
      <w:r w:rsidRPr="00375F26">
        <w:rPr>
          <w:b/>
          <w:i/>
          <w:iCs/>
        </w:rPr>
        <w:t>Euratomu</w:t>
      </w:r>
      <w:proofErr w:type="spellEnd"/>
      <w:r w:rsidRPr="00375F26">
        <w:rPr>
          <w:b/>
          <w:i/>
          <w:iCs/>
        </w:rPr>
        <w:t xml:space="preserve"> a MAAE.</w:t>
      </w:r>
    </w:p>
    <w:p w14:paraId="6C598A49" w14:textId="77777777" w:rsidR="003E535A" w:rsidRPr="00375F26" w:rsidRDefault="003E535A" w:rsidP="003E535A">
      <w:pPr>
        <w:autoSpaceDE w:val="0"/>
        <w:autoSpaceDN w:val="0"/>
        <w:adjustRightInd w:val="0"/>
        <w:jc w:val="both"/>
        <w:rPr>
          <w:b/>
          <w:i/>
          <w:iCs/>
        </w:rPr>
      </w:pPr>
    </w:p>
    <w:p w14:paraId="421B0B9B" w14:textId="77777777" w:rsidR="003E535A" w:rsidRPr="00375F26" w:rsidRDefault="003E535A" w:rsidP="003E535A">
      <w:pPr>
        <w:pStyle w:val="Nadpis4"/>
        <w:ind w:hanging="1728"/>
        <w:rPr>
          <w:b w:val="0"/>
          <w:u w:val="single"/>
        </w:rPr>
      </w:pPr>
      <w:bookmarkStart w:id="43" w:name="_Toc193697654"/>
      <w:r w:rsidRPr="00375F26">
        <w:rPr>
          <w:b w:val="0"/>
          <w:u w:val="single"/>
        </w:rPr>
        <w:t>Preprava jadrových materiálov</w:t>
      </w:r>
      <w:bookmarkEnd w:id="43"/>
    </w:p>
    <w:p w14:paraId="2299012B" w14:textId="77777777" w:rsidR="003E535A" w:rsidRPr="00375F26" w:rsidRDefault="003E535A" w:rsidP="003E535A">
      <w:pPr>
        <w:autoSpaceDE w:val="0"/>
        <w:autoSpaceDN w:val="0"/>
        <w:adjustRightInd w:val="0"/>
        <w:jc w:val="both"/>
        <w:rPr>
          <w:color w:val="000000"/>
          <w:szCs w:val="24"/>
        </w:rPr>
      </w:pPr>
    </w:p>
    <w:p w14:paraId="08BCB511" w14:textId="3E65C2A4" w:rsidR="00B93CC8" w:rsidRPr="00375F26" w:rsidRDefault="00B93CC8" w:rsidP="003E535A">
      <w:pPr>
        <w:autoSpaceDE w:val="0"/>
        <w:autoSpaceDN w:val="0"/>
        <w:adjustRightInd w:val="0"/>
        <w:jc w:val="both"/>
        <w:rPr>
          <w:color w:val="000000"/>
          <w:szCs w:val="24"/>
        </w:rPr>
      </w:pPr>
      <w:r w:rsidRPr="00375F26">
        <w:rPr>
          <w:color w:val="000000"/>
          <w:szCs w:val="24"/>
        </w:rPr>
        <w:t>Dozorná činnosť pri zaistení jadrovej bezpečnosti počas prepráv JM sa vykonávala v zmysle atómového zákona, vyhlášky č. 57/2006 Z. z., ktorá bola novelizovaná vyhláškou č. 105/2016 Z. z., a v zmysle medzinárodných štandardov a odporúčaní. Za hodnotené obdobie sa uskutočnili prepravy čerstvého jadrového paliva (</w:t>
      </w:r>
      <w:r w:rsidR="009B791D">
        <w:rPr>
          <w:color w:val="000000"/>
          <w:szCs w:val="24"/>
        </w:rPr>
        <w:t>ďalej len „</w:t>
      </w:r>
      <w:r w:rsidRPr="00375F26">
        <w:rPr>
          <w:color w:val="000000"/>
          <w:szCs w:val="24"/>
        </w:rPr>
        <w:t>ČJP</w:t>
      </w:r>
      <w:r w:rsidR="009B791D">
        <w:rPr>
          <w:color w:val="000000"/>
          <w:szCs w:val="24"/>
        </w:rPr>
        <w:t>“</w:t>
      </w:r>
      <w:r w:rsidRPr="00375F26">
        <w:rPr>
          <w:color w:val="000000"/>
          <w:szCs w:val="24"/>
        </w:rPr>
        <w:t>) z Ruskej federácie do JE Bohunice a JE Mochovce. Prepravy ČJP boli realizované železničnou a kombinovanou (leteckou a cestnou) dopravou cez prekládkové letisko. V roku 2024 sa uskutočnili aj prepravy vyhoretého jadrového paliva (VJP) z blokov EBO V-2. Preprava VJP z JZ EMO do MSVP bude realizovaná v roku 2025. Do prepravy boli okrem držiteľov povolení a úradu zapojené aj ďalšie inštitúcie, napr. Policajný zbor S</w:t>
      </w:r>
      <w:r w:rsidR="009B791D">
        <w:rPr>
          <w:color w:val="000000"/>
          <w:szCs w:val="24"/>
        </w:rPr>
        <w:t>lovenskej republiky</w:t>
      </w:r>
      <w:r w:rsidRPr="00375F26">
        <w:rPr>
          <w:color w:val="000000"/>
          <w:szCs w:val="24"/>
        </w:rPr>
        <w:t>, Úrad civilnej ochrany M</w:t>
      </w:r>
      <w:r w:rsidR="009B791D">
        <w:rPr>
          <w:color w:val="000000"/>
          <w:szCs w:val="24"/>
        </w:rPr>
        <w:t>inisterstva vnútra</w:t>
      </w:r>
      <w:r w:rsidRPr="00375F26">
        <w:rPr>
          <w:color w:val="000000"/>
          <w:szCs w:val="24"/>
        </w:rPr>
        <w:t xml:space="preserve"> S</w:t>
      </w:r>
      <w:r w:rsidR="009B791D">
        <w:rPr>
          <w:color w:val="000000"/>
          <w:szCs w:val="24"/>
        </w:rPr>
        <w:t>lovenskej republiky</w:t>
      </w:r>
      <w:r w:rsidRPr="00375F26">
        <w:rPr>
          <w:color w:val="000000"/>
          <w:szCs w:val="24"/>
        </w:rPr>
        <w:t>, Hasičský a záchranný zbor, Železnice S</w:t>
      </w:r>
      <w:r w:rsidR="009B791D">
        <w:rPr>
          <w:color w:val="000000"/>
          <w:szCs w:val="24"/>
        </w:rPr>
        <w:t>lovenskej republiky</w:t>
      </w:r>
      <w:r w:rsidRPr="00375F26">
        <w:rPr>
          <w:color w:val="000000"/>
          <w:szCs w:val="24"/>
        </w:rPr>
        <w:t xml:space="preserve"> a ďalší. Jadrová bezpečnosť a fyzická ochrana boli počas prepravy zabezpečené podľa platnej legislatívy.</w:t>
      </w:r>
    </w:p>
    <w:p w14:paraId="287E5DF4" w14:textId="77777777" w:rsidR="003E535A" w:rsidRPr="00375F26" w:rsidRDefault="003E535A" w:rsidP="003E535A">
      <w:pPr>
        <w:autoSpaceDE w:val="0"/>
        <w:autoSpaceDN w:val="0"/>
        <w:adjustRightInd w:val="0"/>
        <w:jc w:val="both"/>
        <w:rPr>
          <w:color w:val="000000"/>
          <w:szCs w:val="24"/>
        </w:rPr>
      </w:pPr>
    </w:p>
    <w:p w14:paraId="0043C5FB" w14:textId="77777777" w:rsidR="00AB39BB" w:rsidRDefault="00AB39BB">
      <w:pPr>
        <w:spacing w:after="200" w:line="276" w:lineRule="auto"/>
        <w:rPr>
          <w:b/>
          <w:i/>
          <w:iCs/>
        </w:rPr>
      </w:pPr>
      <w:r>
        <w:rPr>
          <w:b/>
          <w:i/>
          <w:iCs/>
        </w:rPr>
        <w:br w:type="page"/>
      </w:r>
    </w:p>
    <w:p w14:paraId="12E71AAE" w14:textId="361C8C6B" w:rsidR="003E535A" w:rsidRPr="00375F26" w:rsidRDefault="003E535A" w:rsidP="003E535A">
      <w:pPr>
        <w:autoSpaceDE w:val="0"/>
        <w:autoSpaceDN w:val="0"/>
        <w:adjustRightInd w:val="0"/>
        <w:jc w:val="both"/>
        <w:rPr>
          <w:b/>
          <w:i/>
          <w:iCs/>
        </w:rPr>
      </w:pPr>
      <w:r w:rsidRPr="00375F26">
        <w:rPr>
          <w:b/>
          <w:i/>
          <w:iCs/>
        </w:rPr>
        <w:lastRenderedPageBreak/>
        <w:t>Záver:</w:t>
      </w:r>
    </w:p>
    <w:p w14:paraId="63EA9E8C" w14:textId="48255A7B" w:rsidR="00B93CC8" w:rsidRPr="004E2925" w:rsidRDefault="00B93CC8" w:rsidP="003E535A">
      <w:pPr>
        <w:autoSpaceDE w:val="0"/>
        <w:autoSpaceDN w:val="0"/>
        <w:adjustRightInd w:val="0"/>
        <w:jc w:val="both"/>
        <w:rPr>
          <w:b/>
          <w:i/>
          <w:iCs/>
        </w:rPr>
      </w:pPr>
      <w:r w:rsidRPr="00375F26">
        <w:rPr>
          <w:b/>
          <w:i/>
          <w:iCs/>
        </w:rPr>
        <w:t>V roku 2024 vykonali inšpektori úradu celkovo 12 inšpekcií prepráv ČJP a VJP. Inšpektori pri inšpekciách prepravy nezistili žiadne závažné nedostatky.</w:t>
      </w:r>
    </w:p>
    <w:p w14:paraId="1917DDA4" w14:textId="77777777" w:rsidR="003E535A" w:rsidRPr="004E2925" w:rsidRDefault="003E535A" w:rsidP="003E535A">
      <w:pPr>
        <w:autoSpaceDE w:val="0"/>
        <w:autoSpaceDN w:val="0"/>
        <w:adjustRightInd w:val="0"/>
        <w:jc w:val="both"/>
        <w:rPr>
          <w:b/>
          <w:i/>
          <w:iCs/>
        </w:rPr>
      </w:pPr>
    </w:p>
    <w:p w14:paraId="439EA1E3" w14:textId="77777777" w:rsidR="003E535A" w:rsidRPr="00375F26" w:rsidRDefault="003E535A" w:rsidP="003E535A">
      <w:pPr>
        <w:pStyle w:val="Nadpis4"/>
        <w:ind w:hanging="1728"/>
        <w:rPr>
          <w:b w:val="0"/>
          <w:u w:val="single"/>
        </w:rPr>
      </w:pPr>
      <w:bookmarkStart w:id="44" w:name="_Toc193697655"/>
      <w:r w:rsidRPr="00375F26">
        <w:rPr>
          <w:b w:val="0"/>
          <w:u w:val="single"/>
        </w:rPr>
        <w:t>Nezákonné nakladanie s jadrovými a rádioaktívnymi materiálmi</w:t>
      </w:r>
      <w:bookmarkEnd w:id="44"/>
    </w:p>
    <w:p w14:paraId="37B55BFB" w14:textId="77777777" w:rsidR="003E535A" w:rsidRPr="00375F26" w:rsidRDefault="003E535A" w:rsidP="003E535A">
      <w:pPr>
        <w:jc w:val="both"/>
      </w:pPr>
    </w:p>
    <w:p w14:paraId="0FB079E1" w14:textId="77777777" w:rsidR="00B93CC8" w:rsidRPr="00375F26" w:rsidRDefault="00B93CC8" w:rsidP="00B93CC8">
      <w:pPr>
        <w:autoSpaceDE w:val="0"/>
        <w:autoSpaceDN w:val="0"/>
        <w:adjustRightInd w:val="0"/>
        <w:jc w:val="both"/>
        <w:rPr>
          <w:color w:val="000000"/>
          <w:szCs w:val="24"/>
        </w:rPr>
      </w:pPr>
      <w:r w:rsidRPr="00375F26">
        <w:rPr>
          <w:color w:val="000000"/>
          <w:szCs w:val="24"/>
        </w:rPr>
        <w:t xml:space="preserve">Boj proti nezákonnému nakladaniu s JM má medzinárodný charakter a rôzne štátne orgány koordinujú svoju činnosť zameranú na prevenciu a odhaľovanie nezákonného obchodovania s JM nielen navzájom, ale zapájajú sa aj do spolupráce s medzinárodnými organizáciami. Nezákonné obchodovanie s JM je medzinárodný zločin a medzinárodná spolupráca umožňuje jeho skoré a úspešné odhalenie. </w:t>
      </w:r>
    </w:p>
    <w:p w14:paraId="2911D624" w14:textId="15DF6415" w:rsidR="00B93CC8" w:rsidRPr="00375F26" w:rsidRDefault="00B93CC8" w:rsidP="00B93CC8">
      <w:pPr>
        <w:autoSpaceDE w:val="0"/>
        <w:autoSpaceDN w:val="0"/>
        <w:adjustRightInd w:val="0"/>
        <w:jc w:val="both"/>
        <w:rPr>
          <w:color w:val="000000"/>
          <w:szCs w:val="24"/>
        </w:rPr>
      </w:pPr>
      <w:r w:rsidRPr="00375F26">
        <w:rPr>
          <w:color w:val="000000"/>
          <w:szCs w:val="24"/>
        </w:rPr>
        <w:t>Spolupráca s</w:t>
      </w:r>
      <w:r w:rsidR="006F411D">
        <w:rPr>
          <w:color w:val="000000"/>
          <w:szCs w:val="24"/>
        </w:rPr>
        <w:t>o Spojenými štátmi americkými</w:t>
      </w:r>
      <w:r w:rsidRPr="00375F26">
        <w:rPr>
          <w:color w:val="000000"/>
          <w:szCs w:val="24"/>
        </w:rPr>
        <w:t xml:space="preserve"> </w:t>
      </w:r>
      <w:r w:rsidR="006F411D">
        <w:rPr>
          <w:color w:val="000000"/>
          <w:szCs w:val="24"/>
        </w:rPr>
        <w:t>(ďalej len „</w:t>
      </w:r>
      <w:r w:rsidRPr="00375F26">
        <w:rPr>
          <w:color w:val="000000"/>
          <w:szCs w:val="24"/>
        </w:rPr>
        <w:t>USA</w:t>
      </w:r>
      <w:r w:rsidR="006F411D">
        <w:rPr>
          <w:color w:val="000000"/>
          <w:szCs w:val="24"/>
        </w:rPr>
        <w:t>“)</w:t>
      </w:r>
      <w:r w:rsidRPr="00375F26">
        <w:rPr>
          <w:color w:val="000000"/>
          <w:szCs w:val="24"/>
        </w:rPr>
        <w:t xml:space="preserve"> v rámci Spoločného akčného plánu vlády SR a vlády USA na boj proti nelegálnemu nakladaniu s JM, RAM a súvisiacimi technológiami pokračuje. V rámci tejto spolupráce sa experti ÚJD SR zúčastňujú na konferenciách, pracovných stretnutiach, kurzoch a organizujú sa spoločné cvičenia. Dôležitou súčasťou spolupráce je výmena informácií. Úrad na medzinárodnej úrovni zabezpečuje výmenu informácií v Incident and </w:t>
      </w:r>
      <w:proofErr w:type="spellStart"/>
      <w:r w:rsidRPr="00375F26">
        <w:rPr>
          <w:color w:val="000000"/>
          <w:szCs w:val="24"/>
        </w:rPr>
        <w:t>Trafficking</w:t>
      </w:r>
      <w:proofErr w:type="spellEnd"/>
      <w:r w:rsidRPr="00375F26">
        <w:rPr>
          <w:color w:val="000000"/>
          <w:szCs w:val="24"/>
        </w:rPr>
        <w:t xml:space="preserve"> </w:t>
      </w:r>
      <w:proofErr w:type="spellStart"/>
      <w:r w:rsidRPr="00375F26">
        <w:rPr>
          <w:color w:val="000000"/>
          <w:szCs w:val="24"/>
        </w:rPr>
        <w:t>Database</w:t>
      </w:r>
      <w:proofErr w:type="spellEnd"/>
      <w:r w:rsidRPr="00375F26">
        <w:rPr>
          <w:color w:val="000000"/>
          <w:szCs w:val="24"/>
        </w:rPr>
        <w:t>, ktorú prevádzkuje MAAE. V súčasnosti do tejto databázy prispieva 145 štátov z celého sveta vrátane SR. Včasná výmena informácií prispieva k zvyšovaniu efektivity boja proti nezákonnému obchodovaniu s JM.</w:t>
      </w:r>
    </w:p>
    <w:p w14:paraId="2305C5F3" w14:textId="77777777" w:rsidR="003E535A" w:rsidRPr="00375F26" w:rsidRDefault="003E535A" w:rsidP="003E535A">
      <w:pPr>
        <w:autoSpaceDE w:val="0"/>
        <w:autoSpaceDN w:val="0"/>
        <w:adjustRightInd w:val="0"/>
        <w:jc w:val="both"/>
        <w:rPr>
          <w:color w:val="000000"/>
          <w:szCs w:val="24"/>
        </w:rPr>
      </w:pPr>
    </w:p>
    <w:p w14:paraId="2F87CDC6" w14:textId="77777777" w:rsidR="003E535A" w:rsidRPr="00375F26" w:rsidRDefault="003E535A" w:rsidP="003E535A">
      <w:pPr>
        <w:pStyle w:val="Nadpis4"/>
        <w:ind w:hanging="1728"/>
        <w:rPr>
          <w:b w:val="0"/>
          <w:u w:val="single"/>
        </w:rPr>
      </w:pPr>
      <w:bookmarkStart w:id="45" w:name="_Toc193697656"/>
      <w:r w:rsidRPr="00375F26">
        <w:rPr>
          <w:b w:val="0"/>
          <w:u w:val="single"/>
        </w:rPr>
        <w:t>Kontrola skladovania čerstvého a vyhoretého jadrového paliva</w:t>
      </w:r>
      <w:bookmarkEnd w:id="45"/>
    </w:p>
    <w:p w14:paraId="33BA539F" w14:textId="0E26B86E" w:rsidR="00B93CC8" w:rsidRPr="00375F26" w:rsidRDefault="00B93CC8" w:rsidP="003E535A">
      <w:pPr>
        <w:autoSpaceDE w:val="0"/>
        <w:autoSpaceDN w:val="0"/>
        <w:adjustRightInd w:val="0"/>
        <w:jc w:val="both"/>
        <w:rPr>
          <w:color w:val="000000"/>
          <w:szCs w:val="24"/>
        </w:rPr>
      </w:pPr>
    </w:p>
    <w:p w14:paraId="0E336C58" w14:textId="034A923C" w:rsidR="00B93CC8" w:rsidRPr="00375F26" w:rsidRDefault="00B93CC8" w:rsidP="00B93CC8">
      <w:pPr>
        <w:autoSpaceDE w:val="0"/>
        <w:autoSpaceDN w:val="0"/>
        <w:adjustRightInd w:val="0"/>
        <w:jc w:val="both"/>
        <w:rPr>
          <w:color w:val="000000"/>
          <w:szCs w:val="24"/>
        </w:rPr>
      </w:pPr>
      <w:r w:rsidRPr="00375F26">
        <w:rPr>
          <w:color w:val="000000"/>
          <w:szCs w:val="24"/>
        </w:rPr>
        <w:t xml:space="preserve">V roku 2024 boli vykonané plánované inšpekcie zamerané na kontrolu skladovania ČJP a VJP v elektrárňach. ČJP sa skladuje v sklade čerstvého paliva v hlavnom výrobnom bloku elektrárne. VJP sa v elektrárňach skladuje v bazéne VJP pri reaktore. Toto palivo sa v ňom skladuje pod dobu, kedy je možné ho transportovať do MSVP v lokalite Jaslovské Bohunice. Je to v rozmedzí 3 až 7 rokov. V lokalitách JE Bohunice V-2, JE Mochovce 1, 2 a JE Mochovce 3, 4 bolo vykonaných celkovo 5 inšpekcií, pričom neboli zistené žiadne závažné nedostatky a prevádzka skladov ČJP a bazénov VJP bola vyhodnotená ako bezpečná v súlade s požiadavkami atómového zákona, limít a podmienok a príslušných predpisov. V roku 2024 </w:t>
      </w:r>
      <w:r w:rsidR="006F411D">
        <w:rPr>
          <w:color w:val="000000"/>
          <w:szCs w:val="24"/>
        </w:rPr>
        <w:br/>
      </w:r>
      <w:r w:rsidRPr="00375F26">
        <w:rPr>
          <w:color w:val="000000"/>
          <w:szCs w:val="24"/>
        </w:rPr>
        <w:t>SE, a.</w:t>
      </w:r>
      <w:r w:rsidR="000D66F1">
        <w:rPr>
          <w:color w:val="000000"/>
          <w:szCs w:val="24"/>
        </w:rPr>
        <w:t xml:space="preserve"> </w:t>
      </w:r>
      <w:r w:rsidRPr="00375F26">
        <w:rPr>
          <w:color w:val="000000"/>
          <w:szCs w:val="24"/>
        </w:rPr>
        <w:t>s.</w:t>
      </w:r>
      <w:r w:rsidR="000D66F1">
        <w:rPr>
          <w:color w:val="000000"/>
          <w:szCs w:val="24"/>
        </w:rPr>
        <w:t>,</w:t>
      </w:r>
      <w:r w:rsidRPr="00375F26">
        <w:rPr>
          <w:color w:val="000000"/>
          <w:szCs w:val="24"/>
        </w:rPr>
        <w:t xml:space="preserve"> predložili na úrad žiadosti vo veci rozšírenia skladovacích kapacít v skladoch čerstvého jadrového  paliva. Projektová dokumentácia bola posúdená</w:t>
      </w:r>
      <w:r w:rsidR="00AB39BB">
        <w:rPr>
          <w:color w:val="000000"/>
          <w:szCs w:val="24"/>
        </w:rPr>
        <w:t xml:space="preserve"> väčšinou odborných útvarov úradu. </w:t>
      </w:r>
      <w:r w:rsidRPr="00375F26">
        <w:rPr>
          <w:color w:val="000000"/>
          <w:szCs w:val="24"/>
        </w:rPr>
        <w:t>Zároveň tieto zmeny podliehali aj zisťovaciemu konaniu vedeného MŽP SR.</w:t>
      </w:r>
    </w:p>
    <w:p w14:paraId="7E7E1A3D" w14:textId="65D025BD" w:rsidR="00B93CC8" w:rsidRPr="00375F26" w:rsidRDefault="00B93CC8" w:rsidP="00B93CC8">
      <w:pPr>
        <w:autoSpaceDE w:val="0"/>
        <w:autoSpaceDN w:val="0"/>
        <w:adjustRightInd w:val="0"/>
        <w:jc w:val="both"/>
        <w:rPr>
          <w:color w:val="000000"/>
          <w:szCs w:val="24"/>
        </w:rPr>
      </w:pPr>
      <w:r w:rsidRPr="00375F26">
        <w:rPr>
          <w:color w:val="000000"/>
          <w:szCs w:val="24"/>
        </w:rPr>
        <w:t>Vo februári sa začala uvádzať do prevádzky suchá časť JZ MSVP. Celý priebeh uvádzania do prevádzky bol kontrolovaný formou inšpekcie. Inšpekcia bola zameraná na kontrolu dodržiavania jadrovej bezpečnosti a vykonanie všetkých činností podľa programu uvádzania do prevádzky.</w:t>
      </w:r>
    </w:p>
    <w:p w14:paraId="37384D97" w14:textId="77777777" w:rsidR="003E535A" w:rsidRPr="00375F26" w:rsidRDefault="003E535A" w:rsidP="00446944">
      <w:pPr>
        <w:autoSpaceDE w:val="0"/>
        <w:autoSpaceDN w:val="0"/>
        <w:adjustRightInd w:val="0"/>
        <w:jc w:val="both"/>
        <w:rPr>
          <w:b/>
          <w:i/>
          <w:iCs/>
          <w:color w:val="000000"/>
          <w:szCs w:val="24"/>
        </w:rPr>
      </w:pPr>
    </w:p>
    <w:p w14:paraId="575F1F38" w14:textId="4E5A1FDE" w:rsidR="00CB0219" w:rsidRPr="00375F26" w:rsidRDefault="00A46457" w:rsidP="003E535A">
      <w:pPr>
        <w:pStyle w:val="Nadpis3"/>
        <w:tabs>
          <w:tab w:val="clear" w:pos="1440"/>
          <w:tab w:val="num" w:pos="709"/>
        </w:tabs>
        <w:ind w:left="357" w:hanging="357"/>
        <w:rPr>
          <w:color w:val="000000" w:themeColor="text1"/>
        </w:rPr>
      </w:pPr>
      <w:bookmarkStart w:id="46" w:name="_Toc193697657"/>
      <w:r w:rsidRPr="00375F26">
        <w:rPr>
          <w:color w:val="000000" w:themeColor="text1"/>
        </w:rPr>
        <w:t xml:space="preserve">Fyzická </w:t>
      </w:r>
      <w:r w:rsidR="003E535A" w:rsidRPr="00375F26">
        <w:rPr>
          <w:color w:val="000000" w:themeColor="text1"/>
        </w:rPr>
        <w:t>ochrana</w:t>
      </w:r>
      <w:r w:rsidRPr="00375F26">
        <w:rPr>
          <w:color w:val="000000" w:themeColor="text1"/>
        </w:rPr>
        <w:t xml:space="preserve"> </w:t>
      </w:r>
      <w:r w:rsidR="00535A74" w:rsidRPr="00375F26">
        <w:rPr>
          <w:color w:val="000000" w:themeColor="text1"/>
        </w:rPr>
        <w:t>JZ</w:t>
      </w:r>
      <w:r w:rsidRPr="00375F26">
        <w:rPr>
          <w:color w:val="000000" w:themeColor="text1"/>
        </w:rPr>
        <w:t xml:space="preserve"> a</w:t>
      </w:r>
      <w:r w:rsidR="00880EE3" w:rsidRPr="00375F26">
        <w:rPr>
          <w:color w:val="000000" w:themeColor="text1"/>
        </w:rPr>
        <w:t xml:space="preserve"> J</w:t>
      </w:r>
      <w:r w:rsidR="00535A74" w:rsidRPr="00375F26">
        <w:rPr>
          <w:color w:val="000000" w:themeColor="text1"/>
        </w:rPr>
        <w:t>M</w:t>
      </w:r>
      <w:bookmarkEnd w:id="46"/>
      <w:r w:rsidR="00CB0219" w:rsidRPr="00375F26">
        <w:rPr>
          <w:color w:val="000000" w:themeColor="text1"/>
        </w:rPr>
        <w:t xml:space="preserve"> </w:t>
      </w:r>
    </w:p>
    <w:p w14:paraId="773D7C3C" w14:textId="77777777" w:rsidR="00CB0219" w:rsidRPr="00375F26" w:rsidRDefault="00CB0219" w:rsidP="005B072A">
      <w:pPr>
        <w:jc w:val="both"/>
        <w:rPr>
          <w:color w:val="000000"/>
          <w:szCs w:val="24"/>
        </w:rPr>
      </w:pPr>
    </w:p>
    <w:p w14:paraId="464D902B" w14:textId="77777777" w:rsidR="00B93CC8" w:rsidRPr="00375F26" w:rsidRDefault="00B93CC8" w:rsidP="00B93CC8">
      <w:pPr>
        <w:autoSpaceDE w:val="0"/>
        <w:autoSpaceDN w:val="0"/>
        <w:adjustRightInd w:val="0"/>
        <w:jc w:val="both"/>
        <w:rPr>
          <w:color w:val="000000"/>
          <w:szCs w:val="24"/>
        </w:rPr>
      </w:pPr>
      <w:r w:rsidRPr="00375F26">
        <w:rPr>
          <w:color w:val="000000"/>
          <w:szCs w:val="24"/>
        </w:rPr>
        <w:t xml:space="preserve">Fyzickú ochranu tvorí súbor technických, režimových alebo organizačných opatrení potrebných na zabránenie a zaistenie neoprávnených činností s JZ, JM, špeciálnymi materiálmi a zariadeniami, pri nakladaní s RAO, VJP, pri preprave RAM, ako aj neoprávneného vniknutia do JZ a vykonanie sabotáže. </w:t>
      </w:r>
    </w:p>
    <w:p w14:paraId="28A09458" w14:textId="77777777" w:rsidR="00B93CC8" w:rsidRPr="00375F26" w:rsidRDefault="00B93CC8" w:rsidP="00B93CC8">
      <w:pPr>
        <w:autoSpaceDE w:val="0"/>
        <w:autoSpaceDN w:val="0"/>
        <w:adjustRightInd w:val="0"/>
        <w:jc w:val="both"/>
        <w:rPr>
          <w:color w:val="000000"/>
          <w:szCs w:val="24"/>
        </w:rPr>
      </w:pPr>
      <w:r w:rsidRPr="00375F26">
        <w:rPr>
          <w:color w:val="000000"/>
          <w:szCs w:val="24"/>
        </w:rPr>
        <w:t>Záväzky SR v oblasti fyzickej ochrany JM vyplývajú z pristúpenia k Dohovoru o fyzickej ochrane JM (</w:t>
      </w:r>
      <w:proofErr w:type="spellStart"/>
      <w:r w:rsidRPr="00375F26">
        <w:rPr>
          <w:color w:val="000000"/>
          <w:szCs w:val="24"/>
        </w:rPr>
        <w:t>The</w:t>
      </w:r>
      <w:proofErr w:type="spellEnd"/>
      <w:r w:rsidRPr="00375F26">
        <w:rPr>
          <w:color w:val="000000"/>
          <w:szCs w:val="24"/>
        </w:rPr>
        <w:t xml:space="preserve"> </w:t>
      </w:r>
      <w:proofErr w:type="spellStart"/>
      <w:r w:rsidRPr="00375F26">
        <w:rPr>
          <w:color w:val="000000"/>
          <w:szCs w:val="24"/>
        </w:rPr>
        <w:t>Convection</w:t>
      </w:r>
      <w:proofErr w:type="spellEnd"/>
      <w:r w:rsidRPr="00375F26">
        <w:rPr>
          <w:color w:val="000000"/>
          <w:szCs w:val="24"/>
        </w:rPr>
        <w:t xml:space="preserve"> on </w:t>
      </w:r>
      <w:proofErr w:type="spellStart"/>
      <w:r w:rsidRPr="00375F26">
        <w:rPr>
          <w:color w:val="000000"/>
          <w:szCs w:val="24"/>
        </w:rPr>
        <w:t>the</w:t>
      </w:r>
      <w:proofErr w:type="spellEnd"/>
      <w:r w:rsidRPr="00375F26">
        <w:rPr>
          <w:color w:val="000000"/>
          <w:szCs w:val="24"/>
        </w:rPr>
        <w:t xml:space="preserve"> </w:t>
      </w:r>
      <w:proofErr w:type="spellStart"/>
      <w:r w:rsidRPr="00375F26">
        <w:rPr>
          <w:color w:val="000000"/>
          <w:szCs w:val="24"/>
        </w:rPr>
        <w:t>Physical</w:t>
      </w:r>
      <w:proofErr w:type="spellEnd"/>
      <w:r w:rsidRPr="00375F26">
        <w:rPr>
          <w:color w:val="000000"/>
          <w:szCs w:val="24"/>
        </w:rPr>
        <w:t xml:space="preserve"> </w:t>
      </w:r>
      <w:proofErr w:type="spellStart"/>
      <w:r w:rsidRPr="00375F26">
        <w:rPr>
          <w:color w:val="000000"/>
          <w:szCs w:val="24"/>
        </w:rPr>
        <w:t>Protection</w:t>
      </w:r>
      <w:proofErr w:type="spellEnd"/>
      <w:r w:rsidRPr="00375F26">
        <w:rPr>
          <w:color w:val="000000"/>
          <w:szCs w:val="24"/>
        </w:rPr>
        <w:t xml:space="preserve"> of </w:t>
      </w:r>
      <w:proofErr w:type="spellStart"/>
      <w:r w:rsidRPr="00375F26">
        <w:rPr>
          <w:color w:val="000000"/>
          <w:szCs w:val="24"/>
        </w:rPr>
        <w:t>Nuclear</w:t>
      </w:r>
      <w:proofErr w:type="spellEnd"/>
      <w:r w:rsidRPr="00375F26">
        <w:rPr>
          <w:color w:val="000000"/>
          <w:szCs w:val="24"/>
        </w:rPr>
        <w:t xml:space="preserve"> </w:t>
      </w:r>
      <w:proofErr w:type="spellStart"/>
      <w:r w:rsidRPr="00375F26">
        <w:rPr>
          <w:color w:val="000000"/>
          <w:szCs w:val="24"/>
        </w:rPr>
        <w:t>Material</w:t>
      </w:r>
      <w:proofErr w:type="spellEnd"/>
      <w:r w:rsidRPr="00375F26">
        <w:rPr>
          <w:color w:val="000000"/>
          <w:szCs w:val="24"/>
        </w:rPr>
        <w:t xml:space="preserve"> – INFCIRC 274/rev.1), ktorý bol podpísaný vládou Československej socialistickej republiky dňa 8. 2. 1987. </w:t>
      </w:r>
    </w:p>
    <w:p w14:paraId="3367BBD3" w14:textId="0B8535DE" w:rsidR="00B93CC8" w:rsidRPr="00375F26" w:rsidRDefault="00B93CC8" w:rsidP="00B93CC8">
      <w:pPr>
        <w:autoSpaceDE w:val="0"/>
        <w:autoSpaceDN w:val="0"/>
        <w:adjustRightInd w:val="0"/>
        <w:jc w:val="both"/>
        <w:rPr>
          <w:color w:val="000000"/>
          <w:szCs w:val="24"/>
        </w:rPr>
      </w:pPr>
      <w:r w:rsidRPr="00375F26">
        <w:rPr>
          <w:color w:val="000000"/>
          <w:szCs w:val="24"/>
        </w:rPr>
        <w:t>8. 7. 2005 bol vo Viedni prijatý Dodatok k Dohovoru o fyzickej ochrane jadrových materiálov. N</w:t>
      </w:r>
      <w:r w:rsidR="00074CEA">
        <w:rPr>
          <w:color w:val="000000"/>
          <w:szCs w:val="24"/>
        </w:rPr>
        <w:t>árodná rada</w:t>
      </w:r>
      <w:r w:rsidRPr="00375F26">
        <w:rPr>
          <w:color w:val="000000"/>
          <w:szCs w:val="24"/>
        </w:rPr>
        <w:t xml:space="preserve"> S</w:t>
      </w:r>
      <w:r w:rsidR="00074CEA">
        <w:rPr>
          <w:color w:val="000000"/>
          <w:szCs w:val="24"/>
        </w:rPr>
        <w:t>lovenskej republiky (ďalej len „NR SR“)</w:t>
      </w:r>
      <w:r w:rsidRPr="00375F26">
        <w:rPr>
          <w:color w:val="000000"/>
          <w:szCs w:val="24"/>
        </w:rPr>
        <w:t xml:space="preserve"> vyslovila súhlas s dodatkom uznesením č. 522 z 19. 9. 2007. Prezident SR ratifikoval dodatok 19. 10. 2007. Ratifikačná </w:t>
      </w:r>
      <w:r w:rsidRPr="00375F26">
        <w:rPr>
          <w:color w:val="000000"/>
          <w:szCs w:val="24"/>
        </w:rPr>
        <w:lastRenderedPageBreak/>
        <w:t xml:space="preserve">listina bola 7. 7. 2013 uložená u depozitára, ktorým je generálny riaditeľ MAAE. Dodatok k dohovoru nadobudol platnosť 8. 5. 2016. </w:t>
      </w:r>
    </w:p>
    <w:p w14:paraId="2D9D6EE9" w14:textId="6ED2ED1B" w:rsidR="00B93CC8" w:rsidRPr="00375F26" w:rsidRDefault="00B93CC8" w:rsidP="00B93CC8">
      <w:pPr>
        <w:autoSpaceDE w:val="0"/>
        <w:autoSpaceDN w:val="0"/>
        <w:adjustRightInd w:val="0"/>
        <w:jc w:val="both"/>
        <w:rPr>
          <w:color w:val="000000"/>
          <w:szCs w:val="24"/>
        </w:rPr>
      </w:pPr>
      <w:r w:rsidRPr="00375F26">
        <w:rPr>
          <w:color w:val="000000"/>
          <w:szCs w:val="24"/>
        </w:rPr>
        <w:t xml:space="preserve">Podľa Dodatku k Dohovoru o fyzickej ochrane jadrových materiálov je jeden zo základných princípov Princíp G: „Hrozba“. V tomto princípe je uvedené, že „Fyzická ochrana zo strany štátu by mala vychádzať zo štátom aktuálneho posúdenia hrozby“. Uznesením vlády SR </w:t>
      </w:r>
      <w:r w:rsidR="00074CEA">
        <w:rPr>
          <w:color w:val="000000"/>
          <w:szCs w:val="24"/>
        </w:rPr>
        <w:br/>
      </w:r>
      <w:r w:rsidRPr="00375F26">
        <w:rPr>
          <w:color w:val="000000"/>
          <w:szCs w:val="24"/>
        </w:rPr>
        <w:t>č. 229/2009 bol schválený materiál „Návrh na určenie hrozby jadrovým zariadením a pre jadrové zariadenia a jadrové materiály v rámci projektového ohrozenia štátu“. Daný materiál je východiskovým podkladom pre určenie projektového ohrozenia pre JZ. Na základe uznesenia bola predsedníčkou úradu zriadená stála medzirezortná PS na aktualizáciu určenia hrozby jadrovým zariadením a pre JZ a JM v rámci projektového ohrozenia štátu, ktorá aktívne pracovala aj v roku 2024. Dňa 3. 4. 2024 Bezpečnostná rada S</w:t>
      </w:r>
      <w:r w:rsidR="00074CEA">
        <w:rPr>
          <w:color w:val="000000"/>
          <w:szCs w:val="24"/>
        </w:rPr>
        <w:t>lovenskej republiky</w:t>
      </w:r>
      <w:r w:rsidRPr="00375F26">
        <w:rPr>
          <w:color w:val="000000"/>
          <w:szCs w:val="24"/>
        </w:rPr>
        <w:t xml:space="preserve"> prijala uznesenie č. 855, ktorým vzala na vedomie aktualizáciu materiálu „Určenie hrozby jadrovým zariadením a pre jadrové zariadenia a jadrové materiály v rámci projektového ohrozenia štátu“. Skupina sa okrem aktualizácie predmetného materiálu zaoberala prehodnocovaním hrozby v súvislosti so zabezpečením fyzickej ochrany, kybernetickej bezpečnosti, operatívne</w:t>
      </w:r>
      <w:r w:rsidR="00074CEA">
        <w:rPr>
          <w:color w:val="000000"/>
          <w:szCs w:val="24"/>
        </w:rPr>
        <w:t>ho</w:t>
      </w:r>
      <w:r w:rsidRPr="00375F26">
        <w:rPr>
          <w:color w:val="000000"/>
          <w:szCs w:val="24"/>
        </w:rPr>
        <w:t xml:space="preserve"> riešeni</w:t>
      </w:r>
      <w:r w:rsidR="00074CEA">
        <w:rPr>
          <w:color w:val="000000"/>
          <w:szCs w:val="24"/>
        </w:rPr>
        <w:t>a</w:t>
      </w:r>
      <w:r w:rsidRPr="00375F26">
        <w:rPr>
          <w:color w:val="000000"/>
          <w:szCs w:val="24"/>
        </w:rPr>
        <w:t xml:space="preserve"> situácií vyplývajúcich z udalostí či už v SR alebo zahraničí, ktoré majú vplyv na fyzickú ochranu JM a JZ. </w:t>
      </w:r>
    </w:p>
    <w:p w14:paraId="0BB4B1A5" w14:textId="77777777" w:rsidR="00B93CC8" w:rsidRPr="00375F26" w:rsidRDefault="00B93CC8" w:rsidP="00B93CC8">
      <w:pPr>
        <w:autoSpaceDE w:val="0"/>
        <w:autoSpaceDN w:val="0"/>
        <w:adjustRightInd w:val="0"/>
        <w:jc w:val="both"/>
        <w:rPr>
          <w:color w:val="000000"/>
          <w:szCs w:val="24"/>
        </w:rPr>
      </w:pPr>
      <w:r w:rsidRPr="00375F26">
        <w:rPr>
          <w:color w:val="000000"/>
          <w:szCs w:val="24"/>
        </w:rPr>
        <w:t xml:space="preserve">Požiadavky kladené na fyzickú ochranu JM a JZ pre SR sú definované v atómovom zákone, vo vyhláške ÚJD SR č. 51/2006 Z. z., ktorou sa ustanovujú podrobnosti o požiadavkách na zabezpečenie fyzickej ochrany a požiadavky kladené na fyzickú ochranu pri prepravách RAM vo vyhláške ÚJD SR č. 57/2006 Z. z., ktorou sa ustanovujú podrobnosti o požiadavkách pri preprave RAM v znení vyhlášky ÚJD SR č. 105/2016 Z. z. </w:t>
      </w:r>
    </w:p>
    <w:p w14:paraId="2E0FC7FB" w14:textId="2CDF23E3" w:rsidR="00B93CC8" w:rsidRPr="00375F26" w:rsidRDefault="00B93CC8" w:rsidP="00B93CC8">
      <w:pPr>
        <w:autoSpaceDE w:val="0"/>
        <w:autoSpaceDN w:val="0"/>
        <w:adjustRightInd w:val="0"/>
        <w:jc w:val="both"/>
        <w:rPr>
          <w:color w:val="000000"/>
          <w:szCs w:val="24"/>
        </w:rPr>
      </w:pPr>
      <w:r w:rsidRPr="00375F26">
        <w:rPr>
          <w:color w:val="000000"/>
          <w:szCs w:val="24"/>
        </w:rPr>
        <w:t>Dozornú činnosť v tejto oblasti ÚJD SR sústredil na kontrolu prevádzky technických systémov fyzickej ochrany, režimovej ochrany v JAVYS, EBO, EMO a MO34</w:t>
      </w:r>
      <w:r w:rsidR="00074CEA">
        <w:rPr>
          <w:color w:val="000000"/>
          <w:szCs w:val="24"/>
        </w:rPr>
        <w:t>,</w:t>
      </w:r>
      <w:r w:rsidRPr="00375F26">
        <w:rPr>
          <w:color w:val="000000"/>
          <w:szCs w:val="24"/>
        </w:rPr>
        <w:t xml:space="preserve"> ako aj kontrolu zabezpečenia fyzickej ochrany pri prepravách ČJP a VJP.</w:t>
      </w:r>
    </w:p>
    <w:p w14:paraId="2E77B523" w14:textId="0FBB2D73" w:rsidR="00B93CC8" w:rsidRPr="00375F26" w:rsidRDefault="00B93CC8" w:rsidP="00B93CC8">
      <w:pPr>
        <w:autoSpaceDE w:val="0"/>
        <w:autoSpaceDN w:val="0"/>
        <w:adjustRightInd w:val="0"/>
        <w:jc w:val="both"/>
        <w:rPr>
          <w:color w:val="000000"/>
          <w:szCs w:val="24"/>
        </w:rPr>
      </w:pPr>
      <w:r w:rsidRPr="00375F26">
        <w:rPr>
          <w:color w:val="000000"/>
          <w:szCs w:val="24"/>
        </w:rPr>
        <w:t>Fyzická ochrana v JAVYS, a. s.</w:t>
      </w:r>
      <w:r w:rsidR="00F642BF">
        <w:rPr>
          <w:color w:val="000000"/>
          <w:szCs w:val="24"/>
        </w:rPr>
        <w:t>,</w:t>
      </w:r>
      <w:r w:rsidRPr="00375F26">
        <w:rPr>
          <w:color w:val="000000"/>
          <w:szCs w:val="24"/>
        </w:rPr>
        <w:t xml:space="preserve"> bola zabezpečená v súlade so schválenými plánmi fyzickej ochrany pre JZ v lokalite JAVYS, a. s., lokalita Jaslovské Bohunice. Zabezpečenie fyzickej ochrany v lokalite RÚ RAO bolo aj v roku 2024 v súlade so schválenými dokumentmi „Plán fyzickej ochrany JAVYS, a. s.</w:t>
      </w:r>
      <w:r w:rsidR="00F642BF">
        <w:rPr>
          <w:color w:val="000000"/>
          <w:szCs w:val="24"/>
        </w:rPr>
        <w:t>,</w:t>
      </w:r>
      <w:r w:rsidRPr="00375F26">
        <w:rPr>
          <w:color w:val="000000"/>
          <w:szCs w:val="24"/>
        </w:rPr>
        <w:t xml:space="preserve"> pre RÚ RAO Mochovce“, vydanie č. 3 a jeho dodatkom.</w:t>
      </w:r>
    </w:p>
    <w:p w14:paraId="416CC819" w14:textId="77777777" w:rsidR="00B93CC8" w:rsidRPr="00375F26" w:rsidRDefault="00B93CC8" w:rsidP="00B93CC8">
      <w:pPr>
        <w:autoSpaceDE w:val="0"/>
        <w:autoSpaceDN w:val="0"/>
        <w:adjustRightInd w:val="0"/>
        <w:jc w:val="both"/>
        <w:rPr>
          <w:color w:val="000000"/>
          <w:szCs w:val="24"/>
        </w:rPr>
      </w:pPr>
      <w:r w:rsidRPr="00375F26">
        <w:rPr>
          <w:color w:val="000000"/>
          <w:szCs w:val="24"/>
        </w:rPr>
        <w:t>Fyzická ochrana v EBO bola zabezpečená v súlade so schváleným plánom fyzickej ochrany EBO a jeho úradom schválenými zmenami. Úrad v roku 2024 posúdil a schválil viacero zmien plánov fyzickej ochrany SE-EBO v súvislosti s dočasnými zmenami pri výkone fyzickej ochrany.</w:t>
      </w:r>
    </w:p>
    <w:p w14:paraId="05452C65" w14:textId="5C1A07F0" w:rsidR="00B93CC8" w:rsidRPr="00375F26" w:rsidRDefault="00B93CC8" w:rsidP="00B93CC8">
      <w:pPr>
        <w:autoSpaceDE w:val="0"/>
        <w:autoSpaceDN w:val="0"/>
        <w:adjustRightInd w:val="0"/>
        <w:jc w:val="both"/>
        <w:rPr>
          <w:color w:val="000000"/>
          <w:szCs w:val="24"/>
        </w:rPr>
      </w:pPr>
      <w:r w:rsidRPr="00375F26">
        <w:rPr>
          <w:color w:val="000000"/>
          <w:szCs w:val="24"/>
        </w:rPr>
        <w:t>Zabezpečenie fyzickej ochrany v lokalite EMO a MO34 bolo v súlade so schválenými plánmi fyzickej ochrany EMO a MO 34 a ich doterajšími úradom schválenými zmenami. Zároveň úrad posúdil a</w:t>
      </w:r>
      <w:r w:rsidR="00074CEA">
        <w:rPr>
          <w:color w:val="000000"/>
          <w:szCs w:val="24"/>
        </w:rPr>
        <w:t> </w:t>
      </w:r>
      <w:r w:rsidRPr="00375F26">
        <w:rPr>
          <w:color w:val="000000"/>
          <w:szCs w:val="24"/>
        </w:rPr>
        <w:t>schválil</w:t>
      </w:r>
      <w:r w:rsidR="00074CEA">
        <w:rPr>
          <w:color w:val="000000"/>
          <w:szCs w:val="24"/>
        </w:rPr>
        <w:t xml:space="preserve"> </w:t>
      </w:r>
      <w:r w:rsidRPr="00375F26">
        <w:rPr>
          <w:color w:val="000000"/>
          <w:szCs w:val="24"/>
        </w:rPr>
        <w:t>„Plán fyzickej ochrany SE-EMO“, vydanie 2, revízia 7“ a „Plán fyzickej ochrany SE-MO34“, vydanie 2, revízia 1“.</w:t>
      </w:r>
    </w:p>
    <w:p w14:paraId="49C4D2D7" w14:textId="77777777" w:rsidR="00B93CC8" w:rsidRPr="00375F26" w:rsidRDefault="00B93CC8" w:rsidP="00B93CC8">
      <w:pPr>
        <w:autoSpaceDE w:val="0"/>
        <w:autoSpaceDN w:val="0"/>
        <w:adjustRightInd w:val="0"/>
        <w:jc w:val="both"/>
        <w:rPr>
          <w:color w:val="000000"/>
          <w:szCs w:val="24"/>
        </w:rPr>
      </w:pPr>
      <w:r w:rsidRPr="00375F26">
        <w:rPr>
          <w:color w:val="000000"/>
          <w:szCs w:val="24"/>
        </w:rPr>
        <w:t xml:space="preserve">Ďalej úrad posúdil a schválil plány zabezpečenia fyzickej ochrany pre prepravy RAM - prepravy ČJP na území SR a pre prepravu VJP z EMO do MSVP. </w:t>
      </w:r>
    </w:p>
    <w:p w14:paraId="1ED96C22" w14:textId="6DAF7B1F" w:rsidR="00B93CC8" w:rsidRPr="00375F26" w:rsidRDefault="00B93CC8" w:rsidP="00B93CC8">
      <w:pPr>
        <w:autoSpaceDE w:val="0"/>
        <w:autoSpaceDN w:val="0"/>
        <w:adjustRightInd w:val="0"/>
        <w:jc w:val="both"/>
        <w:rPr>
          <w:color w:val="000000"/>
          <w:szCs w:val="24"/>
        </w:rPr>
      </w:pPr>
      <w:r w:rsidRPr="00375F26">
        <w:rPr>
          <w:color w:val="000000"/>
          <w:szCs w:val="24"/>
        </w:rPr>
        <w:t>Na lokalitách sa za účasti zástupcov úradu vykonávali cvičenia zložiek fyzickej ochrany, ktorými bola preverovaná efektívnosť systému fyzickej ochrany. Cvičenia boli zamerané na reakciu a koordináciu činností všetkých zložiek fyzickej ochrany na vzniknutú situáciu. Bola preverená pripravenosť cvičiaceho personálu držiteľa povolenia, obsluhy riadiacich centier fyzickej ochrany, zložiek fyzickej ochrany - súkromných bezpečnostných služieb a polície SR reagovať na zvládnutie simulovanej situácie</w:t>
      </w:r>
      <w:r w:rsidR="00074CEA">
        <w:rPr>
          <w:color w:val="000000"/>
          <w:szCs w:val="24"/>
        </w:rPr>
        <w:t>,</w:t>
      </w:r>
      <w:r w:rsidRPr="00375F26">
        <w:rPr>
          <w:color w:val="000000"/>
          <w:szCs w:val="24"/>
        </w:rPr>
        <w:t xml:space="preserve"> ako i preverenie systému spojenia a komunikácie medzi jednotlivými zložkami fyzickej ochrany. </w:t>
      </w:r>
    </w:p>
    <w:p w14:paraId="161608A8" w14:textId="77777777" w:rsidR="00B93CC8" w:rsidRPr="00375F26" w:rsidRDefault="00B93CC8" w:rsidP="00B93CC8">
      <w:pPr>
        <w:autoSpaceDE w:val="0"/>
        <w:autoSpaceDN w:val="0"/>
        <w:adjustRightInd w:val="0"/>
        <w:jc w:val="both"/>
        <w:rPr>
          <w:color w:val="000000"/>
          <w:szCs w:val="24"/>
        </w:rPr>
      </w:pPr>
      <w:r w:rsidRPr="00375F26">
        <w:rPr>
          <w:color w:val="000000"/>
          <w:szCs w:val="24"/>
        </w:rPr>
        <w:t xml:space="preserve">V priebehu roka 2024 vykonával ÚJD SR inšpekcie zamerané na fyzickú ochranu JZ a JM a na fyzickú ochranu pri prepravách ČJP a VJP. Inšpekčná činnosť bola, v súlade s inšpekčným postupom ÚJD SR, zameraná na zabezpečovanie režimovej ochrany, spôsob vykonávania kontroly vstupov a vjazdu vozidiel, porovnanie stavu technických prostriedkov systému </w:t>
      </w:r>
      <w:r w:rsidRPr="00375F26">
        <w:rPr>
          <w:color w:val="000000"/>
          <w:szCs w:val="24"/>
        </w:rPr>
        <w:lastRenderedPageBreak/>
        <w:t xml:space="preserve">fyzickej ochrany s platnou legislatívou a so stavom odsúhlaseným v dokumentácii pre jednotlivé JZ. </w:t>
      </w:r>
    </w:p>
    <w:p w14:paraId="6656C043" w14:textId="77777777" w:rsidR="00B93CC8" w:rsidRPr="00375F26" w:rsidRDefault="00B93CC8" w:rsidP="00B93CC8">
      <w:pPr>
        <w:autoSpaceDE w:val="0"/>
        <w:autoSpaceDN w:val="0"/>
        <w:adjustRightInd w:val="0"/>
        <w:jc w:val="both"/>
        <w:rPr>
          <w:color w:val="000000"/>
          <w:szCs w:val="24"/>
        </w:rPr>
      </w:pPr>
      <w:r w:rsidRPr="00375F26">
        <w:rPr>
          <w:color w:val="000000"/>
          <w:szCs w:val="24"/>
        </w:rPr>
        <w:t>V priebehu roka 2024 ÚJD SR vykonal 14 inšpekcií zameraných na fyzickú ochranu JZ a JM a zároveň boli vykonané i inšpekcie zamerané na zabezpečenie fyzickej ochrany pri prepravách RAM.</w:t>
      </w:r>
    </w:p>
    <w:p w14:paraId="291AC320" w14:textId="103C33C9" w:rsidR="00B93CC8" w:rsidRPr="00375F26" w:rsidRDefault="00B93CC8" w:rsidP="00B93CC8">
      <w:pPr>
        <w:autoSpaceDE w:val="0"/>
        <w:autoSpaceDN w:val="0"/>
        <w:adjustRightInd w:val="0"/>
        <w:jc w:val="both"/>
        <w:rPr>
          <w:color w:val="000000"/>
          <w:szCs w:val="24"/>
        </w:rPr>
      </w:pPr>
      <w:r w:rsidRPr="00375F26">
        <w:rPr>
          <w:color w:val="000000"/>
          <w:szCs w:val="24"/>
        </w:rPr>
        <w:t xml:space="preserve">V roku 2024 ÚJD SR vykonal aj 2 inšpekcie zamerané na kultúru jadrovej fyzickej bezpečnosti. Pojem kultúra jadrovej fyzickej bezpečnosti je jeden zo základných princípov uvedených v Dodatku k </w:t>
      </w:r>
      <w:r w:rsidR="00FD13E8">
        <w:rPr>
          <w:color w:val="000000"/>
          <w:szCs w:val="24"/>
        </w:rPr>
        <w:t>D</w:t>
      </w:r>
      <w:r w:rsidRPr="00375F26">
        <w:rPr>
          <w:color w:val="000000"/>
          <w:szCs w:val="24"/>
        </w:rPr>
        <w:t>ohovoru o fyzickej ochrane JM, ktorý hovorí, že: prioritou všetkých organizácií podieľajúcich sa na realizácii fyzickej ochrany by mala byť kultúra jadrovej fyzickej bezpečnosti, jej rozvíjanie a udržiavanie, s cieľom zabezpečiť jej účinnú realizáciu v rámci celej organizácie.</w:t>
      </w:r>
    </w:p>
    <w:p w14:paraId="22D593E9" w14:textId="02BC74FA" w:rsidR="00B93CC8" w:rsidRPr="00375F26" w:rsidRDefault="00B93CC8" w:rsidP="00B93CC8">
      <w:pPr>
        <w:autoSpaceDE w:val="0"/>
        <w:autoSpaceDN w:val="0"/>
        <w:adjustRightInd w:val="0"/>
        <w:jc w:val="both"/>
        <w:rPr>
          <w:color w:val="000000"/>
          <w:szCs w:val="24"/>
        </w:rPr>
      </w:pPr>
      <w:r w:rsidRPr="00375F26">
        <w:rPr>
          <w:color w:val="000000"/>
          <w:szCs w:val="24"/>
        </w:rPr>
        <w:t>V roku 2024 boli u držiteľov povolení vykonané 2 inšpekcie zamerané na kybernetickú bezpečnosť. Pod pojmom kybernetická bezpečnosť JZ a JM rozumieme ochranu dôvernosti, integrity a dostupnosti údajov, počítačových systémov a ich procesov/sietí, ako aj ich schopnosť odolávať neoprávnenému či zlovoľnému konaniu, ktoré by mohlo ohroziť dôvernosť, integritu alebo dostupnosť uchovávaných, prenášaných alebo spracúvaných údajov alebo súvisiacich služieb poskytovaných alebo prístupných prostredníctvom týchto sietí a informačných systémov. Vzhľadom na záväzky SR vyplývajúce z Dohovoru o fyzickej ochrane JM a jeho Dodatku, a vzhľadom na fakt, že kybernetická bezpečnosť JZ je súčasťou jadrovej fyzickej bezpečnosti, sú úradom vykonávané taktiež inšpekcie kybernetickej bezpečnosti. V oblasti kybernetickej bezpečnosti vydáva MAAE publikácie (v súlade s Dohovorom o fyzickej ochrane JM a jeho Dodatkom), ktoré ÚJD SR používa ako referenčnú dokumentáciu pri výkone dozornej činnosti. Tieto publikácie dokumentujú osvedčené postupy a požiadavky pri zavádzaní a udržiavaní systému fyzickej ochrany JM a kybernetickej bezpečnosti počítačových systémov JZ.</w:t>
      </w:r>
    </w:p>
    <w:p w14:paraId="338F9645" w14:textId="2684B1C1" w:rsidR="003E535A" w:rsidRPr="00375F26" w:rsidRDefault="003E535A" w:rsidP="003C1A66">
      <w:pPr>
        <w:autoSpaceDE w:val="0"/>
        <w:autoSpaceDN w:val="0"/>
        <w:adjustRightInd w:val="0"/>
        <w:jc w:val="both"/>
        <w:rPr>
          <w:color w:val="000000"/>
          <w:szCs w:val="24"/>
        </w:rPr>
      </w:pPr>
    </w:p>
    <w:p w14:paraId="6EAEE0DF" w14:textId="7A3A2E2E" w:rsidR="003E535A" w:rsidRPr="00375F26" w:rsidRDefault="003E535A" w:rsidP="003E535A">
      <w:pPr>
        <w:pStyle w:val="Nadpis3"/>
        <w:tabs>
          <w:tab w:val="clear" w:pos="1440"/>
          <w:tab w:val="num" w:pos="709"/>
        </w:tabs>
        <w:ind w:left="357" w:hanging="357"/>
        <w:rPr>
          <w:color w:val="000000" w:themeColor="text1"/>
        </w:rPr>
      </w:pPr>
      <w:bookmarkStart w:id="47" w:name="_Toc193697658"/>
      <w:r w:rsidRPr="00375F26">
        <w:rPr>
          <w:color w:val="000000" w:themeColor="text1"/>
        </w:rPr>
        <w:t>Špeciálny stavebný úrad</w:t>
      </w:r>
      <w:bookmarkEnd w:id="47"/>
    </w:p>
    <w:p w14:paraId="45F5CDD6" w14:textId="77777777" w:rsidR="003E535A" w:rsidRPr="00375F26" w:rsidRDefault="003E535A" w:rsidP="003E535A">
      <w:pPr>
        <w:jc w:val="both"/>
        <w:rPr>
          <w:lang w:val="x-none" w:eastAsia="cs-CZ"/>
        </w:rPr>
      </w:pPr>
    </w:p>
    <w:p w14:paraId="60AF779D" w14:textId="77777777" w:rsidR="004601D6" w:rsidRPr="00375F26" w:rsidRDefault="004601D6" w:rsidP="004601D6">
      <w:pPr>
        <w:jc w:val="both"/>
        <w:rPr>
          <w:color w:val="000000"/>
          <w:szCs w:val="24"/>
        </w:rPr>
      </w:pPr>
      <w:r w:rsidRPr="00375F26">
        <w:rPr>
          <w:color w:val="000000"/>
          <w:szCs w:val="24"/>
        </w:rPr>
        <w:t>Úrad vykonáva pôsobnosť stavebného úradu podľa zákona č. 50/1976 Zb. o územnom plánovaní a stavebnom poriadku (stavebný zákon) pri stavbách JZ a stavbách súvisiacich s JZ nachádzajúcich sa v areáli ohraničenom hranicami JZ. To znamená povoľovanie stavieb, zmien stavieb, udržiavacích prác, vydávanie rozhodnutí o užívaní stavieb a odstraňovaní stavieb.</w:t>
      </w:r>
    </w:p>
    <w:p w14:paraId="77D4BDCA" w14:textId="468CA115" w:rsidR="004601D6" w:rsidRPr="00375F26" w:rsidRDefault="004601D6" w:rsidP="004601D6">
      <w:pPr>
        <w:jc w:val="both"/>
        <w:rPr>
          <w:color w:val="000000"/>
          <w:szCs w:val="24"/>
        </w:rPr>
      </w:pPr>
      <w:r w:rsidRPr="00375F26">
        <w:rPr>
          <w:color w:val="000000"/>
          <w:szCs w:val="24"/>
        </w:rPr>
        <w:t>Najvýznamnejšími činnosťami v pôsobnosti stavebného úradu bolo v roku 2024 vydávanie stavebných a kolaudačných povolení súvisiacich so zvyšovaním jadrovej bezpečnosti prevádzkovaných JZ, vyraďovaním JE Bohunice A-1 a JE Bohunice V-1, ako aj s dobudovaním skladovacích kapacít VJP pre držiteľa povolenia JAVYS, a. s.</w:t>
      </w:r>
    </w:p>
    <w:p w14:paraId="1D0DF68F" w14:textId="77777777" w:rsidR="003E535A" w:rsidRPr="00375F26" w:rsidRDefault="003E535A" w:rsidP="003E535A">
      <w:pPr>
        <w:jc w:val="both"/>
        <w:rPr>
          <w:lang w:val="x-none" w:eastAsia="cs-CZ"/>
        </w:rPr>
      </w:pPr>
    </w:p>
    <w:p w14:paraId="266B4503" w14:textId="4586693A" w:rsidR="00B66A4F" w:rsidRPr="00375F26" w:rsidRDefault="003F21EB" w:rsidP="003E535A">
      <w:pPr>
        <w:pStyle w:val="Nadpis3"/>
        <w:tabs>
          <w:tab w:val="clear" w:pos="1440"/>
          <w:tab w:val="num" w:pos="709"/>
        </w:tabs>
        <w:ind w:left="357" w:hanging="357"/>
        <w:rPr>
          <w:color w:val="000000" w:themeColor="text1"/>
        </w:rPr>
      </w:pPr>
      <w:bookmarkStart w:id="48" w:name="_Toc193697659"/>
      <w:r w:rsidRPr="00375F26">
        <w:rPr>
          <w:color w:val="000000" w:themeColor="text1"/>
        </w:rPr>
        <w:t>H</w:t>
      </w:r>
      <w:r w:rsidR="0067614A" w:rsidRPr="00375F26">
        <w:rPr>
          <w:color w:val="000000" w:themeColor="text1"/>
        </w:rPr>
        <w:t>a</w:t>
      </w:r>
      <w:r w:rsidRPr="00375F26">
        <w:rPr>
          <w:color w:val="000000" w:themeColor="text1"/>
        </w:rPr>
        <w:t>varijné plánovanie a pripravenosť</w:t>
      </w:r>
      <w:bookmarkEnd w:id="48"/>
    </w:p>
    <w:p w14:paraId="17A60750" w14:textId="3B281BAA" w:rsidR="00825638" w:rsidRPr="00375F26" w:rsidRDefault="00825638" w:rsidP="003C1A66">
      <w:pPr>
        <w:autoSpaceDE w:val="0"/>
        <w:autoSpaceDN w:val="0"/>
        <w:adjustRightInd w:val="0"/>
        <w:jc w:val="both"/>
        <w:rPr>
          <w:color w:val="000000"/>
          <w:szCs w:val="24"/>
        </w:rPr>
      </w:pPr>
    </w:p>
    <w:p w14:paraId="095C6982" w14:textId="77777777" w:rsidR="009E26F2" w:rsidRPr="00375F26" w:rsidRDefault="009E26F2" w:rsidP="009E26F2">
      <w:pPr>
        <w:jc w:val="both"/>
      </w:pPr>
      <w:r w:rsidRPr="00375F26">
        <w:t xml:space="preserve">Havarijná pripravenosť zahŕňa schopnosť držiteľa povolenia a relevantných orgánov verejnej moci aktivovať a realizovať potrebné činnosti a opatrenia s cieľom efektívne identifikovať a zvládnuť nehody alebo havárie na JZ  alebo počas prepravy rádioaktívnych materiálov. Tieto kroky majú za cieľ minimalizovať riziko ohrozenia života a zdravia pracovníkov, obyvateľov, škody na majetku a životnom prostredí. Držitelia povolení na prevádzku JZ preto vypracúvajú havarijnú dokumentáciu, ktorá určuje postupy a organizáciu prác pri zvládaní rôznych úrovní núdzových situácií. Nosným dokumentom v tejto oblasti je vnútorný havarijný plán, ktorý schvaľuje úrad. Na zabezpečenie činností havarijnej pripravenosti, akými sú plánovanie a príprava organizačných, personálnych a materiálno-technických prostriedkov a opatrení na úspešné zvládnutie krízových a havarijných situácií podľa klasifikovanej udalosti, má držiteľ povolenia vytvorenú organizáciu havarijnej odozvy, havarijné riadiace stredisko a ďalšie </w:t>
      </w:r>
      <w:r w:rsidRPr="00375F26">
        <w:lastRenderedPageBreak/>
        <w:t xml:space="preserve">zariadenia určené na havarijnú pripravenosť. Členovia organizácie havarijnej odozvy i držiteľa povolenia sa každoročne zúčastňujú na cvičeniach a školeniach na získanie a udržanie zručností pri činnostiach v havarijných podmienkach, pričom cvičenie so zapojením celej organizácie havarijnej odozvy sa vykonáva najmenej jedenkrát ročne. Tieto cvičenia boli realizované na všetkých JZ aj v roku 2024 na oboch lokalitách, Mochovce a Bohunice.  </w:t>
      </w:r>
    </w:p>
    <w:p w14:paraId="281322CE" w14:textId="1B70FA06" w:rsidR="009E26F2" w:rsidRPr="00375F26" w:rsidRDefault="009E26F2" w:rsidP="009E26F2">
      <w:pPr>
        <w:jc w:val="both"/>
      </w:pPr>
      <w:r w:rsidRPr="00375F26">
        <w:t>Rovnako ako držitelia povolení na prevádzku JZ, aj držitelia povolenia na prepravu rádioaktívnych materiálov (napr. čerstvé jadrové palivo, vyhoreté jadrové palivo, rádioaktívne odpady a iné jadrové materiály) vypracovávajú postupy pre zvládanie núdzových situácií - havarijné dopravné poriadky. Tieto zahŕňajú činnosti a preventívne opatrenia pre prípad udalostí  počas transportu vyššie spomenutých materiálov. Úrad kontroluje a posudzuje tieto plány, pričom Ministerstvo dopravy S</w:t>
      </w:r>
      <w:r w:rsidR="003449B0">
        <w:t>lovenskej republiky</w:t>
      </w:r>
      <w:r w:rsidRPr="00375F26">
        <w:t xml:space="preserve"> ich schvaľuje.</w:t>
      </w:r>
    </w:p>
    <w:p w14:paraId="6884760A" w14:textId="3D4AC334" w:rsidR="009E26F2" w:rsidRPr="00375F26" w:rsidRDefault="009E26F2" w:rsidP="009E26F2">
      <w:pPr>
        <w:jc w:val="both"/>
      </w:pPr>
      <w:r w:rsidRPr="00375F26">
        <w:t>Okresné úrady, ktorých územie sa nachádza v oblasti ohrozenia niektorého z JZ, vypracovávajú plány ochrany obyvateľstva, ktoré okrem iného obsahujú časť protiradiačných opatrení. Tieto popisujú úlohy súvisiace so zabezpečením ochrany obyvateľov pred účinkami ionizujúceho žiarenia, ich realizáciou, ďalšie technické informácie a rôzne prehľady potrebné na zabezpečenie neodkladnej a rýchlej rozhodovacej činnosti. Plány určujú mechanizmy riadenia, kontroly a organizácie odozvy, pričom kladú dôraz na pripravenosť orgánov krízového riadenia, výkonných zložiek pre prípad vzniku mimoriadnej udalosti v dôsledku havárie na JZ, ako aj previazanosť na vnútorné havarijné plány držiteľa povolenia na prevádzku JZ. Plány ochrany obyvateľstva sú posudzované úradom a následne schvaľované M</w:t>
      </w:r>
      <w:r w:rsidR="00087989">
        <w:t>V SR.</w:t>
      </w:r>
      <w:r w:rsidRPr="00375F26">
        <w:t xml:space="preserve"> </w:t>
      </w:r>
    </w:p>
    <w:p w14:paraId="7A448511" w14:textId="17DCED38" w:rsidR="009E26F2" w:rsidRPr="00375F26" w:rsidRDefault="009E26F2" w:rsidP="009E26F2">
      <w:pPr>
        <w:jc w:val="both"/>
      </w:pPr>
      <w:r w:rsidRPr="00375F26">
        <w:t>Pre efektívnu komunikáciu v prípade jadrovej havárie alebo radiačného ohrozenia (ako napr. nehody alebo havárie na JZ, pri preprave rádioaktívnych látok, záchytoch rádioaktívnych materiálov, stratách, nálezoch, krádežiach rádioaktívnych žiaričov,...) v S</w:t>
      </w:r>
      <w:r w:rsidR="008D7D1C">
        <w:t>R</w:t>
      </w:r>
      <w:r w:rsidRPr="00375F26">
        <w:t xml:space="preserve">, alebo podobných udalostí v zahraničí, má úrad zriadené styčné miesto, ktoré je </w:t>
      </w:r>
      <w:r w:rsidR="00AB1010">
        <w:t>zabezpečované</w:t>
      </w:r>
      <w:r w:rsidRPr="00375F26">
        <w:t xml:space="preserve"> určenými zamestnancami úradu. Pre harmonizáciu postupu vzájomného informovania medzi jednotlivými rezortmi v prípade vzniku alebo zistenia udalosti spojenej so zdrojmi ionizujúceho žiarenia, povinnosti informovania obyvateľstva a medzinárodného spoločenstva o významných udalostiach spojených s využívaním zdrojov ionizujúceho žiarenia, ako aj kritériá pre informovanie styčného miesta, vydal úrad spoločné usmernenie so zainteresovanými rezortmi. Úrad je zároveň kompetentným orgánom pre vyžiadanie pomoci od </w:t>
      </w:r>
      <w:r w:rsidR="00DB6613">
        <w:t>MAAE.</w:t>
      </w:r>
    </w:p>
    <w:p w14:paraId="0E02955F" w14:textId="3299BADE" w:rsidR="009E26F2" w:rsidRPr="00375F26" w:rsidRDefault="009E26F2" w:rsidP="009E26F2">
      <w:pPr>
        <w:jc w:val="both"/>
      </w:pPr>
      <w:r w:rsidRPr="00375F26">
        <w:t>Na nezávislé hodnotenie havarijných udalostí, analýzu ich priebehu a možných následkov využíva úrad svoje Centrum havarijnej odozvy (ďalej len „CHO“). Havarijný štáb, ktorý vytvára úrad zo svojich zamestnancov, hodnotí možný vývoj udalost</w:t>
      </w:r>
      <w:r w:rsidR="00DB6613">
        <w:t>i</w:t>
      </w:r>
      <w:r w:rsidRPr="00375F26">
        <w:t xml:space="preserve"> na základe stavu technológie JZ a vypracúva návrhy odporúčaných neodkladných opatrení na ochranu obyvateľstva v skorej fáze týchto udalostí, ako sú ukrytie, jódová profylaxia, či evakuácia.  Tieto aktivity sú havarijným štábom precvičované na pravidelnej báze počas zmenových, celoareálových či súčinnostných cvičení jednotlivých JZ. Na prognóze vývoja udalosti spolupracujú aj zamestnanci Úradu verejného zdravotníctva S</w:t>
      </w:r>
      <w:r w:rsidR="00DB6613">
        <w:t>lovenskej republiky</w:t>
      </w:r>
      <w:r w:rsidRPr="00375F26">
        <w:t xml:space="preserve"> ako členovia externej zložky havarijného štábu, ktorá je súčinná pri navrhovaní ochranných opatrení. Okrem spomínaných cvičení na jednotlivých lokalitách a pri prepravách rádioaktívnych materiálov sa CHO pravidelne zúčastňuje aj cvičení organizovaných na medzinárodnej úrovni. Každoročne sú to cvičenia série </w:t>
      </w:r>
      <w:proofErr w:type="spellStart"/>
      <w:r w:rsidRPr="00375F26">
        <w:t>ConvEx</w:t>
      </w:r>
      <w:proofErr w:type="spellEnd"/>
      <w:r w:rsidRPr="00375F26">
        <w:t>, organizované</w:t>
      </w:r>
      <w:r w:rsidR="00DB6613">
        <w:t xml:space="preserve"> MAAE</w:t>
      </w:r>
      <w:r w:rsidRPr="00375F26">
        <w:t xml:space="preserve"> so sídlom vo Viedni, cvičenia ECUREX pod záštitou E</w:t>
      </w:r>
      <w:r w:rsidR="00C0696F">
        <w:t>K</w:t>
      </w:r>
      <w:r w:rsidRPr="00375F26">
        <w:t xml:space="preserve"> a v roku 2024 to bolo aj cvičenie série INEX, ktoré organizuje Organizácia pre hospodársku spoluprácu a rozvoj (OECD) a jej Agentúra pre jadrovú energiu (NEA) so sídlom v Paríži. V poradí už šieste cvičenie INEX prebehlo vo februári 2024 v spolupráci s relevantnými rezortmi a organizáciami, ktoré spoločne riešili otázky spojené s dlhodobým riadením fázy obnovy rok po udalosti. Jednalo sa o fiktívnu udalosť, ktorá sa stala počas prevozu </w:t>
      </w:r>
      <w:r w:rsidR="008D7D1C">
        <w:t>RAM</w:t>
      </w:r>
      <w:r w:rsidRPr="00375F26">
        <w:t>. Závery z tohto cvičenia boli následne zúčastnenými krajinami zaslané do OECD</w:t>
      </w:r>
      <w:r w:rsidR="00DB6613">
        <w:t>/</w:t>
      </w:r>
      <w:r w:rsidRPr="00375F26">
        <w:t xml:space="preserve">NEA, pričom v roku 2025 sa očakáva ich spoločné vyhodnotenie. Získané poznatky by mali byť následne využité pre zlepšenie odozvy na udalosti podobného charakteru.  </w:t>
      </w:r>
    </w:p>
    <w:p w14:paraId="094F0B20" w14:textId="77777777" w:rsidR="009E26F2" w:rsidRPr="00375F26" w:rsidRDefault="009E26F2" w:rsidP="009E26F2">
      <w:pPr>
        <w:jc w:val="both"/>
      </w:pPr>
      <w:r w:rsidRPr="00375F26">
        <w:lastRenderedPageBreak/>
        <w:t xml:space="preserve">Inšpektori úradu sa každý rok zameriavajú aj na oblasť havarijnej pripravenosti, pričom v roku 2024 sa kontroly u držiteľov povolení sústredili na previerky školení, cvičení a kontrolu dokumentácie súvisiacej s vnútornými havarijnými plánmi. Okrem toho preverovali aj zariadenia a prostriedky pre havarijnú pripravenosť a pre monitorovanie v okolí JZ a kontrolovali aj plnenie legislatívnej povinnosti – zasielania technologických, radiačných a meteorologických dát do Centra havarijnej odozvy. Kontroly sa uskutočnili aj u držiteľov povolení na prepravu rádioaktívnych materiálov, kde sa preverovala pripravenosť na odozvu na udalosti pri preprave.  </w:t>
      </w:r>
    </w:p>
    <w:p w14:paraId="3AF5CC5D" w14:textId="4AB7F9B9" w:rsidR="009E26F2" w:rsidRPr="00375F26" w:rsidRDefault="009E26F2" w:rsidP="009E26F2">
      <w:pPr>
        <w:jc w:val="both"/>
      </w:pPr>
      <w:r w:rsidRPr="00375F26">
        <w:t>Zamestnanci úradu sú nominovaní vo viacerých medzinárodných skupinách špecificky sa zaoberajúcich havarijnou pripravenosťou, či už pod záštitou MAAE, OECD</w:t>
      </w:r>
      <w:r w:rsidR="00DB6613">
        <w:t>/</w:t>
      </w:r>
      <w:r w:rsidRPr="00375F26">
        <w:t>NEA, spoločenstva WENRA alebo spoločenstva HERCA (</w:t>
      </w:r>
      <w:proofErr w:type="spellStart"/>
      <w:r w:rsidRPr="00375F26">
        <w:t>Heads</w:t>
      </w:r>
      <w:proofErr w:type="spellEnd"/>
      <w:r w:rsidRPr="00375F26">
        <w:t xml:space="preserve"> of </w:t>
      </w:r>
      <w:proofErr w:type="spellStart"/>
      <w:r w:rsidRPr="00375F26">
        <w:t>the</w:t>
      </w:r>
      <w:proofErr w:type="spellEnd"/>
      <w:r w:rsidRPr="00375F26">
        <w:t xml:space="preserve"> </w:t>
      </w:r>
      <w:proofErr w:type="spellStart"/>
      <w:r w:rsidRPr="00375F26">
        <w:t>European</w:t>
      </w:r>
      <w:proofErr w:type="spellEnd"/>
      <w:r w:rsidRPr="00375F26">
        <w:t xml:space="preserve"> </w:t>
      </w:r>
      <w:proofErr w:type="spellStart"/>
      <w:r w:rsidRPr="00375F26">
        <w:t>Radiological</w:t>
      </w:r>
      <w:proofErr w:type="spellEnd"/>
      <w:r w:rsidRPr="00375F26">
        <w:t xml:space="preserve"> </w:t>
      </w:r>
      <w:proofErr w:type="spellStart"/>
      <w:r w:rsidR="00DB6613">
        <w:t>P</w:t>
      </w:r>
      <w:r w:rsidRPr="00375F26">
        <w:t>rotection</w:t>
      </w:r>
      <w:proofErr w:type="spellEnd"/>
      <w:r w:rsidRPr="00375F26">
        <w:t xml:space="preserve"> </w:t>
      </w:r>
      <w:proofErr w:type="spellStart"/>
      <w:r w:rsidRPr="00375F26">
        <w:t>Competent</w:t>
      </w:r>
      <w:proofErr w:type="spellEnd"/>
      <w:r w:rsidRPr="00375F26">
        <w:t xml:space="preserve"> </w:t>
      </w:r>
      <w:proofErr w:type="spellStart"/>
      <w:r w:rsidRPr="00375F26">
        <w:t>Authorities</w:t>
      </w:r>
      <w:proofErr w:type="spellEnd"/>
      <w:r w:rsidRPr="00375F26">
        <w:t>). V rámci týchto skupín sa podieľajú na analýze a riešení aktuálnych výziev a hrozieb, zlepšovaní cezhraničnej komunikácie a koordinácie, hlavne pre udalosti s potenciálnym dopadom na územie okolitých štátov.</w:t>
      </w:r>
    </w:p>
    <w:p w14:paraId="21D735AC" w14:textId="77777777" w:rsidR="00F55D55" w:rsidRPr="00375F26" w:rsidRDefault="00F55D55" w:rsidP="00F55D55">
      <w:pPr>
        <w:jc w:val="both"/>
      </w:pPr>
    </w:p>
    <w:p w14:paraId="7D9C2086" w14:textId="01DCDE6F" w:rsidR="0076640B" w:rsidRPr="00375F26" w:rsidRDefault="0076640B" w:rsidP="0067614A">
      <w:pPr>
        <w:pStyle w:val="Nadpis2"/>
        <w:tabs>
          <w:tab w:val="num" w:pos="0"/>
        </w:tabs>
        <w:ind w:left="0" w:firstLine="0"/>
        <w:rPr>
          <w:bCs/>
          <w:sz w:val="28"/>
          <w:szCs w:val="28"/>
          <w:u w:val="single"/>
        </w:rPr>
      </w:pPr>
      <w:bookmarkStart w:id="49" w:name="_Toc193697660"/>
      <w:r w:rsidRPr="00375F26">
        <w:rPr>
          <w:bCs/>
          <w:sz w:val="28"/>
          <w:szCs w:val="28"/>
          <w:u w:val="single"/>
        </w:rPr>
        <w:t>M</w:t>
      </w:r>
      <w:r w:rsidR="0067614A" w:rsidRPr="00375F26">
        <w:rPr>
          <w:bCs/>
          <w:sz w:val="28"/>
          <w:szCs w:val="28"/>
          <w:u w:val="single"/>
        </w:rPr>
        <w:t>e</w:t>
      </w:r>
      <w:r w:rsidRPr="00375F26">
        <w:rPr>
          <w:bCs/>
          <w:sz w:val="28"/>
          <w:szCs w:val="28"/>
          <w:u w:val="single"/>
        </w:rPr>
        <w:t>dzinárodn</w:t>
      </w:r>
      <w:r w:rsidR="0067614A" w:rsidRPr="00375F26">
        <w:rPr>
          <w:bCs/>
          <w:sz w:val="28"/>
          <w:szCs w:val="28"/>
          <w:u w:val="single"/>
        </w:rPr>
        <w:t>á spolupráca</w:t>
      </w:r>
      <w:bookmarkEnd w:id="49"/>
      <w:r w:rsidRPr="00375F26">
        <w:rPr>
          <w:bCs/>
          <w:sz w:val="28"/>
          <w:szCs w:val="28"/>
          <w:u w:val="single"/>
        </w:rPr>
        <w:t xml:space="preserve"> </w:t>
      </w:r>
    </w:p>
    <w:p w14:paraId="2E2EF005" w14:textId="59BAC469" w:rsidR="00B505C4" w:rsidRPr="00375F26" w:rsidRDefault="00B505C4" w:rsidP="00B505C4">
      <w:pPr>
        <w:rPr>
          <w:lang w:val="x-none" w:eastAsia="cs-CZ"/>
        </w:rPr>
      </w:pPr>
    </w:p>
    <w:p w14:paraId="201E4DEC" w14:textId="77777777" w:rsidR="0076640B" w:rsidRPr="00375F26" w:rsidRDefault="0076640B" w:rsidP="0067614A">
      <w:pPr>
        <w:pStyle w:val="Nadpis3"/>
        <w:tabs>
          <w:tab w:val="clear" w:pos="1440"/>
          <w:tab w:val="num" w:pos="709"/>
        </w:tabs>
        <w:ind w:left="357" w:hanging="357"/>
        <w:rPr>
          <w:color w:val="000000" w:themeColor="text1"/>
        </w:rPr>
      </w:pPr>
      <w:bookmarkStart w:id="50" w:name="_Toc193697661"/>
      <w:r w:rsidRPr="00375F26">
        <w:rPr>
          <w:color w:val="000000" w:themeColor="text1"/>
        </w:rPr>
        <w:t>Spolupráca v rámci Európskej únie a Európskeho spoločenstva pre atómovú energiu</w:t>
      </w:r>
      <w:bookmarkEnd w:id="50"/>
    </w:p>
    <w:p w14:paraId="45A0080A" w14:textId="77777777" w:rsidR="0076640B" w:rsidRPr="00375F26" w:rsidRDefault="0076640B" w:rsidP="0076640B">
      <w:pPr>
        <w:pStyle w:val="Zarkazkladnhotextu"/>
        <w:spacing w:after="0"/>
        <w:ind w:left="0"/>
        <w:jc w:val="both"/>
      </w:pPr>
    </w:p>
    <w:p w14:paraId="6B3DF282" w14:textId="3101286A" w:rsidR="009E26F2" w:rsidRPr="00375F26" w:rsidRDefault="009E26F2" w:rsidP="009E26F2">
      <w:pPr>
        <w:jc w:val="both"/>
      </w:pPr>
      <w:r w:rsidRPr="00375F26">
        <w:t>V kontexte členstva SR v EÚ a v Európskom spoločenstve pre atómovú energiu (</w:t>
      </w:r>
      <w:proofErr w:type="spellStart"/>
      <w:r w:rsidRPr="00375F26">
        <w:t>Euratom</w:t>
      </w:r>
      <w:proofErr w:type="spellEnd"/>
      <w:r w:rsidRPr="00375F26">
        <w:t>) ÚJD SR v roku 2024 zabezpečoval úlohy a plnil záväzky, ktoré mu z tohto členstva vyplývajú. Zástupcovia ÚJD SR aktívne participovali na rokovaniach v pracovných skupinách Rady EÚ i na zasadnutiach pracovných výborov a skupín E</w:t>
      </w:r>
      <w:r w:rsidR="00C0696F">
        <w:t>K</w:t>
      </w:r>
      <w:r w:rsidRPr="00375F26">
        <w:t xml:space="preserve">, kde ako experti v oblastiach týkajúcich sa kompetencií ÚJD SR, najmä vo vzťahu k záväzkom a činnostiam vyplývajúcim zo Zmluvy o založení Európskeho spoločenstva pre atómovú energiu (Zmluva o </w:t>
      </w:r>
      <w:proofErr w:type="spellStart"/>
      <w:r w:rsidRPr="00375F26">
        <w:t>Euratome</w:t>
      </w:r>
      <w:proofErr w:type="spellEnd"/>
      <w:r w:rsidRPr="00375F26">
        <w:t>), obhajovali záujmy SR.</w:t>
      </w:r>
    </w:p>
    <w:p w14:paraId="40A2165F" w14:textId="5C97E90C" w:rsidR="009E26F2" w:rsidRPr="00375F26" w:rsidRDefault="009E26F2" w:rsidP="009E26F2">
      <w:pPr>
        <w:jc w:val="both"/>
      </w:pPr>
      <w:r w:rsidRPr="00375F26">
        <w:t>Jednou z najvýznamnejších pracovných skupín Rady EÚ z pohľadu jadrovej bezpečnosti je Pracovná skupina pre atómové otázky (</w:t>
      </w:r>
      <w:r w:rsidR="00FD5082">
        <w:t>ďalej len „</w:t>
      </w:r>
      <w:r w:rsidRPr="00375F26">
        <w:t>PS ATO</w:t>
      </w:r>
      <w:r w:rsidR="00FD5082">
        <w:t>“</w:t>
      </w:r>
      <w:r w:rsidRPr="00375F26">
        <w:t>). V I. polroku 2024 Rade EÚ predsedalo Belgicko (</w:t>
      </w:r>
      <w:r w:rsidR="00FD5082">
        <w:t>ďalej len „</w:t>
      </w:r>
      <w:r w:rsidRPr="00375F26">
        <w:t>BE PRES</w:t>
      </w:r>
      <w:r w:rsidR="00FD5082">
        <w:t>“</w:t>
      </w:r>
      <w:r w:rsidRPr="00375F26">
        <w:t>) a v II. polroku Maďarsko (</w:t>
      </w:r>
      <w:r w:rsidR="00FD5082">
        <w:t>ďalej len „</w:t>
      </w:r>
      <w:r w:rsidRPr="00375F26">
        <w:t>HU PRES</w:t>
      </w:r>
      <w:r w:rsidR="00FD5082">
        <w:t>“</w:t>
      </w:r>
      <w:r w:rsidRPr="00375F26">
        <w:t xml:space="preserve">). Experti ÚJD SR sa na zasadnutiach PS ATO zúčastňovali podľa potreby, pričom sa na každé zasadnutie pripravovala pozícia SR v úzkej spolupráci s MH SR a Stálym zastúpením SR pri EÚ v Bruseli. Ťažiskovou témou počas BE PRES bol návrh rozhodnutia Rady, ktorým sa schvaľuje nariadenie </w:t>
      </w:r>
      <w:r w:rsidR="00C0696F">
        <w:t>EK</w:t>
      </w:r>
      <w:r w:rsidRPr="00375F26">
        <w:t xml:space="preserve"> (</w:t>
      </w:r>
      <w:proofErr w:type="spellStart"/>
      <w:r w:rsidRPr="00375F26">
        <w:t>Euratom</w:t>
      </w:r>
      <w:proofErr w:type="spellEnd"/>
      <w:r w:rsidRPr="00375F26">
        <w:t xml:space="preserve">) o uplatňovaní systému záruk spoločenstva </w:t>
      </w:r>
      <w:proofErr w:type="spellStart"/>
      <w:r w:rsidRPr="00375F26">
        <w:t>Euratom</w:t>
      </w:r>
      <w:proofErr w:type="spellEnd"/>
      <w:r w:rsidRPr="00375F26">
        <w:t xml:space="preserve"> k jadrovým materiálom. Táto iniciatíva Komisie mala za cieľ nahradiť aktuálne platné nariadenie Komisie (</w:t>
      </w:r>
      <w:proofErr w:type="spellStart"/>
      <w:r w:rsidRPr="00375F26">
        <w:t>Euratom</w:t>
      </w:r>
      <w:proofErr w:type="spellEnd"/>
      <w:r w:rsidRPr="00375F26">
        <w:t xml:space="preserve">) 302/2005. ÚJD SR ako gestor nariadenia pri presadzovaní záujmov SR úzko spolupracoval s držiteľmi </w:t>
      </w:r>
      <w:r w:rsidR="00F35627">
        <w:t>JM</w:t>
      </w:r>
      <w:r w:rsidRPr="00375F26">
        <w:t xml:space="preserve"> (SE, a. s., JAVYS, a. s., JESS, a. s.). V júni 2024 boli rokovania k uvedenému návrhu v rámci PS ATO ukončené prijatím prezidentského kompromisného textu - politickej dohody. Zároveň boli počas BE PRES prijaté závery Rady o bezpečnosti dodávok medicínskych rádioizotopov na lekárske účely. Počas BE PRES i HU PRES na rokovaniach rezonovala téma aktuálnej bezpečnostnej situácie na U</w:t>
      </w:r>
      <w:r w:rsidR="00F35627">
        <w:t>A</w:t>
      </w:r>
      <w:r w:rsidRPr="00375F26">
        <w:t>, predovšetkým odpočet aktivít Komisie a MAAE realizovaných vo vzťahu k UA a presahu vojenskej agresie Ruska na UA jadrové zariadenia. V rámci prípravy na 8. posudzovacie zasadnutie k Spoločnému dohovoru o bezpečnosti nakladania s</w:t>
      </w:r>
      <w:r w:rsidR="00FD5082">
        <w:t xml:space="preserve"> </w:t>
      </w:r>
      <w:r w:rsidRPr="00375F26">
        <w:t>VJP a o bezpečnosti nakladania s</w:t>
      </w:r>
      <w:r w:rsidR="00FD5082">
        <w:t xml:space="preserve"> </w:t>
      </w:r>
      <w:r w:rsidRPr="00375F26">
        <w:t xml:space="preserve">RAO sa uskutočnila diskusia k správe Spoločenstva </w:t>
      </w:r>
      <w:proofErr w:type="spellStart"/>
      <w:r w:rsidRPr="00375F26">
        <w:t>Euratom</w:t>
      </w:r>
      <w:proofErr w:type="spellEnd"/>
      <w:r w:rsidRPr="00375F26">
        <w:t xml:space="preserve"> a k návrhom otázok </w:t>
      </w:r>
      <w:proofErr w:type="spellStart"/>
      <w:r w:rsidRPr="00375F26">
        <w:t>Euratomu</w:t>
      </w:r>
      <w:proofErr w:type="spellEnd"/>
      <w:r w:rsidRPr="00375F26">
        <w:t xml:space="preserve"> k národným správam tretích štátov, odzneli informácie z Európskej agentúry pre zásobovanie, Spoločného výskumného centra a zároveň Komisia informovala členské štáty o ďalších aktuálnych témach (napr. bezpečnosť dodávok, medicínske rádioizotopy, malé modulárne reaktory, </w:t>
      </w:r>
      <w:r w:rsidR="00E85065">
        <w:br/>
      </w:r>
      <w:r w:rsidRPr="00375F26">
        <w:t>KED</w:t>
      </w:r>
      <w:r w:rsidR="00E85065">
        <w:t>O – O</w:t>
      </w:r>
      <w:r w:rsidR="00E85065" w:rsidRPr="00E85065">
        <w:t xml:space="preserve">rganizácia pre energetický rozvoj Kórejského polostrova, angl. </w:t>
      </w:r>
      <w:proofErr w:type="spellStart"/>
      <w:r w:rsidR="00E85065" w:rsidRPr="00E85065">
        <w:t>Korean</w:t>
      </w:r>
      <w:proofErr w:type="spellEnd"/>
      <w:r w:rsidR="00E85065" w:rsidRPr="00E85065">
        <w:t xml:space="preserve"> </w:t>
      </w:r>
      <w:proofErr w:type="spellStart"/>
      <w:r w:rsidR="00E85065" w:rsidRPr="00E85065">
        <w:t>Peninsula</w:t>
      </w:r>
      <w:proofErr w:type="spellEnd"/>
      <w:r w:rsidR="00E85065" w:rsidRPr="00E85065">
        <w:t xml:space="preserve"> Energy </w:t>
      </w:r>
      <w:proofErr w:type="spellStart"/>
      <w:r w:rsidR="00E85065" w:rsidRPr="00E85065">
        <w:t>Development</w:t>
      </w:r>
      <w:proofErr w:type="spellEnd"/>
      <w:r w:rsidR="00E85065" w:rsidRPr="00E85065">
        <w:t xml:space="preserve"> </w:t>
      </w:r>
      <w:proofErr w:type="spellStart"/>
      <w:r w:rsidR="00E85065" w:rsidRPr="00E85065">
        <w:t>Organisation</w:t>
      </w:r>
      <w:proofErr w:type="spellEnd"/>
      <w:r w:rsidRPr="00375F26">
        <w:t xml:space="preserve">).  </w:t>
      </w:r>
    </w:p>
    <w:p w14:paraId="25411F5E" w14:textId="11852BF4" w:rsidR="009E26F2" w:rsidRPr="00375F26" w:rsidRDefault="009E26F2" w:rsidP="009E26F2">
      <w:pPr>
        <w:jc w:val="both"/>
      </w:pPr>
      <w:r w:rsidRPr="00375F26">
        <w:lastRenderedPageBreak/>
        <w:t>Na zasadnutiach Európskej skupiny dozorov pre jadrovú bezpečnosť (</w:t>
      </w:r>
      <w:r w:rsidR="00C0696F">
        <w:t>ďalej len „</w:t>
      </w:r>
      <w:r w:rsidRPr="00375F26">
        <w:t>ENSREG</w:t>
      </w:r>
      <w:r w:rsidR="00C0696F">
        <w:t>“</w:t>
      </w:r>
      <w:r w:rsidRPr="00375F26">
        <w:t xml:space="preserve">) sa diskutovalo o aktuálnej bezpečnostnej situácii v UA jadrových zariadeniach a odpočte realizovaných aktivít pre UA vykonávaných v spolupráci s MAAE. Ďalej sa aktivity ENSREG v uplynulom období zameriavali najmä </w:t>
      </w:r>
      <w:r w:rsidR="00C0696F">
        <w:t xml:space="preserve">na </w:t>
      </w:r>
      <w:r w:rsidRPr="00375F26">
        <w:t xml:space="preserve">prípravu 2. partnerského hodnotenia, záťažové testy v tretích krajinách, informácie o aktivitách podskupín ENSREG, potreby komunikácie dozorov s priemyslom v rámci priemyselnej aliancie k malým modulárnym reaktorom a koordináciu 8. posudzovacieho zasadnutia k Spoločnému dohovoru o bezpečnom nakladaní s VJP a o bezpečnom nakladaní s RAO. </w:t>
      </w:r>
    </w:p>
    <w:p w14:paraId="6588C777" w14:textId="05376305" w:rsidR="009E26F2" w:rsidRPr="00375F26" w:rsidRDefault="009E26F2" w:rsidP="009E26F2">
      <w:pPr>
        <w:jc w:val="both"/>
      </w:pPr>
      <w:r w:rsidRPr="00375F26">
        <w:t>Pod záštitou ENSREG a v spolupráci s Komisiou sa v Bruseli v júni 2024 konala v poradí 7. konferencia ENSREG o jadrovej bezpečnosti v Európe. Konferencia reflektovala na rastúci záujem o jadrovú energiu najmä vo vzťahu k dekarbonizácii priemyselného sektora zavádzaním nových technológií</w:t>
      </w:r>
      <w:r w:rsidR="00C0696F">
        <w:t>,</w:t>
      </w:r>
      <w:r w:rsidRPr="00375F26">
        <w:t xml:space="preserve"> ako napríklad malých modulárnych reaktorov a reakcii jadrových dozorov na potreby licencovania nových technológií a medzinárodnej spolupráce a koordinácie prístupu k licencovaniu v novom kontexte. Diskutovalo sa aj o posilnení regionálnych jadrových kapacít, budovaní dôvery a transparentnosti smerom k zainteresovanej verejnosti či využitiu umelej inteligencie v oblasti jadrovej energetiky.  </w:t>
      </w:r>
    </w:p>
    <w:p w14:paraId="3041CD6B" w14:textId="50A96D96" w:rsidR="009E26F2" w:rsidRPr="00375F26" w:rsidRDefault="009E26F2" w:rsidP="009E26F2">
      <w:pPr>
        <w:jc w:val="both"/>
      </w:pPr>
      <w:r w:rsidRPr="00375F26">
        <w:t>V priebehu roka 2024 sa podľa čl. 8e) smernice Rady 2014/87/</w:t>
      </w:r>
      <w:proofErr w:type="spellStart"/>
      <w:r w:rsidRPr="00375F26">
        <w:t>Euratom</w:t>
      </w:r>
      <w:proofErr w:type="spellEnd"/>
      <w:r w:rsidRPr="00375F26">
        <w:t xml:space="preserve"> uskutočnilo druhé tematické posudzovanie zamerané na ochranu jadrových zariadení pred požiarmi s cieľom zdieľať prevádzkové skúsenosti, preveriť opatrenia na ochranu jadrových zariadení pred požiarmi, identifikovať dobrú výkonnosť a oblasti na zlepšenie. Proces sa začal v predchádzajúcom roku vykonaním sebahodnotenia a vypracovaním národnej hodnotiacej správy o požiarnej ochrane jadrových zariadení v SR, ktorú preskúmali ostatné členské štáty a Komisia s následnou diskusiou na jesenných workshopoch v Luxembursku, kde sa predmetná národn</w:t>
      </w:r>
      <w:r w:rsidR="00C0696F">
        <w:t>á</w:t>
      </w:r>
      <w:r w:rsidRPr="00375F26">
        <w:t xml:space="preserve"> správa obhájila a boli zodpovedané dodatočné otázky. Výsledkom je návrh celkovej hodnotiacej záverečnej správy, ako aj správy pre SR, na základe ktorej sa podľa zistení pripraví v roku 2025 Akčný plán. Žiadne nové zistenia okrem tých, čo SR identifikovala v samohodnotení neboli zistené. </w:t>
      </w:r>
    </w:p>
    <w:p w14:paraId="27637BBE" w14:textId="4C370B76" w:rsidR="009E26F2" w:rsidRPr="00375F26" w:rsidRDefault="009E26F2" w:rsidP="009E26F2">
      <w:pPr>
        <w:jc w:val="both"/>
      </w:pPr>
      <w:r w:rsidRPr="00375F26">
        <w:t xml:space="preserve">Počas roka 2024 sa koordinovali úlohy a plnili záväzky vyplývajúce z článku 37 Zmluvy o </w:t>
      </w:r>
      <w:proofErr w:type="spellStart"/>
      <w:r w:rsidRPr="00375F26">
        <w:t>Euratome</w:t>
      </w:r>
      <w:proofErr w:type="spellEnd"/>
      <w:r w:rsidRPr="00375F26">
        <w:t xml:space="preserve">. Vo februári 2024 boli  Komisii notifikované všeobecné údaje podľa čl. 37 Zmluvy o </w:t>
      </w:r>
      <w:proofErr w:type="spellStart"/>
      <w:r w:rsidRPr="00375F26">
        <w:t>Euratome</w:t>
      </w:r>
      <w:proofErr w:type="spellEnd"/>
      <w:r w:rsidRPr="00375F26">
        <w:t xml:space="preserve"> vo veci V. etapy vyraďovania JE A</w:t>
      </w:r>
      <w:r w:rsidR="00E50430">
        <w:t>-</w:t>
      </w:r>
      <w:r w:rsidRPr="00375F26">
        <w:t>1 a následného uvoľňovania areálu JE A</w:t>
      </w:r>
      <w:r w:rsidR="00E50430">
        <w:t>-</w:t>
      </w:r>
      <w:r w:rsidRPr="00375F26">
        <w:t>1 spod administratívnej kontroly. V máji 2024 Komisia zaslala dodatočné otázky k textu a požiadala o ich zodpovedanie. V júli 2024 boli odpovede postúpené E</w:t>
      </w:r>
      <w:r w:rsidR="00C153D8">
        <w:t>K</w:t>
      </w:r>
      <w:r w:rsidRPr="00375F26">
        <w:t xml:space="preserve">. Následne dňa </w:t>
      </w:r>
      <w:r w:rsidR="00D26519" w:rsidRPr="00375F26">
        <w:br/>
      </w:r>
      <w:r w:rsidRPr="00375F26">
        <w:t>18. 12. 2024 bolo v Úradnom vestníku EÚ pod číslom C/2024/7439 zverejnené stanovisko Komisie a proces bol ukončený.</w:t>
      </w:r>
    </w:p>
    <w:p w14:paraId="3BC6754F" w14:textId="77777777" w:rsidR="009E26F2" w:rsidRPr="00375F26" w:rsidRDefault="009E26F2" w:rsidP="009E26F2">
      <w:pPr>
        <w:jc w:val="both"/>
      </w:pPr>
      <w:r w:rsidRPr="00375F26">
        <w:t>V máji 2024 Komisia zverejnila tretiu Správu Komisie Európskemu parlamentu a Rade o pokroku pri vykonávaní smernice Rady 2011/70/EURATOM a inventári rádioaktívneho odpadu a vyhoretého paliva, ktoré sa nachádzali na území Spoločenstva, a o prognóze budúceho vývoja pri preprave RAO a VJP zo strany členských štátov, ktorú Komisia vypracovala na základe národných správ členských štátov, vrátane SR. Správa sa vzťahuje na roky 2018 – 2021. V rámci záverov sa uvádza, že s rádioaktívnym odpadom a vyhoretým palivom sa v členských štátoch vo vykazovanom období nakladalo bezpečne a systém vlastného hodnotenia a medzinárodných partnerských hodnotení je v súlade s potrebami a vedie k neustálemu zlepšovaniu nakladania s odpadom. Hlavnými otázkami, ktoré treba riešiť, sú kontrola a financovanie programov, ako aj preskúmanie a aktualizácia vnútroštátnych programov.</w:t>
      </w:r>
    </w:p>
    <w:p w14:paraId="58922DA7" w14:textId="045994AE" w:rsidR="009E26F2" w:rsidRPr="00375F26" w:rsidRDefault="009E26F2" w:rsidP="009E26F2">
      <w:pPr>
        <w:jc w:val="both"/>
      </w:pPr>
      <w:r w:rsidRPr="00375F26">
        <w:t>Zároveň v auguste 2024 bola E</w:t>
      </w:r>
      <w:r w:rsidR="00C153D8">
        <w:t>K</w:t>
      </w:r>
      <w:r w:rsidRPr="00375F26">
        <w:t xml:space="preserve"> zaslaná  v poradí štvrtá národná správa SR v súlade s príslušnými ustanoveniami smernice Rady 2011/70/</w:t>
      </w:r>
      <w:proofErr w:type="spellStart"/>
      <w:r w:rsidRPr="00375F26">
        <w:t>Euratom</w:t>
      </w:r>
      <w:proofErr w:type="spellEnd"/>
      <w:r w:rsidRPr="00375F26">
        <w:t>, ktorou sa zriaďuje rámec Spoločenstva pre zodpovedné a bezpečné nakladanie s vyhoretým palivom a rádioaktívnym odpadom. S</w:t>
      </w:r>
      <w:r w:rsidR="00D31B59">
        <w:t>R</w:t>
      </w:r>
      <w:r w:rsidRPr="00375F26">
        <w:t xml:space="preserve"> si plní všetky záväzky, ktoré jej z predmetnej smernice vyplývajú.</w:t>
      </w:r>
    </w:p>
    <w:p w14:paraId="324E1759" w14:textId="7AEE43FE" w:rsidR="009E26F2" w:rsidRPr="00375F26" w:rsidRDefault="009E26F2" w:rsidP="009E26F2">
      <w:pPr>
        <w:jc w:val="both"/>
      </w:pPr>
      <w:r w:rsidRPr="00375F26">
        <w:t xml:space="preserve">V priebehu roka 2024 pokračovala vo svojej činnosti medzirezortná koordinačná skupina na koordináciu úloh vyplývajúcich z článkov Zmluvy o </w:t>
      </w:r>
      <w:proofErr w:type="spellStart"/>
      <w:r w:rsidRPr="00375F26">
        <w:t>Euratome</w:t>
      </w:r>
      <w:proofErr w:type="spellEnd"/>
      <w:r w:rsidRPr="00375F26">
        <w:t xml:space="preserve">, ktorá bola na ÚJD SR zriadená </w:t>
      </w:r>
      <w:r w:rsidRPr="00375F26">
        <w:lastRenderedPageBreak/>
        <w:t>na základe uznesenia vlády SR č. 442/2006. V priebehu roka sa uskutočnili dve zasadnutia, a to v júni a v novembri 2024. Na rokovaniach sa diskutovali aktuálne témy, napríklad príprava správy podľa smernice Rady 2011/70/</w:t>
      </w:r>
      <w:proofErr w:type="spellStart"/>
      <w:r w:rsidRPr="00375F26">
        <w:t>Euratom</w:t>
      </w:r>
      <w:proofErr w:type="spellEnd"/>
      <w:r w:rsidRPr="00375F26">
        <w:t xml:space="preserve">, aktivity Jadrovej aliancie, výsledky cvičenia INEX 6, zasadnutie ENEF, ako aj téma malých modulárnych reaktorov (PHOENIX, NEXT) a zároveň sa prijímali odporúčania na implementáciu Zmluvy o </w:t>
      </w:r>
      <w:proofErr w:type="spellStart"/>
      <w:r w:rsidRPr="00375F26">
        <w:t>Euratome</w:t>
      </w:r>
      <w:proofErr w:type="spellEnd"/>
      <w:r w:rsidRPr="00375F26">
        <w:t>. V budúcom roku bude skupina pokračovať vo svojej činnosti a riešiť aktuálne otázky.</w:t>
      </w:r>
    </w:p>
    <w:p w14:paraId="25920134" w14:textId="77777777" w:rsidR="00B505C4" w:rsidRPr="00375F26" w:rsidRDefault="00B505C4" w:rsidP="00B505C4">
      <w:pPr>
        <w:pStyle w:val="Zkladntext"/>
        <w:spacing w:after="0"/>
        <w:jc w:val="both"/>
        <w:rPr>
          <w:rFonts w:eastAsiaTheme="minorHAnsi"/>
          <w:color w:val="000000"/>
          <w:szCs w:val="24"/>
          <w:lang w:eastAsia="en-US"/>
        </w:rPr>
      </w:pPr>
    </w:p>
    <w:p w14:paraId="082D78F5" w14:textId="77777777" w:rsidR="0076640B" w:rsidRPr="00375F26" w:rsidRDefault="0076640B" w:rsidP="0067614A">
      <w:pPr>
        <w:pStyle w:val="Nadpis3"/>
        <w:tabs>
          <w:tab w:val="clear" w:pos="1440"/>
          <w:tab w:val="num" w:pos="709"/>
        </w:tabs>
        <w:ind w:left="357" w:hanging="357"/>
        <w:rPr>
          <w:color w:val="000000" w:themeColor="text1"/>
        </w:rPr>
      </w:pPr>
      <w:bookmarkStart w:id="51" w:name="_Toc193697662"/>
      <w:r w:rsidRPr="00375F26">
        <w:rPr>
          <w:color w:val="000000" w:themeColor="text1"/>
        </w:rPr>
        <w:t>Spolupráca európskych dozorov (WENRA)</w:t>
      </w:r>
      <w:bookmarkEnd w:id="51"/>
    </w:p>
    <w:p w14:paraId="538610CA" w14:textId="77777777" w:rsidR="0076640B" w:rsidRPr="00375F26" w:rsidRDefault="0076640B" w:rsidP="0076640B"/>
    <w:p w14:paraId="66B0410C" w14:textId="23AD4B8F" w:rsidR="00060B5F" w:rsidRPr="00375F26" w:rsidRDefault="00060B5F" w:rsidP="00060B5F">
      <w:pPr>
        <w:jc w:val="both"/>
        <w:rPr>
          <w:rFonts w:eastAsiaTheme="minorHAnsi"/>
          <w:color w:val="000000"/>
          <w:szCs w:val="24"/>
          <w:lang w:eastAsia="en-US"/>
        </w:rPr>
      </w:pPr>
      <w:r w:rsidRPr="00375F26">
        <w:rPr>
          <w:rFonts w:eastAsiaTheme="minorHAnsi"/>
          <w:color w:val="000000"/>
          <w:szCs w:val="24"/>
          <w:lang w:eastAsia="en-US"/>
        </w:rPr>
        <w:t>WENRA je nezávislé združenie európskych národných jadrových dozorov zamerané na vytvorenie, implementáciu a šírenie harmonizovaných modelových úrovní jadrovej bezpečnosti. Poslaním WENRA je spolupráca dozorov na neustálom zvyšovaní a harmonizovaní bezpečnosti JZ v EÚ, Švajčiarsku a ďalších členských krajinách WENRA. Momentálne má združenie 18 riadnych členov vrátane ÚJD SR. Okrem riadnych členov sa na aktivitách WENRA podieľajú aj dozorné orgány iných krajín (so štatútom pridruženého člena, príp. pozorovateľa). ÚJD SR aktívne pracuje v dvoch pracovných skupinách – PS pre harmonizáciu požiadaviek na bezpečnosť jadrových reaktorov a PS pre harmonizáciu požiadaviek na bezpečnosť nakladania s RAO a vyraďovania JZ z prevádzky.</w:t>
      </w:r>
    </w:p>
    <w:p w14:paraId="612F4F90" w14:textId="77777777" w:rsidR="0076640B" w:rsidRPr="00375F26" w:rsidRDefault="0076640B" w:rsidP="0076640B">
      <w:pPr>
        <w:pStyle w:val="Zarkazkladnhotextu"/>
        <w:tabs>
          <w:tab w:val="left" w:pos="708"/>
        </w:tabs>
        <w:spacing w:after="0"/>
        <w:ind w:left="0"/>
        <w:jc w:val="both"/>
        <w:rPr>
          <w:noProof/>
          <w:szCs w:val="24"/>
        </w:rPr>
      </w:pPr>
    </w:p>
    <w:p w14:paraId="6F0C36BA" w14:textId="77777777" w:rsidR="0076640B" w:rsidRPr="00375F26" w:rsidRDefault="0076640B" w:rsidP="0067614A">
      <w:pPr>
        <w:pStyle w:val="Nadpis3"/>
        <w:tabs>
          <w:tab w:val="clear" w:pos="1440"/>
          <w:tab w:val="num" w:pos="709"/>
        </w:tabs>
        <w:ind w:left="357" w:hanging="357"/>
        <w:rPr>
          <w:color w:val="000000" w:themeColor="text1"/>
        </w:rPr>
      </w:pPr>
      <w:bookmarkStart w:id="52" w:name="_Toc193697663"/>
      <w:r w:rsidRPr="00375F26">
        <w:rPr>
          <w:color w:val="000000" w:themeColor="text1"/>
        </w:rPr>
        <w:t>Spolupráca s Medzinárodnou agentúrou pre atómovú energiu (MAAE)</w:t>
      </w:r>
      <w:bookmarkEnd w:id="52"/>
    </w:p>
    <w:p w14:paraId="429C8198" w14:textId="77777777" w:rsidR="0076640B" w:rsidRPr="00375F26" w:rsidRDefault="0076640B" w:rsidP="0076640B">
      <w:pPr>
        <w:jc w:val="both"/>
        <w:rPr>
          <w:noProof/>
          <w:szCs w:val="24"/>
        </w:rPr>
      </w:pPr>
    </w:p>
    <w:p w14:paraId="648AE457" w14:textId="276B1F87" w:rsidR="009E26F2" w:rsidRPr="00375F26" w:rsidRDefault="009E26F2" w:rsidP="009E26F2">
      <w:pPr>
        <w:jc w:val="both"/>
      </w:pPr>
      <w:r w:rsidRPr="00375F26">
        <w:t>Najvýznamnejšiu úlohu v oblasti medzinárodnej spolupráce vzhľadom na politicko-odborný a medzinárodný význam a širokú škálu možností v rámci programov technickej spolupráce a pomoci v oblasti mierového využívania jadrovej energie</w:t>
      </w:r>
      <w:r w:rsidR="00D31B59">
        <w:t>,</w:t>
      </w:r>
      <w:r w:rsidRPr="00375F26">
        <w:t xml:space="preserve"> využívania jadrových aplikácií na energetické a neenergetické účely</w:t>
      </w:r>
      <w:r w:rsidR="00D31B59">
        <w:t xml:space="preserve">, </w:t>
      </w:r>
      <w:r w:rsidRPr="00375F26">
        <w:t>budovania a posilňovania národných expertných kapacít</w:t>
      </w:r>
      <w:r w:rsidR="00D31B59">
        <w:t>,</w:t>
      </w:r>
      <w:r w:rsidRPr="00375F26">
        <w:t xml:space="preserve"> výmeny know-how a prístupu k technológiám v SR zohráva MAAE so sídlom vo Viedni. Spolupráca SR s MAAE sa v predmetnom portfóliu uskutočňovala prierezovo, najmä v oblasti energetiky, jadrovej bezpečnosti a radiačnej ochrany, životného prostredia, zdravotníctva, vedy a výskumu. V roku 202</w:t>
      </w:r>
      <w:r w:rsidR="00D31B59">
        <w:t>4</w:t>
      </w:r>
      <w:r w:rsidRPr="00375F26">
        <w:t xml:space="preserve"> sa uskutočnili: 68. zasadnutie Generálnej konferencie MAAE (16. – 20. 9. 2024)</w:t>
      </w:r>
      <w:r w:rsidR="00D31B59">
        <w:t>,</w:t>
      </w:r>
      <w:r w:rsidRPr="00375F26">
        <w:t xml:space="preserve"> zasadnutia a mimoriadne zasadnutia R</w:t>
      </w:r>
      <w:r w:rsidR="00D31B59">
        <w:t>ady guvernérov</w:t>
      </w:r>
      <w:r w:rsidRPr="00375F26">
        <w:t xml:space="preserve"> MAAE (marec, apríl, jún, júl, september, november, december)</w:t>
      </w:r>
      <w:r w:rsidR="00D31B59">
        <w:t>,</w:t>
      </w:r>
      <w:r w:rsidRPr="00375F26">
        <w:t xml:space="preserve"> zasadnutie Programového a rozpočtového výboru R</w:t>
      </w:r>
      <w:r w:rsidR="00D31B59">
        <w:t>ady guvernérov</w:t>
      </w:r>
      <w:r w:rsidRPr="00375F26">
        <w:t xml:space="preserve"> MAAE  (február, máj) a zasadnutie Výboru pre technickú pomoc a spoluprácu (november). </w:t>
      </w:r>
    </w:p>
    <w:p w14:paraId="3F66B951" w14:textId="7E7CEE33" w:rsidR="009E26F2" w:rsidRPr="00375F26" w:rsidRDefault="009E26F2" w:rsidP="009E26F2">
      <w:pPr>
        <w:jc w:val="both"/>
      </w:pPr>
      <w:r w:rsidRPr="00375F26">
        <w:t>Experti SR sa aktívne zapájali do práce expertných skupín a výborov MAAE. Z pohľadu transferu vedecko-expertných poznatkov,</w:t>
      </w:r>
      <w:r w:rsidR="00D31B59">
        <w:t xml:space="preserve"> </w:t>
      </w:r>
      <w:r w:rsidRPr="00375F26">
        <w:t>know-how a jadrových technológií na národnú úroveň bola spolupráca SR s MAAE zabezpečovaná o.</w:t>
      </w:r>
      <w:r w:rsidR="00FC784E">
        <w:t xml:space="preserve"> </w:t>
      </w:r>
      <w:r w:rsidRPr="00375F26">
        <w:t xml:space="preserve">i. aj realizáciou 3 národných, viac ako 20 regionálnych a 2 </w:t>
      </w:r>
      <w:proofErr w:type="spellStart"/>
      <w:r w:rsidRPr="00375F26">
        <w:t>interregionálnych</w:t>
      </w:r>
      <w:proofErr w:type="spellEnd"/>
      <w:r w:rsidRPr="00375F26">
        <w:t xml:space="preserve"> projektov v rámci Programu technickej spolupráce (</w:t>
      </w:r>
      <w:r w:rsidR="00D31B59">
        <w:t>ďalej len „</w:t>
      </w:r>
      <w:r w:rsidRPr="00375F26">
        <w:t>TCP</w:t>
      </w:r>
      <w:r w:rsidR="00D31B59">
        <w:t>“</w:t>
      </w:r>
      <w:r w:rsidRPr="00375F26">
        <w:t xml:space="preserve">) MAAE. V rámci prípravnej fázy nadchádzajúceho cyklu TCP MAAE 2026-2027 SR predložila návrh konceptov 4 národných projektov. </w:t>
      </w:r>
    </w:p>
    <w:p w14:paraId="62E03EDA" w14:textId="4928761F" w:rsidR="009E26F2" w:rsidRPr="00375F26" w:rsidRDefault="009E26F2" w:rsidP="009E26F2">
      <w:pPr>
        <w:jc w:val="both"/>
      </w:pPr>
      <w:r w:rsidRPr="00375F26">
        <w:t>Experti SR sa zúčastňujú aj na práci revíznych výborov Komisie pre bezpečnostné štandardy (</w:t>
      </w:r>
      <w:r w:rsidR="00BD6EB8">
        <w:t>ďalej len „</w:t>
      </w:r>
      <w:r w:rsidRPr="00375F26">
        <w:t>CSS</w:t>
      </w:r>
      <w:r w:rsidR="00BD6EB8">
        <w:t>“</w:t>
      </w:r>
      <w:r w:rsidRPr="00375F26">
        <w:t xml:space="preserve">), ktorej hlavnou náplňou je proces prípravy a posudzovania nových alebo novelizovaných bezpečnostných štandardov. </w:t>
      </w:r>
    </w:p>
    <w:p w14:paraId="4FD816A6" w14:textId="77777777" w:rsidR="009E26F2" w:rsidRPr="00375F26" w:rsidRDefault="009E26F2" w:rsidP="009E26F2">
      <w:pPr>
        <w:jc w:val="both"/>
      </w:pPr>
      <w:r w:rsidRPr="00375F26">
        <w:t xml:space="preserve">Za rok 2024 bol uhradený riadny členský príspevok  SR do MAAE vo výške 550 837 EUR a 88 605 USD, príspevok do Fondu technickej spolupráce MAAE vo výške 143 040 EUR a národný </w:t>
      </w:r>
      <w:proofErr w:type="spellStart"/>
      <w:r w:rsidRPr="00375F26">
        <w:t>participačný</w:t>
      </w:r>
      <w:proofErr w:type="spellEnd"/>
      <w:r w:rsidRPr="00375F26">
        <w:t xml:space="preserve"> príspevok vo výške 14 002 EUR.</w:t>
      </w:r>
    </w:p>
    <w:p w14:paraId="7CE5C270" w14:textId="6F30F4F1" w:rsidR="009E26F2" w:rsidRPr="00375F26" w:rsidRDefault="009E26F2" w:rsidP="009E26F2">
      <w:pPr>
        <w:jc w:val="both"/>
      </w:pPr>
      <w:r w:rsidRPr="00375F26">
        <w:t xml:space="preserve">V roku 2024 bol na rokovaní vlády SR schválený Akčný plán na riešenie opatrení z misie IRRS v SR, ktorý pripravil ÚJD SR v koordinácii so zainteresovanými subjektmi. Koordinácia plnenia Akčného plánu IRRS bola realizovaná prostredníctvom Koordinačného výboru štátnych orgánov v oblasti bezpečného využívania jadrovej energie, ktorého zasadnutia sa uskutočnili v termínoch 26. 6. 2024 a 14. 10. 2024. ÚJD SR sa v priebehu roku 2024  podieľal </w:t>
      </w:r>
      <w:r w:rsidRPr="00375F26">
        <w:lastRenderedPageBreak/>
        <w:t>v spolupráci s ďalšími štátnymi organizáciami aj na príprave a implementácii akčného plánu opatrení nadväzujúcich na vykonanú misiu ARTEMIS (2023).</w:t>
      </w:r>
    </w:p>
    <w:p w14:paraId="064D659B" w14:textId="77777777" w:rsidR="00B505C4" w:rsidRPr="00375F26" w:rsidRDefault="00B505C4" w:rsidP="00B505C4">
      <w:pPr>
        <w:jc w:val="both"/>
        <w:rPr>
          <w:iCs/>
          <w:color w:val="000000"/>
          <w:szCs w:val="24"/>
        </w:rPr>
      </w:pPr>
    </w:p>
    <w:p w14:paraId="46B57D62" w14:textId="60BB00B6" w:rsidR="0076640B" w:rsidRPr="00375F26" w:rsidRDefault="0076640B" w:rsidP="0067614A">
      <w:pPr>
        <w:pStyle w:val="Nadpis3"/>
        <w:tabs>
          <w:tab w:val="clear" w:pos="1440"/>
          <w:tab w:val="num" w:pos="709"/>
        </w:tabs>
        <w:ind w:left="357" w:hanging="357"/>
        <w:rPr>
          <w:color w:val="000000" w:themeColor="text1"/>
        </w:rPr>
      </w:pPr>
      <w:bookmarkStart w:id="53" w:name="_Toc193697664"/>
      <w:r w:rsidRPr="00375F26">
        <w:rPr>
          <w:color w:val="000000" w:themeColor="text1"/>
        </w:rPr>
        <w:t xml:space="preserve">Spolupráca s Organizáciou </w:t>
      </w:r>
      <w:r w:rsidR="00EE2BCC" w:rsidRPr="00375F26">
        <w:rPr>
          <w:color w:val="000000" w:themeColor="text1"/>
        </w:rPr>
        <w:t>Z</w:t>
      </w:r>
      <w:r w:rsidRPr="00375F26">
        <w:rPr>
          <w:color w:val="000000" w:themeColor="text1"/>
        </w:rPr>
        <w:t>mluvy o všeobecnom zákaze jadrových skúšok (CTBTO)</w:t>
      </w:r>
      <w:bookmarkEnd w:id="53"/>
    </w:p>
    <w:p w14:paraId="0D94A85B" w14:textId="1B0B7457" w:rsidR="009E26F2" w:rsidRPr="00375F26" w:rsidRDefault="009E26F2" w:rsidP="00B505C4">
      <w:pPr>
        <w:jc w:val="both"/>
      </w:pPr>
    </w:p>
    <w:p w14:paraId="1B0158B0" w14:textId="6C04E1A5" w:rsidR="009E26F2" w:rsidRPr="00375F26" w:rsidRDefault="009E26F2" w:rsidP="009E26F2">
      <w:pPr>
        <w:jc w:val="both"/>
      </w:pPr>
      <w:r w:rsidRPr="00375F26">
        <w:t>Dňa 3. 3. 1998 vláda SR ratifikovala Zmluvu o všeobecnom zákaze jadrových skúšok (</w:t>
      </w:r>
      <w:proofErr w:type="spellStart"/>
      <w:r w:rsidRPr="00375F26">
        <w:t>The</w:t>
      </w:r>
      <w:proofErr w:type="spellEnd"/>
      <w:r w:rsidRPr="00375F26">
        <w:t xml:space="preserve"> </w:t>
      </w:r>
      <w:proofErr w:type="spellStart"/>
      <w:r w:rsidRPr="00375F26">
        <w:t>Comprehensive</w:t>
      </w:r>
      <w:proofErr w:type="spellEnd"/>
      <w:r w:rsidRPr="00375F26">
        <w:t xml:space="preserve"> </w:t>
      </w:r>
      <w:proofErr w:type="spellStart"/>
      <w:r w:rsidRPr="00375F26">
        <w:t>Nuclear</w:t>
      </w:r>
      <w:proofErr w:type="spellEnd"/>
      <w:r w:rsidRPr="00375F26">
        <w:t xml:space="preserve">-Test-Ban </w:t>
      </w:r>
      <w:proofErr w:type="spellStart"/>
      <w:r w:rsidRPr="00375F26">
        <w:t>Treaty</w:t>
      </w:r>
      <w:proofErr w:type="spellEnd"/>
      <w:r w:rsidRPr="00375F26">
        <w:t>: CTBT) a uznesením č. 514/1997 uložila ÚJD SR zabezpečiť vykonávanie funkcie Národného orgánu pre styk s Prípravnou komisiou Organizácie Zmluvy o všeobecnom zákaze jadrových skúšok (</w:t>
      </w:r>
      <w:r w:rsidR="00BD6EB8">
        <w:t>ďalej len „</w:t>
      </w:r>
      <w:r w:rsidRPr="00375F26">
        <w:t>CTBTO</w:t>
      </w:r>
      <w:r w:rsidR="00BD6EB8">
        <w:t>“</w:t>
      </w:r>
      <w:r w:rsidRPr="00375F26">
        <w:t>). Napriek silnej medzinárodnej podpore Zmluva do dnešného dňa nevstúpila do platnosti. Zmluva CTBT je v súčasnosti považovaná za jeden zo základných pilierov globálneho jadrového odzbrojenia.</w:t>
      </w:r>
    </w:p>
    <w:p w14:paraId="1DB4257E" w14:textId="77777777" w:rsidR="009E26F2" w:rsidRPr="00375F26" w:rsidRDefault="009E26F2" w:rsidP="009E26F2">
      <w:pPr>
        <w:jc w:val="both"/>
      </w:pPr>
      <w:r w:rsidRPr="00375F26">
        <w:t xml:space="preserve">ÚJD SR sa aktívne zúčastňuje na procese prípravy na vstup zmluvy CTBT do platnosti, a to predovšetkým prostredníctvom účasti svojich zástupcov na zasadnutiach Prípravnej komisie CTBTO a jej pracovných skupín, hostenia výcvikových kurzov CTBTO na území SR pre oblasť tzv. Inšpekcií na mieste (On-Site </w:t>
      </w:r>
      <w:proofErr w:type="spellStart"/>
      <w:r w:rsidRPr="00375F26">
        <w:t>Inspections</w:t>
      </w:r>
      <w:proofErr w:type="spellEnd"/>
      <w:r w:rsidRPr="00375F26">
        <w:t>) a podpory vzdelávania expertov a budúcich inšpektorov CTBT.</w:t>
      </w:r>
    </w:p>
    <w:p w14:paraId="126CB70E" w14:textId="1A3C5F98" w:rsidR="009E26F2" w:rsidRPr="00375F26" w:rsidRDefault="009E26F2" w:rsidP="009E26F2">
      <w:pPr>
        <w:jc w:val="both"/>
      </w:pPr>
      <w:r w:rsidRPr="00375F26">
        <w:t>V rámci expertno-technického i medzinárodného významu členstva SR v CTBTO sa presadzovanie záujmov SR na pôde CTBTO v roku 2024 zabezpečovalo prostredníctvom účasti SR na zasadnutiach Prípravnej komisie CTBTO v mesiacoch jún a</w:t>
      </w:r>
      <w:r w:rsidR="00BD6EB8">
        <w:t> </w:t>
      </w:r>
      <w:r w:rsidRPr="00375F26">
        <w:t>november</w:t>
      </w:r>
      <w:r w:rsidR="00BD6EB8">
        <w:t>,</w:t>
      </w:r>
      <w:r w:rsidRPr="00375F26">
        <w:t xml:space="preserve"> zasadnutiach pracovnej skupiny B a zasadnutiach pracovnej skupiny A. </w:t>
      </w:r>
    </w:p>
    <w:p w14:paraId="65CE0AA5" w14:textId="41959572" w:rsidR="009E26F2" w:rsidRPr="00375F26" w:rsidRDefault="009E26F2" w:rsidP="009E26F2">
      <w:pPr>
        <w:jc w:val="both"/>
      </w:pPr>
      <w:r w:rsidRPr="00375F26">
        <w:t xml:space="preserve">Významnou udalosťou v agende CTBTO bola oficiálna návšteva SR Roberta </w:t>
      </w:r>
      <w:proofErr w:type="spellStart"/>
      <w:r w:rsidRPr="00375F26">
        <w:t>Floyda</w:t>
      </w:r>
      <w:proofErr w:type="spellEnd"/>
      <w:r w:rsidRPr="00375F26">
        <w:t xml:space="preserve">, výkonného tajomníka CTBTO, ktorá sa uskutočnila dňa 9. 4. 2024. V auguste 2024 sa v SR konalo natáčanie e-learningového kurzu pre budúcich inšpektorov CTBTO v lokalitách, v ktorých prebiehal 25. úvodný regionálny kurz pre budúcich inšpektorov CTBTO – cvičenie RIC-25 v roku 2023. V súvislosti s oboma spomenutými aktivitami, bola SR zo strany CTBTO hodnotená veľmi pozitívne. </w:t>
      </w:r>
    </w:p>
    <w:p w14:paraId="217AF9CF" w14:textId="11F85B39" w:rsidR="009E26F2" w:rsidRPr="00375F26" w:rsidRDefault="009E26F2" w:rsidP="009E26F2">
      <w:pPr>
        <w:jc w:val="both"/>
      </w:pPr>
      <w:r w:rsidRPr="00375F26">
        <w:t>Za rok 2024 bol uhradený riadny členský príspevok SR do CTBTO vo výške 117 766 USD a 88 235 EUR.</w:t>
      </w:r>
    </w:p>
    <w:p w14:paraId="148CBB56" w14:textId="77777777" w:rsidR="00B505C4" w:rsidRPr="00375F26" w:rsidRDefault="00B505C4" w:rsidP="00B505C4">
      <w:pPr>
        <w:jc w:val="both"/>
      </w:pPr>
    </w:p>
    <w:p w14:paraId="1D2EFFB1" w14:textId="77777777" w:rsidR="0076640B" w:rsidRPr="00375F26" w:rsidRDefault="0076640B" w:rsidP="0067614A">
      <w:pPr>
        <w:pStyle w:val="Nadpis3"/>
        <w:tabs>
          <w:tab w:val="clear" w:pos="1440"/>
          <w:tab w:val="num" w:pos="709"/>
        </w:tabs>
        <w:ind w:left="357" w:hanging="357"/>
        <w:rPr>
          <w:b w:val="0"/>
          <w:color w:val="000000" w:themeColor="text1"/>
        </w:rPr>
      </w:pPr>
      <w:bookmarkStart w:id="54" w:name="_Toc193697665"/>
      <w:r w:rsidRPr="00375F26">
        <w:rPr>
          <w:color w:val="000000" w:themeColor="text1"/>
        </w:rPr>
        <w:t>Spolupráca s Agentúrou pre jadrovú energiu pri Organizácii pre hospodársku spoluprácu a rozvoj (OECD/NEA)</w:t>
      </w:r>
      <w:bookmarkEnd w:id="54"/>
    </w:p>
    <w:p w14:paraId="0C5C0FBB" w14:textId="42D438B3" w:rsidR="00290018" w:rsidRPr="00375F26" w:rsidRDefault="00290018" w:rsidP="00B505C4">
      <w:pPr>
        <w:jc w:val="both"/>
      </w:pPr>
    </w:p>
    <w:p w14:paraId="49948175" w14:textId="3463C817" w:rsidR="00471174" w:rsidRPr="00375F26" w:rsidRDefault="00471174" w:rsidP="00471174">
      <w:pPr>
        <w:jc w:val="both"/>
      </w:pPr>
      <w:r w:rsidRPr="00375F26">
        <w:t>ÚJD SR ako gestor spolupráce s OECD/NEA na základe uznesenia vlády SR č. 245/2001 koordinuje spoluprácu SR s OECD/NEA a zabezpečuje plnenie záväzkov SR vyplývajúcich z tohto členstva. Zároveň sa ÚJD SR aktívne zapája do činnosti OECD/NEA, ktorú riadi Riadiaci výbor (</w:t>
      </w:r>
      <w:r w:rsidR="00BD6EB8">
        <w:t>ďalej len „</w:t>
      </w:r>
      <w:r w:rsidRPr="00375F26">
        <w:t>RV</w:t>
      </w:r>
      <w:r w:rsidR="00BD6EB8">
        <w:t>“</w:t>
      </w:r>
      <w:r w:rsidRPr="00375F26">
        <w:t>) pre jadrovú energiu. Od roku 2016 je na čele RV predsedníčka ÚJD SR. Komplexná informácia o vyhodnotení spolupráce SR s OECD/NEA za 4. štvrťrok 2023 a 1. štvrťrok 2024 bola odoslaná na MZVEZ SR dňa 26. 4. 2024 a za 2. a 3. štvrťrok 2024 dňa 30. 9. 2024. Zástupcovia ÚJD SR sa v roku 2024 zúčastnili na 147. a 148. zasadnutí RV OECD/NEA, na zasadnutiach Byra RV OECD/NEA, ako aj na virtuálnych rozpočtových stretnutiach RV OECD/NEA a koordinačných stretnutiach EÚ k programu 147. a 148. zasadnutia RV OECD/NEA. Rovnako sa zástupcovia ÚJD SR počas roka 2024 zúčastňovali na zasadnutiach stálych technických výborov a pracovných a expertných skupín OECD/NEA. Pokračovala aktívna spolupráca so Stálou misiou SR pri OECD v Paríži (napr. nominácie zástupov SR do jednotlivých útvarov OECD/NEA, registrácie zástupcov SR na príslušné zasadnutia, organizácia večerí Byra RV OECD/NEA, konzultácie v rámci prípravy na príslušné zasadnutia).</w:t>
      </w:r>
    </w:p>
    <w:p w14:paraId="628FF49B" w14:textId="1FAE22D5" w:rsidR="00290018" w:rsidRDefault="00471174" w:rsidP="00471174">
      <w:pPr>
        <w:jc w:val="both"/>
      </w:pPr>
      <w:r w:rsidRPr="00375F26">
        <w:t xml:space="preserve">Členské príspevky za rok 2024 do OECD/NEA v sume 52 759 eur a NEA </w:t>
      </w:r>
      <w:proofErr w:type="spellStart"/>
      <w:r w:rsidRPr="00375F26">
        <w:t>Data</w:t>
      </w:r>
      <w:proofErr w:type="spellEnd"/>
      <w:r w:rsidRPr="00375F26">
        <w:t xml:space="preserve"> Bank v sume 12 614,70 eur boli uhradené včas a v plnom rozsahu.</w:t>
      </w:r>
    </w:p>
    <w:p w14:paraId="6D68F10F" w14:textId="77777777" w:rsidR="00B505C4" w:rsidRPr="00B505C4" w:rsidRDefault="00B505C4" w:rsidP="00B505C4">
      <w:pPr>
        <w:jc w:val="both"/>
        <w:rPr>
          <w:noProof/>
          <w:szCs w:val="24"/>
        </w:rPr>
      </w:pPr>
    </w:p>
    <w:p w14:paraId="7F1D9C36" w14:textId="78049B84" w:rsidR="0076640B" w:rsidRPr="00882A49" w:rsidRDefault="0076640B" w:rsidP="0067614A">
      <w:pPr>
        <w:pStyle w:val="Nadpis3"/>
        <w:tabs>
          <w:tab w:val="clear" w:pos="1440"/>
          <w:tab w:val="num" w:pos="709"/>
        </w:tabs>
        <w:ind w:left="357" w:hanging="357"/>
        <w:rPr>
          <w:color w:val="000000" w:themeColor="text1"/>
        </w:rPr>
      </w:pPr>
      <w:bookmarkStart w:id="55" w:name="_Toc193697666"/>
      <w:r w:rsidRPr="00882A49">
        <w:rPr>
          <w:color w:val="000000" w:themeColor="text1"/>
        </w:rPr>
        <w:t>Plnenie záväzkov vyplývajúcich z medzinárodných zmluvných dokumentov</w:t>
      </w:r>
      <w:bookmarkEnd w:id="55"/>
    </w:p>
    <w:p w14:paraId="2DFEB343" w14:textId="77777777" w:rsidR="0076640B" w:rsidRPr="00882A49" w:rsidRDefault="0076640B" w:rsidP="008B6E63">
      <w:pPr>
        <w:jc w:val="both"/>
      </w:pPr>
    </w:p>
    <w:p w14:paraId="1F2FDDB2" w14:textId="77777777" w:rsidR="0076640B" w:rsidRPr="00882A49" w:rsidRDefault="0076640B" w:rsidP="008B6E63">
      <w:pPr>
        <w:jc w:val="both"/>
        <w:rPr>
          <w:b/>
          <w:szCs w:val="24"/>
        </w:rPr>
      </w:pPr>
      <w:r w:rsidRPr="00882A49">
        <w:rPr>
          <w:b/>
          <w:szCs w:val="24"/>
        </w:rPr>
        <w:t>Dohovor o jadrovej bezpečnosti</w:t>
      </w:r>
    </w:p>
    <w:p w14:paraId="2E170DEF" w14:textId="219769A6" w:rsidR="00471174" w:rsidRPr="00882A49" w:rsidRDefault="00471174" w:rsidP="008B6E63">
      <w:pPr>
        <w:pStyle w:val="Zarkazkladnhotextu"/>
        <w:spacing w:after="0"/>
        <w:ind w:left="0"/>
        <w:jc w:val="both"/>
      </w:pPr>
      <w:r w:rsidRPr="00882A49">
        <w:t xml:space="preserve">Dohovor o jadrovej bezpečnosti bol ratifikovaný SR dňa 23. 2. 1995. SR v súlade s článkom 5 </w:t>
      </w:r>
      <w:r w:rsidR="00B57507">
        <w:t>D</w:t>
      </w:r>
      <w:r w:rsidRPr="00882A49">
        <w:t xml:space="preserve">ohovoru vypracovala v poradí už deviatu Národnú správu SR, ktorá bola v mesiaci august 2022 zaslaná na MAAE vo Viedni. Národná správa obsahuje základné informácie o tom ako SR plní ustanovenia tohto </w:t>
      </w:r>
      <w:r w:rsidR="002E7AB8">
        <w:t>D</w:t>
      </w:r>
      <w:r w:rsidRPr="00882A49">
        <w:t>ohovoru. Predmetná národná správa bola následn</w:t>
      </w:r>
      <w:r w:rsidR="002E7AB8">
        <w:t>e</w:t>
      </w:r>
      <w:r w:rsidRPr="00882A49">
        <w:t xml:space="preserve"> prerokovaná na spoločnom 8. a 9. posudzovacom zasadnutí </w:t>
      </w:r>
      <w:r w:rsidR="002E7AB8">
        <w:t>D</w:t>
      </w:r>
      <w:r w:rsidRPr="00882A49">
        <w:t xml:space="preserve">ohovoru, ktoré sa uskutočnilo v dňoch 20. – 31. 3. 2023 v sídle MAAE vo Viedni. Zástupcovia zmluvných štátov sa pozitívne vyjadrili o komplexnom a informatívnom charaktere národnej správy, vysoko ocenili jej kompaktnosť, transparentnosť a množstvo poskytnutých technických informácií (národná správa z roku 2022 je prístupná na webovom sídle ÚJD SR na adrese </w:t>
      </w:r>
      <w:hyperlink r:id="rId8" w:history="1">
        <w:r w:rsidRPr="00882A49">
          <w:rPr>
            <w:rStyle w:val="Hypertextovprepojenie"/>
          </w:rPr>
          <w:t>www.ujd.gov.sk</w:t>
        </w:r>
      </w:hyperlink>
      <w:r w:rsidRPr="00882A49">
        <w:t xml:space="preserve">). </w:t>
      </w:r>
    </w:p>
    <w:p w14:paraId="512F10E4" w14:textId="54801ED0" w:rsidR="00033008" w:rsidRPr="00882A49" w:rsidRDefault="00033008" w:rsidP="008B6E63">
      <w:pPr>
        <w:pStyle w:val="Zarkazkladnhotextu"/>
        <w:spacing w:after="0"/>
        <w:ind w:left="0"/>
        <w:jc w:val="both"/>
      </w:pPr>
    </w:p>
    <w:p w14:paraId="53875D64" w14:textId="747D2651" w:rsidR="00471174" w:rsidRPr="00882A49" w:rsidRDefault="0076640B" w:rsidP="00471174">
      <w:pPr>
        <w:pStyle w:val="Zarkazkladnhotextu"/>
        <w:spacing w:after="0"/>
        <w:ind w:left="0"/>
        <w:jc w:val="both"/>
        <w:rPr>
          <w:b/>
        </w:rPr>
      </w:pPr>
      <w:r w:rsidRPr="00882A49">
        <w:rPr>
          <w:b/>
        </w:rPr>
        <w:t>Spoločný dohovor o bezpečnosti nakladania s VJP a o bezpečnosti nakladania s RAO</w:t>
      </w:r>
    </w:p>
    <w:p w14:paraId="7F383707" w14:textId="044C4273" w:rsidR="00471174" w:rsidRPr="00882A49" w:rsidRDefault="00471174" w:rsidP="00033008">
      <w:pPr>
        <w:jc w:val="both"/>
      </w:pPr>
      <w:r w:rsidRPr="00882A49">
        <w:t>Spoločný dohovor o bezpečnosti nakladania s VJP a o bezpečnosti nakladania s</w:t>
      </w:r>
      <w:r w:rsidR="00F35627">
        <w:t xml:space="preserve"> RAO </w:t>
      </w:r>
      <w:r w:rsidRPr="00882A49">
        <w:t xml:space="preserve">(Spoločný dohovor) nadobudol platnosť dňa 18. 6. 2001. V súlade s opatreniami čl. 30 Spoločného dohovoru SR v roku 2024 vypracovala národnú správu v zmysle Spoločného dohovoru, ktorá bola v auguste 2024 zaslaná do MAAE. Predmetná národná správa (dostupná na webovom sídle ÚJD SR na adrese </w:t>
      </w:r>
      <w:hyperlink r:id="rId9" w:history="1">
        <w:r w:rsidR="002E7AB8" w:rsidRPr="00627B28">
          <w:rPr>
            <w:rStyle w:val="Hypertextovprepojenie"/>
          </w:rPr>
          <w:t>https://www.ujd.gov.sk</w:t>
        </w:r>
      </w:hyperlink>
      <w:r w:rsidRPr="00882A49">
        <w:t>)</w:t>
      </w:r>
      <w:r w:rsidR="002E7AB8">
        <w:t xml:space="preserve"> </w:t>
      </w:r>
      <w:r w:rsidRPr="00882A49">
        <w:t xml:space="preserve">bude prerokovaná na 8. posudzovacom zasadnutí zmluvných strán Spoločného dohovoru, ktoré sa uskutoční v dňoch 17. – 28. </w:t>
      </w:r>
      <w:r w:rsidR="00917F28">
        <w:t>3.</w:t>
      </w:r>
      <w:r w:rsidRPr="00882A49">
        <w:t xml:space="preserve"> 2025 v sídle MAAE vo Viedni. </w:t>
      </w:r>
    </w:p>
    <w:p w14:paraId="43731A9A" w14:textId="7C5ABE05" w:rsidR="0003688A" w:rsidRPr="00882A49" w:rsidRDefault="0003688A" w:rsidP="008B6E63">
      <w:pPr>
        <w:pStyle w:val="Zarkazkladnhotextu"/>
        <w:spacing w:after="0"/>
        <w:ind w:left="0"/>
        <w:jc w:val="both"/>
      </w:pPr>
    </w:p>
    <w:p w14:paraId="73921D1E" w14:textId="4636368B" w:rsidR="00471174" w:rsidRPr="00882A49" w:rsidRDefault="0076640B" w:rsidP="00471174">
      <w:pPr>
        <w:autoSpaceDE w:val="0"/>
        <w:autoSpaceDN w:val="0"/>
        <w:adjustRightInd w:val="0"/>
        <w:jc w:val="both"/>
        <w:rPr>
          <w:b/>
          <w:szCs w:val="24"/>
        </w:rPr>
      </w:pPr>
      <w:r w:rsidRPr="00882A49">
        <w:rPr>
          <w:b/>
          <w:szCs w:val="24"/>
        </w:rPr>
        <w:t>Zmluva o nešírení jadrových zbraní</w:t>
      </w:r>
    </w:p>
    <w:p w14:paraId="1162D6BA" w14:textId="77777777" w:rsidR="00471174" w:rsidRPr="00882A49" w:rsidRDefault="00471174" w:rsidP="00471174">
      <w:pPr>
        <w:jc w:val="both"/>
        <w:rPr>
          <w:szCs w:val="24"/>
        </w:rPr>
      </w:pPr>
      <w:r w:rsidRPr="00882A49">
        <w:rPr>
          <w:szCs w:val="24"/>
        </w:rPr>
        <w:t xml:space="preserve">Na základe Dohody medzi Belgickým kráľovstvom, Dánskym kráľovstvom, Spolkovou republikou Nemecko, Írskou republikou, Talianskou republikou, Luxemburským veľkovojvodstvom, Holandským kráľovstvom, Európskym spoločenstvom pre atómovú energiu o implementácii článku III ods. 1 a 4 Zmluvy o nešírení jadrových zbraní a jeho Dodatkového protokolu, vykonávali inšpektori </w:t>
      </w:r>
      <w:proofErr w:type="spellStart"/>
      <w:r w:rsidRPr="00882A49">
        <w:rPr>
          <w:szCs w:val="24"/>
        </w:rPr>
        <w:t>Euratomu</w:t>
      </w:r>
      <w:proofErr w:type="spellEnd"/>
      <w:r w:rsidRPr="00882A49">
        <w:rPr>
          <w:szCs w:val="24"/>
        </w:rPr>
        <w:t xml:space="preserve"> a MAAE inšpekcie. Ani v jednom prípade nebolo konštatované porušovanie záväzkov SR v oblasti nešírenia jadrových zbraní a </w:t>
      </w:r>
      <w:proofErr w:type="spellStart"/>
      <w:r w:rsidRPr="00882A49">
        <w:rPr>
          <w:szCs w:val="24"/>
        </w:rPr>
        <w:t>zárukového</w:t>
      </w:r>
      <w:proofErr w:type="spellEnd"/>
      <w:r w:rsidRPr="00882A49">
        <w:rPr>
          <w:szCs w:val="24"/>
        </w:rPr>
        <w:t xml:space="preserve"> systému. </w:t>
      </w:r>
    </w:p>
    <w:p w14:paraId="07CA19F5" w14:textId="5144780C" w:rsidR="00033008" w:rsidRDefault="00471174" w:rsidP="00467DB2">
      <w:pPr>
        <w:jc w:val="both"/>
        <w:rPr>
          <w:szCs w:val="24"/>
        </w:rPr>
      </w:pPr>
      <w:r w:rsidRPr="00882A49">
        <w:rPr>
          <w:szCs w:val="24"/>
        </w:rPr>
        <w:t>V roku 2024 pokračoval prípravný proces 11. Hodnotiacej konferencie zmluvných strán Zmluvy o nešírení jadrových zbraní (</w:t>
      </w:r>
      <w:r w:rsidR="002E7AB8">
        <w:rPr>
          <w:szCs w:val="24"/>
        </w:rPr>
        <w:t>ďalej len „</w:t>
      </w:r>
      <w:r w:rsidRPr="00882A49">
        <w:rPr>
          <w:szCs w:val="24"/>
        </w:rPr>
        <w:t>NPT</w:t>
      </w:r>
      <w:r w:rsidR="002E7AB8">
        <w:rPr>
          <w:szCs w:val="24"/>
        </w:rPr>
        <w:t>“</w:t>
      </w:r>
      <w:r w:rsidRPr="00882A49">
        <w:rPr>
          <w:szCs w:val="24"/>
        </w:rPr>
        <w:t xml:space="preserve">), ktorá sa uskutoční v roku 2026. V roku 2024 sa uskutočnilo druhé zasadnutie Prípravného výboru NPT v Ženeve.  </w:t>
      </w:r>
    </w:p>
    <w:p w14:paraId="4ABE4697" w14:textId="77777777" w:rsidR="00467DB2" w:rsidRPr="00467DB2" w:rsidRDefault="00467DB2" w:rsidP="00467DB2">
      <w:pPr>
        <w:jc w:val="both"/>
        <w:rPr>
          <w:szCs w:val="24"/>
        </w:rPr>
      </w:pPr>
    </w:p>
    <w:p w14:paraId="171A1EAF" w14:textId="77777777" w:rsidR="0076640B" w:rsidRPr="00882A49" w:rsidRDefault="0076640B" w:rsidP="0067614A">
      <w:pPr>
        <w:pStyle w:val="Nadpis3"/>
        <w:tabs>
          <w:tab w:val="clear" w:pos="1440"/>
          <w:tab w:val="num" w:pos="709"/>
        </w:tabs>
        <w:ind w:left="357" w:hanging="357"/>
        <w:rPr>
          <w:color w:val="000000" w:themeColor="text1"/>
        </w:rPr>
      </w:pPr>
      <w:bookmarkStart w:id="56" w:name="_Toc193697667"/>
      <w:r w:rsidRPr="00882A49">
        <w:rPr>
          <w:color w:val="000000" w:themeColor="text1"/>
        </w:rPr>
        <w:t>Bilaterálna spolupráca</w:t>
      </w:r>
      <w:bookmarkEnd w:id="56"/>
    </w:p>
    <w:p w14:paraId="6017EC86" w14:textId="77777777" w:rsidR="0076640B" w:rsidRPr="00882A49" w:rsidRDefault="0076640B" w:rsidP="0076640B">
      <w:pPr>
        <w:jc w:val="both"/>
        <w:rPr>
          <w:bCs/>
          <w:szCs w:val="24"/>
        </w:rPr>
      </w:pPr>
    </w:p>
    <w:p w14:paraId="133AC22B" w14:textId="77777777" w:rsidR="00471174" w:rsidRPr="00882A49" w:rsidRDefault="00471174" w:rsidP="00471174">
      <w:pPr>
        <w:jc w:val="both"/>
      </w:pPr>
      <w:r w:rsidRPr="00882A49">
        <w:t xml:space="preserve">Bilaterálna spolupráca sa realizuje na vládnej úrovni, predovšetkým so susednými štátmi, a na úrovni dozorných orgánov nad jadrovou a radiačnou bezpečnosťou. ÚJD SR pravidelne organizuje stretnutia s predstaviteľmi vládnych a iných partnerských organizácií susedných štátov. </w:t>
      </w:r>
    </w:p>
    <w:p w14:paraId="042F4D9B" w14:textId="1301C100" w:rsidR="00471174" w:rsidRPr="00882A49" w:rsidRDefault="00471174" w:rsidP="00471174">
      <w:pPr>
        <w:jc w:val="both"/>
      </w:pPr>
      <w:r w:rsidRPr="00882A49">
        <w:t>V roku 2024 sa uskutočnili pravidelné každoročné bilaterálne a multilaterálne stretnutia k otázkam spoločného záujmu v oblasti jadrovej a radiačnej bezpečnosti. V dňoch 11. a 12. 4. 2024 sa v Tomášove konalo bilaterálne stretnutie zástupcov dozorných orgánov nad jadrovou bezpečnosťou SR (ÚJD SR) a Poľskej republiky (</w:t>
      </w:r>
      <w:r w:rsidR="002E7AB8">
        <w:t>ďalej len „</w:t>
      </w:r>
      <w:r w:rsidRPr="00882A49">
        <w:t>PAA</w:t>
      </w:r>
      <w:r w:rsidR="002E7AB8">
        <w:t>“</w:t>
      </w:r>
      <w:r w:rsidRPr="00882A49">
        <w:t>). Účastníci stretnutia sa vzájomne informovali o aktuálnom vývoji aktivít dozorných orgánov a najdôležitejších činnostiach za ostatné obdobie. Diskutovali aj o aktuálnych otázkach týkajúcich sa bezpečnosti jadrových zariadení v ich štátoch, dozorných a legislatívnych rámcoch a vývoji medzinárodných záležitostí. Ďalšie bilaterálne stretnutie sa  uskutočn</w:t>
      </w:r>
      <w:r w:rsidR="00917F28">
        <w:t>í</w:t>
      </w:r>
      <w:r w:rsidRPr="00882A49">
        <w:t xml:space="preserve"> v roku 202</w:t>
      </w:r>
      <w:r w:rsidR="00DD4FE9">
        <w:t>5</w:t>
      </w:r>
      <w:r w:rsidRPr="00882A49">
        <w:t xml:space="preserve"> v Poľskej republike.</w:t>
      </w:r>
    </w:p>
    <w:p w14:paraId="761A4AE7" w14:textId="6A802F6F" w:rsidR="00471174" w:rsidRPr="00882A49" w:rsidRDefault="00471174" w:rsidP="00471174">
      <w:pPr>
        <w:jc w:val="both"/>
      </w:pPr>
      <w:r w:rsidRPr="00882A49">
        <w:lastRenderedPageBreak/>
        <w:t xml:space="preserve">V dňoch 14. a 15. 5. 2024 sa v maďarskom </w:t>
      </w:r>
      <w:proofErr w:type="spellStart"/>
      <w:r w:rsidRPr="00882A49">
        <w:t>Balatonfürede</w:t>
      </w:r>
      <w:proofErr w:type="spellEnd"/>
      <w:r w:rsidRPr="00882A49">
        <w:t xml:space="preserve"> konalo multilaterálne stretnutie zástupcov dozorných orgánov nad jadrovou bezpečnosťou S</w:t>
      </w:r>
      <w:r w:rsidR="00F35627">
        <w:t>R</w:t>
      </w:r>
      <w:r w:rsidRPr="00882A49">
        <w:t xml:space="preserve"> (ÚJD SR), Českej republiky (SÚJB), Fínskej republiky (STUK), Maďarskej republiky (OAH) a Slovinskej republiky (SNSA), na ktoré boli prvýkrát pozvaní aj zástupcovia z poľského dozorného orgánu (PAA). Účastníci stretnutia sa vzájomne informovali o aktuálnom vývoji aktivít v rámci svojich dozorných činností vykonaných za ostatné obdobie. Diskutovali aj o aktuálnych otázkach týkajúcich sa bezpečnosti jadrových zariadení v ich štátoch, dozorných a legislatívnych rámcoch, vývoji medzinárodných záležitostí (vrátane EÚ/</w:t>
      </w:r>
      <w:proofErr w:type="spellStart"/>
      <w:r w:rsidRPr="00882A49">
        <w:t>Euratom</w:t>
      </w:r>
      <w:proofErr w:type="spellEnd"/>
      <w:r w:rsidRPr="00882A49">
        <w:t>),</w:t>
      </w:r>
      <w:r w:rsidR="00A33C14">
        <w:t xml:space="preserve"> </w:t>
      </w:r>
      <w:r w:rsidRPr="00882A49">
        <w:t xml:space="preserve">medzinárodných projektoch, do ktorých sú dozorné orgány z týchto štátov zapojené, ako aj o diverzifikácii dodávok jadrového paliva. Ďalšie multilaterálne stretnutie sa plánuje v roku 2025 v Slovinskej republike. </w:t>
      </w:r>
    </w:p>
    <w:p w14:paraId="6385B4B2" w14:textId="16BDF7F8" w:rsidR="00471174" w:rsidRPr="00882A49" w:rsidRDefault="00471174" w:rsidP="00471174">
      <w:pPr>
        <w:jc w:val="both"/>
      </w:pPr>
      <w:r w:rsidRPr="00882A49">
        <w:t xml:space="preserve">V dňoch 17. a 18. 6. 2024 </w:t>
      </w:r>
      <w:r w:rsidR="00917F28">
        <w:t>zorganizoval ÚJD SR</w:t>
      </w:r>
      <w:r w:rsidRPr="00882A49">
        <w:t xml:space="preserve"> vo Voderadoch</w:t>
      </w:r>
      <w:r w:rsidR="00843B69">
        <w:t xml:space="preserve"> </w:t>
      </w:r>
      <w:r w:rsidRPr="00882A49">
        <w:t xml:space="preserve">31. bilaterálne stretnutie delegácií SR a Rakúskej republiky k otázkam spoločného záujmu týkajúceho sa jadrovej bezpečnosti a radiačnej ochrany. Partneri sa navzájom informovali o aktuálnom vývoji v oblasti jadrovej bezpečnosti a radiačnej ochrany, aktivitách dozorných orgánov a relevantných inštitúcií, spúšťaní a prevádzke jadrových zariadení, zmenách v legislatíve, ako aj vývoji v oblasti radiačného monitoringu v oboch štátoch. Prerokované témy taktiež zahŕňali oblasť havarijnej pripravenosti, vyraďovania jadrových zariadení a problematiku nového jadrového zdroja v SR. Ďalšie bilaterálne stretnutie sa uskutoční v roku 2025 v Rakúsku. </w:t>
      </w:r>
    </w:p>
    <w:p w14:paraId="0ADE4266" w14:textId="01B6098F" w:rsidR="00471174" w:rsidRDefault="00471174" w:rsidP="00471174">
      <w:pPr>
        <w:jc w:val="both"/>
      </w:pPr>
      <w:r w:rsidRPr="00882A49">
        <w:t>Komunikácia s ďalšími partnermi v roku 2024 naďalej pokračovala na vysokej úrovni. Prebiehala výmena informácií o stave jadrovej bezpečnosti na územiach štátov a konzultovali sa otázky spoločného záujmu, ku ktorým sa prijímajú spoločné stanoviská.</w:t>
      </w:r>
    </w:p>
    <w:p w14:paraId="26D8D974" w14:textId="77777777" w:rsidR="00033008" w:rsidRPr="00D67B2D" w:rsidRDefault="00033008" w:rsidP="00033008">
      <w:pPr>
        <w:jc w:val="both"/>
        <w:rPr>
          <w:szCs w:val="24"/>
        </w:rPr>
      </w:pPr>
    </w:p>
    <w:p w14:paraId="6B7EB619" w14:textId="49ACE97D" w:rsidR="003661AC" w:rsidRPr="0042622D" w:rsidRDefault="001C18F4" w:rsidP="00A07FAF">
      <w:pPr>
        <w:pStyle w:val="Nadpis2"/>
        <w:tabs>
          <w:tab w:val="num" w:pos="0"/>
        </w:tabs>
        <w:ind w:left="0" w:firstLine="0"/>
        <w:rPr>
          <w:bCs/>
          <w:sz w:val="28"/>
          <w:szCs w:val="28"/>
          <w:u w:val="single"/>
        </w:rPr>
      </w:pPr>
      <w:bookmarkStart w:id="57" w:name="_Toc193697668"/>
      <w:r w:rsidRPr="0042622D">
        <w:rPr>
          <w:bCs/>
          <w:sz w:val="28"/>
          <w:szCs w:val="28"/>
          <w:u w:val="single"/>
        </w:rPr>
        <w:t>Komunikácia s verejnosťou</w:t>
      </w:r>
      <w:bookmarkEnd w:id="57"/>
    </w:p>
    <w:p w14:paraId="09862D97" w14:textId="4D64B711" w:rsidR="00A5398D" w:rsidRPr="00094067" w:rsidRDefault="00A5398D" w:rsidP="005B072A">
      <w:pPr>
        <w:jc w:val="both"/>
        <w:rPr>
          <w:lang w:val="x-none" w:eastAsia="cs-CZ"/>
        </w:rPr>
      </w:pPr>
    </w:p>
    <w:p w14:paraId="0DA61513" w14:textId="77777777" w:rsidR="004D3EEE" w:rsidRPr="0010181B" w:rsidRDefault="004D3EEE" w:rsidP="004D3EEE">
      <w:pPr>
        <w:jc w:val="both"/>
      </w:pPr>
      <w:r>
        <w:t>Komunikácia a informovanie verejnosti všetkými dostupnými komunikačnými prostriedkami a kanálmi je jednou z hlavných priorít ÚJD SR, ktorá vyplýva z jeho postavenia a pôsobnosti.</w:t>
      </w:r>
    </w:p>
    <w:p w14:paraId="378344D5" w14:textId="710A2D49" w:rsidR="004D3EEE" w:rsidRDefault="004D3EEE" w:rsidP="004D3EEE">
      <w:pPr>
        <w:jc w:val="both"/>
      </w:pPr>
      <w:r w:rsidRPr="00DE7F6F">
        <w:t>Aj v roku 202</w:t>
      </w:r>
      <w:r w:rsidR="006A0ED6">
        <w:t>4</w:t>
      </w:r>
      <w:r w:rsidRPr="00DE7F6F">
        <w:t xml:space="preserve"> prebiehala komunikácia úradu smerom navonok v súlade s metodickým usmernením obsiahnutým v Stratégii</w:t>
      </w:r>
      <w:r w:rsidRPr="0010181B">
        <w:t xml:space="preserve"> </w:t>
      </w:r>
      <w:bookmarkStart w:id="58" w:name="_Hlk159238097"/>
      <w:r w:rsidRPr="0010181B">
        <w:t xml:space="preserve">komunikácie </w:t>
      </w:r>
      <w:r>
        <w:t xml:space="preserve">ÚJD SR </w:t>
      </w:r>
      <w:r w:rsidRPr="0010181B">
        <w:t xml:space="preserve">s verejnosťou do roku </w:t>
      </w:r>
      <w:bookmarkEnd w:id="58"/>
      <w:r w:rsidRPr="0010181B">
        <w:t>202</w:t>
      </w:r>
      <w:r w:rsidR="006A0ED6">
        <w:t>8</w:t>
      </w:r>
      <w:r w:rsidRPr="0010181B">
        <w:t xml:space="preserve">. Dokument definuje cieľ </w:t>
      </w:r>
      <w:r>
        <w:t>úradu</w:t>
      </w:r>
      <w:r w:rsidRPr="0010181B">
        <w:t xml:space="preserve"> v oblasti komunikácie s verejnosťou, určuje stratégiu a prostriedky na dosiahnutie cieľa, cieľové skupiny a zásady komunikácie s verejnosťou. Na </w:t>
      </w:r>
      <w:r>
        <w:t>dokument</w:t>
      </w:r>
      <w:r w:rsidRPr="0010181B">
        <w:t xml:space="preserve"> priamo reflektuje </w:t>
      </w:r>
      <w:bookmarkStart w:id="59" w:name="_Hlk159238121"/>
      <w:r w:rsidRPr="0010181B">
        <w:t>Akčný plán komunikácie ÚJD</w:t>
      </w:r>
      <w:r>
        <w:t> </w:t>
      </w:r>
      <w:r w:rsidRPr="0010181B">
        <w:t>SR s verejnosťou a médiami na roky 202</w:t>
      </w:r>
      <w:r w:rsidR="006A0ED6">
        <w:t>4</w:t>
      </w:r>
      <w:r>
        <w:t> </w:t>
      </w:r>
      <w:r w:rsidRPr="0010181B">
        <w:t>–</w:t>
      </w:r>
      <w:r>
        <w:t> </w:t>
      </w:r>
      <w:r w:rsidRPr="0010181B">
        <w:t>202</w:t>
      </w:r>
      <w:r w:rsidR="006A0ED6">
        <w:t>5</w:t>
      </w:r>
      <w:bookmarkEnd w:id="59"/>
      <w:r w:rsidRPr="0010181B">
        <w:t>, ktorý obsahuje úlohy, termíny a </w:t>
      </w:r>
      <w:r>
        <w:t>určuje</w:t>
      </w:r>
      <w:r w:rsidRPr="0010181B">
        <w:t xml:space="preserve"> zodpovednosti</w:t>
      </w:r>
      <w:r>
        <w:t xml:space="preserve"> vedúce</w:t>
      </w:r>
      <w:r w:rsidRPr="0010181B">
        <w:t xml:space="preserve"> k splneniu vytýčeného cieľa.</w:t>
      </w:r>
      <w:r>
        <w:t xml:space="preserve"> </w:t>
      </w:r>
    </w:p>
    <w:p w14:paraId="51F0BDC9" w14:textId="77777777" w:rsidR="00220CF7" w:rsidRDefault="004D3EEE" w:rsidP="004D3EEE">
      <w:pPr>
        <w:jc w:val="both"/>
      </w:pPr>
      <w:r>
        <w:t>Primárnym c</w:t>
      </w:r>
      <w:r w:rsidRPr="0010181B">
        <w:t>ieľom komunikácie s verejnosťou je informovať domácu a zahraničnú verejnosť o dianí v</w:t>
      </w:r>
      <w:r>
        <w:t> </w:t>
      </w:r>
      <w:r w:rsidRPr="0010181B">
        <w:t>pôsobnosti ÚJD</w:t>
      </w:r>
      <w:r>
        <w:t> </w:t>
      </w:r>
      <w:r w:rsidRPr="0010181B">
        <w:t>SR a prostredníctvom aktuálneho, objektívneho a zrozumiteľného informovania a obojstrannej otvorenej komunikácie budovať dôveru verejnosti k činnosti ÚJD</w:t>
      </w:r>
      <w:r>
        <w:t> </w:t>
      </w:r>
      <w:r w:rsidRPr="0010181B">
        <w:t xml:space="preserve">SR. </w:t>
      </w:r>
      <w:r>
        <w:t>Úrad a</w:t>
      </w:r>
      <w:r w:rsidRPr="0010181B">
        <w:t>ko objektívny a nezávislý dozorný orgán neustále vytvára podmienky na zabezpečenie</w:t>
      </w:r>
      <w:r>
        <w:t xml:space="preserve"> proaktívneho</w:t>
      </w:r>
      <w:r w:rsidRPr="0010181B">
        <w:t xml:space="preserve"> informovania verejnosti a médií prostredníctvom vydávania tlačových správ, aktualít zverejňovaných na webovom sídle úradu, ale aj prostredníctvom profil</w:t>
      </w:r>
      <w:r>
        <w:t>ov</w:t>
      </w:r>
      <w:r w:rsidRPr="0010181B">
        <w:t xml:space="preserve"> na sociálnej sieti Facebook</w:t>
      </w:r>
      <w:r>
        <w:t xml:space="preserve"> a </w:t>
      </w:r>
      <w:r w:rsidRPr="00DE7F6F">
        <w:t>LinkedIn.</w:t>
      </w:r>
      <w:r w:rsidRPr="0010181B">
        <w:t xml:space="preserve"> Pre zahraničnú verejnosť je prevádzkované webové sídlo aj v anglickej mutácii. </w:t>
      </w:r>
    </w:p>
    <w:p w14:paraId="41F46B6E" w14:textId="576BC3CB" w:rsidR="004D3EEE" w:rsidRPr="0010181B" w:rsidRDefault="004D3EEE" w:rsidP="004D3EEE">
      <w:pPr>
        <w:jc w:val="both"/>
      </w:pPr>
      <w:r>
        <w:t>N</w:t>
      </w:r>
      <w:r w:rsidRPr="0010181B">
        <w:t>osným komunikačným kanálom s</w:t>
      </w:r>
      <w:r>
        <w:t> </w:t>
      </w:r>
      <w:r w:rsidRPr="0010181B">
        <w:t>verejnosťou</w:t>
      </w:r>
      <w:r>
        <w:t xml:space="preserve"> je</w:t>
      </w:r>
      <w:r w:rsidRPr="0010181B">
        <w:t xml:space="preserve"> práve webové sídlo, preto sú na ňom </w:t>
      </w:r>
      <w:r>
        <w:t xml:space="preserve">okrem iného </w:t>
      </w:r>
      <w:r w:rsidRPr="0010181B">
        <w:t>zverejnené a priebežne aktualizované</w:t>
      </w:r>
      <w:r>
        <w:t xml:space="preserve"> aj</w:t>
      </w:r>
      <w:r w:rsidRPr="0010181B">
        <w:t xml:space="preserve"> zákony a predpisy v oblasti jadrovej bezpečnosti, súvisiace právne predpisy, celé znenia </w:t>
      </w:r>
      <w:r>
        <w:t>BN,</w:t>
      </w:r>
      <w:r w:rsidRPr="0010181B">
        <w:t xml:space="preserve"> rozhodnutia, ktoré ÚJD</w:t>
      </w:r>
      <w:r>
        <w:t> </w:t>
      </w:r>
      <w:r w:rsidRPr="0010181B">
        <w:t>SR vydal, ako i </w:t>
      </w:r>
      <w:r>
        <w:t>prebiehajúce</w:t>
      </w:r>
      <w:r w:rsidRPr="0010181B">
        <w:t xml:space="preserve"> správne konania úradu. ÚJD</w:t>
      </w:r>
      <w:r>
        <w:t> </w:t>
      </w:r>
      <w:r w:rsidRPr="0010181B">
        <w:t>SR na webovom sídle, a tiež prostredníctvom portálu otvorených údajov data.</w:t>
      </w:r>
      <w:r w:rsidR="00641C85">
        <w:t>slovensko</w:t>
      </w:r>
      <w:r w:rsidRPr="0010181B">
        <w:t>.sk</w:t>
      </w:r>
      <w:r w:rsidR="00AB7458">
        <w:t xml:space="preserve">, </w:t>
      </w:r>
      <w:r w:rsidRPr="0010181B">
        <w:t xml:space="preserve">trvalo sprístupňuje vybrané súbory otvorených údajov, tzv. </w:t>
      </w:r>
      <w:proofErr w:type="spellStart"/>
      <w:r w:rsidRPr="0010181B">
        <w:t>datasety</w:t>
      </w:r>
      <w:proofErr w:type="spellEnd"/>
      <w:r w:rsidRPr="0010181B">
        <w:t>, ako sú napríklad všetky objednávky, zmluvy</w:t>
      </w:r>
      <w:r w:rsidR="00164E83">
        <w:t xml:space="preserve"> a </w:t>
      </w:r>
      <w:r w:rsidRPr="0010181B">
        <w:t>faktúry</w:t>
      </w:r>
      <w:r w:rsidR="00164E83">
        <w:t>,</w:t>
      </w:r>
      <w:r w:rsidRPr="0010181B">
        <w:t xml:space="preserve">  zoznam držiteľov povolení</w:t>
      </w:r>
      <w:r w:rsidR="00164E83">
        <w:t xml:space="preserve">, </w:t>
      </w:r>
      <w:r w:rsidR="00164E83" w:rsidRPr="00164E83">
        <w:t>plánované inšpekcie, zoznam pracovných skupín atď. Celkovo poskytuje ÚJD SR v rámci otvorených dát</w:t>
      </w:r>
      <w:r w:rsidR="00D474A1">
        <w:t xml:space="preserve"> </w:t>
      </w:r>
      <w:r w:rsidR="00D474A1" w:rsidRPr="00164E83">
        <w:t xml:space="preserve">13 </w:t>
      </w:r>
      <w:proofErr w:type="spellStart"/>
      <w:r w:rsidR="00D474A1" w:rsidRPr="00164E83">
        <w:t>datasetov</w:t>
      </w:r>
      <w:proofErr w:type="spellEnd"/>
      <w:r w:rsidR="00164E83" w:rsidRPr="00164E83">
        <w:t>.</w:t>
      </w:r>
    </w:p>
    <w:p w14:paraId="58CA42CF" w14:textId="1CCEA62F" w:rsidR="004D3EEE" w:rsidRPr="0010181B" w:rsidRDefault="004D3EEE" w:rsidP="004D3EEE">
      <w:pPr>
        <w:jc w:val="both"/>
      </w:pPr>
      <w:r>
        <w:lastRenderedPageBreak/>
        <w:t>W</w:t>
      </w:r>
      <w:r w:rsidRPr="0010181B">
        <w:t>ebové sídlo</w:t>
      </w:r>
      <w:r w:rsidR="00164E83">
        <w:t xml:space="preserve"> ÚJD SR</w:t>
      </w:r>
      <w:r w:rsidRPr="0010181B">
        <w:t>, ktoré</w:t>
      </w:r>
      <w:r>
        <w:t xml:space="preserve"> bolo v roku 2021 sprístupnené verejnosti </w:t>
      </w:r>
      <w:r w:rsidR="00164E83" w:rsidRPr="00164E83">
        <w:t xml:space="preserve">v súlade s platnými legislatívnymi požiadavkami na informačné systémy verejnej správy, bolo aj v roku 2024 predmetom kontinuálneho rozvoja. ÚJD SR sa zameral na ďalšie zlepšovanie a pokračoval v systematickom rozvoji a optimalizácii webového sídla s cieľom zvýšiť jeho používateľskú prístupnosť, informovanosť a efektivitu. V rámci týchto aktivít bola vylepšená funkcionalita súhlasnej lišty pre súbory </w:t>
      </w:r>
      <w:proofErr w:type="spellStart"/>
      <w:r w:rsidR="00164E83" w:rsidRPr="00164E83">
        <w:t>cookies</w:t>
      </w:r>
      <w:proofErr w:type="spellEnd"/>
      <w:r w:rsidR="00164E83" w:rsidRPr="00164E83">
        <w:t xml:space="preserve"> v súlade s aktuálnymi legislatívnymi požiadavkami. V roku 2024 boli implementované vyhľadávacie filtre v sekcii objednávok a faktúr, čo umožňuje rýchlejšiu a jednoduchšiu orientáciu v dostupných údajoch pre užívateľov. Okrem toho sa uskutočnila príprava nového spôsobu zobrazovania správnych konaní, čim sa zabezpečí vyššia prehľadnosť a transparentnosť v rámci komunikácie zásadných činností úradu s verejnosťou. V rámci prístupnosti webového sídla boli odstránené nesúlady a vyhlásenie o prístupnosti bolo tak, ako po minulé roky, aktualizované. Počas celého roka sa pracovalo na pravidelnej aktualizáci</w:t>
      </w:r>
      <w:r w:rsidR="00D474A1">
        <w:t>i</w:t>
      </w:r>
      <w:r w:rsidR="00164E83" w:rsidRPr="00164E83">
        <w:t xml:space="preserve"> obsahu v </w:t>
      </w:r>
      <w:r>
        <w:t xml:space="preserve">oboch jazykových mutáciách tak, aby verejnosť vedela jednoducho získať komplexné a aktuálne informácie o činnosti dozorného orgánu. </w:t>
      </w:r>
      <w:r w:rsidRPr="0010181B">
        <w:t>Keďže komunikácia a poskytovanie informácií je jednou z priorít ÚJD</w:t>
      </w:r>
      <w:r>
        <w:t> </w:t>
      </w:r>
      <w:r w:rsidRPr="0010181B">
        <w:t xml:space="preserve">SR, úrad umožňuje verejnosti a médiám priamy kontakt prostredníctvom špeciálnej emailovej adresy </w:t>
      </w:r>
      <w:hyperlink r:id="rId10" w:history="1">
        <w:r w:rsidRPr="00C102A7">
          <w:t>info@ujd.gov.sk</w:t>
        </w:r>
      </w:hyperlink>
      <w:r w:rsidRPr="0010181B">
        <w:t xml:space="preserve">. </w:t>
      </w:r>
    </w:p>
    <w:p w14:paraId="6271F5F5" w14:textId="1707518E" w:rsidR="004D3EEE" w:rsidRDefault="004D3EEE" w:rsidP="004D3EEE">
      <w:pPr>
        <w:jc w:val="both"/>
      </w:pPr>
      <w:r w:rsidRPr="0010181B">
        <w:t>ÚJD</w:t>
      </w:r>
      <w:r>
        <w:t> </w:t>
      </w:r>
      <w:r w:rsidRPr="0010181B">
        <w:t>SR v roku 202</w:t>
      </w:r>
      <w:r w:rsidR="006A0ED6">
        <w:t>4</w:t>
      </w:r>
      <w:r w:rsidRPr="0010181B">
        <w:t xml:space="preserve"> odpovedal na otázky domácich a zahraničných médií, ktoré sa týkali prevažne uvádzania 4. bloku JE Mochovce do prevádzky</w:t>
      </w:r>
      <w:r w:rsidR="006A0ED6">
        <w:t>, licencovania nového jadrového paliva či</w:t>
      </w:r>
      <w:r>
        <w:t xml:space="preserve">  jadrovej bezpečnosti na U</w:t>
      </w:r>
      <w:r w:rsidR="006448F0">
        <w:t>A</w:t>
      </w:r>
      <w:r w:rsidRPr="0010181B">
        <w:t>. Okrem toho úrad počas celého roka vydával tlačové správy nielen k uvedenej problematike</w:t>
      </w:r>
      <w:r w:rsidR="004E1E3C">
        <w:t>. P</w:t>
      </w:r>
      <w:r>
        <w:t xml:space="preserve">redsedníčka ÚJD SR </w:t>
      </w:r>
      <w:r w:rsidRPr="0010181B">
        <w:t>poskytoval</w:t>
      </w:r>
      <w:r>
        <w:t>a</w:t>
      </w:r>
      <w:r w:rsidRPr="0010181B">
        <w:t xml:space="preserve"> rozhovory na témy, ktoré úzko súvisia s výkonom činností úradu. V</w:t>
      </w:r>
      <w:r w:rsidR="00E178C8">
        <w:t> </w:t>
      </w:r>
      <w:r w:rsidRPr="0010181B">
        <w:t>súvislosti</w:t>
      </w:r>
      <w:r w:rsidR="00E178C8">
        <w:t xml:space="preserve"> s vydaním povolenia na prevádzku 3. blo</w:t>
      </w:r>
      <w:r w:rsidR="009B29EE">
        <w:t>k</w:t>
      </w:r>
      <w:r w:rsidR="00E178C8">
        <w:t>u</w:t>
      </w:r>
      <w:r w:rsidR="009B29EE">
        <w:t xml:space="preserve"> a vydaním povolenia na uvádzanie 4. </w:t>
      </w:r>
      <w:r w:rsidRPr="0010181B">
        <w:t>bloku JE Mochovce do prevádzky úrad pravidelne inform</w:t>
      </w:r>
      <w:r>
        <w:t xml:space="preserve">oval </w:t>
      </w:r>
      <w:r w:rsidRPr="0010181B">
        <w:t>o jednotlivých krokoch nielen prostredníctvom správnych konaní, tlačových správ a odpovedí na otázky zo strany médií, ale aj pravidelnou aktualizáciou podstránky webového sídla venovanej výlučne dostavbe a uvádzaniu do prevádzky.</w:t>
      </w:r>
    </w:p>
    <w:p w14:paraId="0ED063B8" w14:textId="3D703CDC" w:rsidR="0042622D" w:rsidRDefault="0042622D" w:rsidP="004D3EEE">
      <w:pPr>
        <w:jc w:val="both"/>
      </w:pPr>
      <w:r>
        <w:t>V roku 2024, pri príležitosti 20. výročia vstupu SR do EÚ,</w:t>
      </w:r>
      <w:r w:rsidR="006C296F">
        <w:t xml:space="preserve"> bol predsedníčke ÚJD SR vládou SR udelený čestný titul „Nositeľ štátnej ceny Alexandra Dubčeka“, ktorý získala za významné zásluhy o rozvoj v oblasti jadrovej energetiky a šírenie dobrého mena SR v medzinárodných odborných inštitúciách. </w:t>
      </w:r>
    </w:p>
    <w:p w14:paraId="08453711" w14:textId="49A2D34D" w:rsidR="004D3EEE" w:rsidRPr="0010181B" w:rsidRDefault="004D3EEE" w:rsidP="004D3EEE">
      <w:pPr>
        <w:jc w:val="both"/>
      </w:pPr>
      <w:r w:rsidRPr="0010181B">
        <w:t>Úrad ako ústredný orgán štátnej správy odpovedal počas roka aj na žiadosti o informácie podľa zákona č.</w:t>
      </w:r>
      <w:r>
        <w:t> </w:t>
      </w:r>
      <w:r w:rsidRPr="0010181B">
        <w:t xml:space="preserve">211/2000 Z. z. o slobodnom prístupe k informáciám a o zmene a doplnení niektorých zákonov (zákon o slobode informácií) v znení neskorších predpisov. </w:t>
      </w:r>
      <w:r w:rsidR="00705FA9" w:rsidRPr="00705FA9">
        <w:t>V roku 2024 bolo na ÚJD SR v zmysle zákona č. 211/2000 Z. z. o slobodnom prístupe k informáciám doručených 17 žiadostí, z toho bolo 16 žiadostí vybavených úplným sprístupnením informácií v zákonných lehotách (z týchto šestnástich žiadostí bola 1 žiadosť vybavená odpoveďou v zákonnej lehote a aj následným postúpením) a 1 žiadosť bola vybavená postúpením.</w:t>
      </w:r>
      <w:r w:rsidR="00705FA9">
        <w:t xml:space="preserve"> </w:t>
      </w:r>
      <w:r w:rsidRPr="0010181B">
        <w:t xml:space="preserve">Komunikačnú </w:t>
      </w:r>
      <w:r>
        <w:t xml:space="preserve">a informačnú </w:t>
      </w:r>
      <w:r w:rsidRPr="0010181B">
        <w:t>funkciu pre verejnosť plní aj dotykový informačný kiosk, ktorý úrad prevádzkuje od roku 2016</w:t>
      </w:r>
      <w:r w:rsidR="00BD6D2A">
        <w:t>. Kiosk</w:t>
      </w:r>
      <w:r w:rsidRPr="0010181B">
        <w:t xml:space="preserve"> je umiestnený pri vchode do budovy sídla ÚJD</w:t>
      </w:r>
      <w:r>
        <w:t> </w:t>
      </w:r>
      <w:r w:rsidRPr="0010181B">
        <w:t>SR v Bratislave a je prístupný verejnosti 24 hodín denne. Okrem toho, že kiosk slúži ako elektronická úradná tabuľa</w:t>
      </w:r>
      <w:r>
        <w:t xml:space="preserve"> ÚJD SR</w:t>
      </w:r>
      <w:r w:rsidRPr="0010181B">
        <w:t xml:space="preserve">, kde sa prehľadne zobrazujú </w:t>
      </w:r>
      <w:r>
        <w:t xml:space="preserve">prebiehajúce </w:t>
      </w:r>
      <w:r w:rsidRPr="0010181B">
        <w:t xml:space="preserve">správne konania a všetky rozhodnutia vydané úradom, má verejnosť prostredníctvom </w:t>
      </w:r>
      <w:r w:rsidR="00BD6D2A">
        <w:t>neho</w:t>
      </w:r>
      <w:r w:rsidRPr="0010181B">
        <w:t xml:space="preserve"> plný prístup aj na webové sídlo. Pre väčšiu prehľadnosť a jednoduchší prístup k informáciám o rozhodovacej činnosti </w:t>
      </w:r>
      <w:r>
        <w:t>úradu</w:t>
      </w:r>
      <w:r w:rsidRPr="0010181B">
        <w:t xml:space="preserve"> je na webovom sídle vytvorená sekcia „Úradná tabuľa ÚJD</w:t>
      </w:r>
      <w:r>
        <w:t> </w:t>
      </w:r>
      <w:r w:rsidRPr="0010181B">
        <w:t>SR“, kde sú prehľadne zobrazené prebiehajúce správne konania a vydané rozhodnutia</w:t>
      </w:r>
      <w:r>
        <w:t xml:space="preserve"> ÚJD SR</w:t>
      </w:r>
      <w:r w:rsidRPr="0010181B">
        <w:t>.</w:t>
      </w:r>
    </w:p>
    <w:p w14:paraId="3F1DD7DD" w14:textId="531EEB1F" w:rsidR="00220CF7" w:rsidRDefault="004D3EEE" w:rsidP="004D3EEE">
      <w:pPr>
        <w:jc w:val="both"/>
      </w:pPr>
      <w:r w:rsidRPr="0010181B">
        <w:t>ÚJD</w:t>
      </w:r>
      <w:r>
        <w:t> </w:t>
      </w:r>
      <w:r w:rsidRPr="0010181B">
        <w:t xml:space="preserve">SR prehlbuje informovanosť verejnosti o svojej činnosti a poslaní s cieľom </w:t>
      </w:r>
      <w:r>
        <w:t>budovania a zvyšovania dôvery</w:t>
      </w:r>
      <w:r w:rsidRPr="0010181B">
        <w:t xml:space="preserve"> </w:t>
      </w:r>
      <w:r>
        <w:t>k</w:t>
      </w:r>
      <w:r w:rsidRPr="0010181B">
        <w:t xml:space="preserve"> odborn</w:t>
      </w:r>
      <w:r>
        <w:t>ému</w:t>
      </w:r>
      <w:r w:rsidRPr="0010181B">
        <w:t xml:space="preserve"> a spoľahl</w:t>
      </w:r>
      <w:r>
        <w:t>ivému</w:t>
      </w:r>
      <w:r w:rsidRPr="0010181B">
        <w:t xml:space="preserve"> dozor</w:t>
      </w:r>
      <w:r>
        <w:t>nému orgánu</w:t>
      </w:r>
      <w:r w:rsidRPr="0010181B">
        <w:t xml:space="preserve">, ktorý je hodnoverným zdrojom informácií aj prípravou a zverejňovaním informačných materiálov, predovšetkým každoročným vydávaním </w:t>
      </w:r>
      <w:r w:rsidR="00BD6D2A">
        <w:t>v</w:t>
      </w:r>
      <w:r w:rsidRPr="0010181B">
        <w:t>ýročnej správy.</w:t>
      </w:r>
      <w:r w:rsidR="00D25FB4">
        <w:t xml:space="preserve"> </w:t>
      </w:r>
      <w:r w:rsidRPr="0010181B">
        <w:t>Trvalá pozornosť sa venuje zrozumiteľnému informovaniu verejnosti a</w:t>
      </w:r>
      <w:r>
        <w:t xml:space="preserve"> tiež</w:t>
      </w:r>
      <w:r w:rsidRPr="0010181B">
        <w:t> korektnosti publikovaných informácií</w:t>
      </w:r>
      <w:r>
        <w:t>, vrátane medzirezortnej spolupráce v boji proti šíreniu dezinformác</w:t>
      </w:r>
      <w:r w:rsidR="00BD6D2A">
        <w:t>i</w:t>
      </w:r>
      <w:r>
        <w:t>í</w:t>
      </w:r>
      <w:r w:rsidRPr="0010181B">
        <w:t>.</w:t>
      </w:r>
    </w:p>
    <w:p w14:paraId="625E424B" w14:textId="1A5DAECB" w:rsidR="004D3EEE" w:rsidRDefault="004D3EEE" w:rsidP="004D3EEE">
      <w:pPr>
        <w:jc w:val="both"/>
      </w:pPr>
      <w:r w:rsidRPr="0010181B">
        <w:lastRenderedPageBreak/>
        <w:t>Zároveň sa ÚJD</w:t>
      </w:r>
      <w:r>
        <w:t> </w:t>
      </w:r>
      <w:r w:rsidRPr="0010181B">
        <w:t>SR snažil aj v roku 202</w:t>
      </w:r>
      <w:r w:rsidR="00F269E8">
        <w:t>4</w:t>
      </w:r>
      <w:r w:rsidRPr="0010181B">
        <w:t xml:space="preserve"> budovať osvetu verejnosti v otázke mierového a bezpečného využívania jadrovej energie prostredníctvom odborného časopisu Jadrová energia, v redakčnej rade ktorého má priame zastúpenie a ktorý bezplatne distribuuje do vybraných škôl, knižníc a inštitúcií.</w:t>
      </w:r>
    </w:p>
    <w:p w14:paraId="2411571E" w14:textId="22869FFC" w:rsidR="00E005E9" w:rsidRDefault="004D3EEE" w:rsidP="004D3EEE">
      <w:pPr>
        <w:jc w:val="both"/>
      </w:pPr>
      <w:r>
        <w:t>Plánovanie a uskutočňovanie aktivít ÚJD SR smerom k informovaniu verejnosti je do veľkej miery ovplyvnené aj výsledkami prieskumov verejnej mienky, ktoré úrad vykonáva na pravidelnej báze v dvoch úrovniach. V ročnom intervale sa strieda celoslovenský prieskum verejnej mienky s lokalitným prieskumom, kde respondenti odpovedajú na otázky týkajúce sa vnímania jadrovej bezpečnosti, poskytovania informácií zo strany držiteľa povolenia a štátneho dozoru či miery dôvery voči zainteresovaným stranám</w:t>
      </w:r>
      <w:r w:rsidRPr="001A492B">
        <w:t>. V roku 202</w:t>
      </w:r>
      <w:r w:rsidR="00F269E8">
        <w:t>4</w:t>
      </w:r>
      <w:r w:rsidRPr="001A492B">
        <w:t xml:space="preserve"> sa uskutočnil </w:t>
      </w:r>
      <w:r w:rsidR="00F269E8">
        <w:t xml:space="preserve"> </w:t>
      </w:r>
      <w:r w:rsidRPr="001A492B">
        <w:t>prieskum verejnej mienky</w:t>
      </w:r>
      <w:r w:rsidR="00D474A1">
        <w:t xml:space="preserve"> v lokalitách JZ Jaslovské Bohunice a Mochovce</w:t>
      </w:r>
      <w:r w:rsidRPr="001A492B">
        <w:t xml:space="preserve">, ktorý realizovala agentúra </w:t>
      </w:r>
      <w:r w:rsidR="004412CE">
        <w:t>MEDIAN SK, s.</w:t>
      </w:r>
      <w:r w:rsidR="00D474A1">
        <w:t xml:space="preserve"> </w:t>
      </w:r>
      <w:r w:rsidR="004412CE">
        <w:t>r.</w:t>
      </w:r>
      <w:r w:rsidR="00D474A1">
        <w:t xml:space="preserve"> </w:t>
      </w:r>
      <w:r w:rsidR="004412CE">
        <w:t xml:space="preserve">o. </w:t>
      </w:r>
      <w:r>
        <w:t xml:space="preserve"> v mesiaci </w:t>
      </w:r>
      <w:r w:rsidR="004412CE">
        <w:t>september</w:t>
      </w:r>
      <w:r w:rsidRPr="001A492B">
        <w:t xml:space="preserve">. </w:t>
      </w:r>
      <w:r w:rsidR="004412CE">
        <w:t xml:space="preserve">Z výsledkov prieskumu vyplýva, že </w:t>
      </w:r>
      <w:r w:rsidR="004412CE" w:rsidRPr="004412CE">
        <w:t xml:space="preserve">vnímanie bezpečnosti jadrových elektrární je pomerne vysoké, pričom väčšina respondentov z oboch oblastí, Mochovce aj Jaslovské Bohunice, považuje elektrárne za bezpečné. </w:t>
      </w:r>
      <w:r w:rsidR="00D25FB4">
        <w:t xml:space="preserve"> </w:t>
      </w:r>
      <w:r w:rsidR="004412CE">
        <w:t xml:space="preserve">Z hľadiska informovanosti o správaní sa </w:t>
      </w:r>
      <w:r w:rsidR="004412CE" w:rsidRPr="004412CE">
        <w:t xml:space="preserve">v prípade jadrovej havárie, v oblasti Mochoviec došlo v roku 2024 k miernemu zlepšeniu. Podiel respondentov, ktorí považujú svoju informovanosť za dostatočnú (či už úplne, alebo čiastočne), sa zvýšil na 53 %, čo predstavuje nárast oproti roku 2022, keď tento podiel dosahoval 46 %. Naopak, v oblasti Jaslovských Bohuníc došlo </w:t>
      </w:r>
      <w:r w:rsidR="00E005E9" w:rsidRPr="004412CE">
        <w:t xml:space="preserve">oproti predchádzajúcim rokom </w:t>
      </w:r>
      <w:r w:rsidR="004412CE" w:rsidRPr="004412CE">
        <w:t>k miernemu poklesu informovanosti, keď</w:t>
      </w:r>
      <w:r w:rsidR="00E005E9">
        <w:t>že</w:t>
      </w:r>
      <w:r w:rsidR="004412CE" w:rsidRPr="004412CE">
        <w:t xml:space="preserve"> v roku 2024 považovalo svoju informovanosť za dostatočnú 50 % respondentov</w:t>
      </w:r>
      <w:r w:rsidR="00E005E9">
        <w:t>.</w:t>
      </w:r>
    </w:p>
    <w:p w14:paraId="55221D26" w14:textId="5052F369" w:rsidR="004D3EEE" w:rsidRDefault="00E005E9" w:rsidP="004D3EEE">
      <w:pPr>
        <w:jc w:val="both"/>
      </w:pPr>
      <w:r>
        <w:t>Napriek skutočnosti, že v roku 2024 bol zaznamenaný pokles</w:t>
      </w:r>
      <w:r w:rsidR="00AA58F4">
        <w:t xml:space="preserve"> respondentov, ktorí sú informovaní o pôsobnosti ÚJD SR, na 52%, úrad si aj naďalej zachováva relatívne vysokú dôveru, </w:t>
      </w:r>
      <w:r w:rsidR="00AA58F4" w:rsidRPr="00AA58F4">
        <w:t>pričom v Mochovciach mu dôveruje alebo skôr dôveruje 60 % respondentov, zatiaľ čo v J. Bohuniciach je to 65 %.</w:t>
      </w:r>
      <w:r w:rsidR="004D3EEE" w:rsidRPr="001A492B">
        <w:t>Kompletné výsledky aktuálneho prieskumu a rovnako aj výsledky predchádzajúcich prieskumov sú dostupné na webovom sídle úradu.</w:t>
      </w:r>
      <w:r w:rsidR="004D3EEE">
        <w:t xml:space="preserve"> </w:t>
      </w:r>
    </w:p>
    <w:p w14:paraId="18C515D8" w14:textId="063E037B" w:rsidR="004D3EEE" w:rsidRDefault="004D3EEE" w:rsidP="004D3EEE">
      <w:pPr>
        <w:jc w:val="both"/>
      </w:pPr>
      <w:r>
        <w:t>Zástupcovia ÚJD SR v</w:t>
      </w:r>
      <w:r w:rsidR="00625FE7">
        <w:t> </w:t>
      </w:r>
      <w:r>
        <w:t>roku</w:t>
      </w:r>
      <w:r w:rsidR="00625FE7">
        <w:t xml:space="preserve"> </w:t>
      </w:r>
      <w:r>
        <w:t>202</w:t>
      </w:r>
      <w:r w:rsidR="004412CE">
        <w:t>4</w:t>
      </w:r>
      <w:r>
        <w:t xml:space="preserve"> naďalej udržiavali komunikáciu s poslancami, predstaviteľmi ústrednej štátnej správy, orgánmi miestnej štátnej správy a samosprávy. </w:t>
      </w:r>
      <w:r w:rsidRPr="00C102A7">
        <w:t>Aktívne sa zúčastňovali na rokovaniach Občianskych informačných komisií (</w:t>
      </w:r>
      <w:r w:rsidR="00D25FB4">
        <w:t>ďalej len „</w:t>
      </w:r>
      <w:r w:rsidRPr="00C102A7">
        <w:t>OIK</w:t>
      </w:r>
      <w:r w:rsidR="00D25FB4">
        <w:t>“</w:t>
      </w:r>
      <w:r w:rsidRPr="00C102A7">
        <w:t>) v regiónoch JZ v Bohuniciach a v Mochovciach, ako i na rokovaniach Združenia miest a obcí, región JE Jaslovské Bohunice a Záujmového regionálneho združenia miest a obcí Slovenska, región JE Mochovce. Na stretnutiach boli prezentované informácie o aktuálnych otázkach v oblasti jadrovej bezpečnosti v SR i v zahraničí, ako i o aktivitách ÚJD SR. Na vyžiadanie boli tiež priebežne poskytované informácie predstaviteľom miestnych samospráv pre potreby korektného a aktuálneho informovania obyvateľov.</w:t>
      </w:r>
    </w:p>
    <w:p w14:paraId="4D5131AD" w14:textId="77777777" w:rsidR="004D3EEE" w:rsidRDefault="004D3EEE" w:rsidP="004D3EEE">
      <w:pPr>
        <w:jc w:val="both"/>
      </w:pPr>
    </w:p>
    <w:p w14:paraId="7DDC3B82" w14:textId="0FDA0F57" w:rsidR="003661AC" w:rsidRPr="00263C16" w:rsidRDefault="00263C16" w:rsidP="00263C16">
      <w:pPr>
        <w:pStyle w:val="Nadpis1"/>
        <w:numPr>
          <w:ilvl w:val="0"/>
          <w:numId w:val="1"/>
        </w:numPr>
      </w:pPr>
      <w:bookmarkStart w:id="60" w:name="_Toc193697669"/>
      <w:r w:rsidRPr="00263C16">
        <w:t>VNÚTROÚRADNÉ ČINNOSTI</w:t>
      </w:r>
      <w:bookmarkEnd w:id="60"/>
    </w:p>
    <w:p w14:paraId="7EF19816" w14:textId="15648180" w:rsidR="00263C16" w:rsidRDefault="00263C16" w:rsidP="00263C16">
      <w:pPr>
        <w:rPr>
          <w:lang w:eastAsia="cs-CZ"/>
        </w:rPr>
      </w:pPr>
    </w:p>
    <w:p w14:paraId="36F45E9F" w14:textId="578A357E" w:rsidR="00263C16" w:rsidRPr="00882A49" w:rsidRDefault="00263C16" w:rsidP="00263C16">
      <w:pPr>
        <w:pStyle w:val="Nadpis2"/>
        <w:tabs>
          <w:tab w:val="num" w:pos="0"/>
        </w:tabs>
        <w:ind w:left="0" w:firstLine="0"/>
        <w:rPr>
          <w:bCs/>
          <w:sz w:val="28"/>
          <w:szCs w:val="28"/>
          <w:u w:val="single"/>
        </w:rPr>
      </w:pPr>
      <w:bookmarkStart w:id="61" w:name="_Toc193697670"/>
      <w:bookmarkStart w:id="62" w:name="_Hlk125982239"/>
      <w:r w:rsidRPr="00882A49">
        <w:rPr>
          <w:bCs/>
          <w:sz w:val="28"/>
          <w:szCs w:val="28"/>
          <w:u w:val="single"/>
        </w:rPr>
        <w:t>Manažérsky systém</w:t>
      </w:r>
      <w:bookmarkEnd w:id="61"/>
    </w:p>
    <w:bookmarkEnd w:id="62"/>
    <w:p w14:paraId="57DED5EC" w14:textId="77777777" w:rsidR="00263C16" w:rsidRPr="00882A49" w:rsidRDefault="00263C16" w:rsidP="00263C16">
      <w:pPr>
        <w:jc w:val="both"/>
        <w:rPr>
          <w:lang w:eastAsia="x-none"/>
        </w:rPr>
      </w:pPr>
    </w:p>
    <w:p w14:paraId="4050180E" w14:textId="25CDDC42" w:rsidR="00E71AA9" w:rsidRPr="00882A49" w:rsidRDefault="00E71AA9" w:rsidP="00E71AA9">
      <w:pPr>
        <w:jc w:val="both"/>
        <w:rPr>
          <w:rFonts w:eastAsiaTheme="minorHAnsi"/>
          <w:color w:val="000000"/>
          <w:szCs w:val="24"/>
          <w:lang w:eastAsia="en-US"/>
        </w:rPr>
      </w:pPr>
      <w:r w:rsidRPr="00882A49">
        <w:rPr>
          <w:rFonts w:eastAsiaTheme="minorHAnsi"/>
          <w:color w:val="000000"/>
          <w:szCs w:val="24"/>
          <w:lang w:eastAsia="en-US"/>
        </w:rPr>
        <w:t>Aby organizácia bola úspešne vedená a fungovala, je nevyhnutné ju usmerňovať a riadiť systematickým a transparentným spôsobom. Úspech môže priniesť zavedenie a udržiavanie manažérskeho systému, ktorý je navrhnutý tak, aby trvalo zlepšoval výkonnosť a efektivitu organizácie a súčasne sa zaoberal potrebami všetkých zainteresovaných strán. Manažérsky systém ÚJD SR je vybudovaný v súlade s požiadavkami normy EN ISO 9001:2015 a doplnený o špecifické požiadavky M</w:t>
      </w:r>
      <w:r w:rsidR="006448F0">
        <w:rPr>
          <w:rFonts w:eastAsiaTheme="minorHAnsi"/>
          <w:color w:val="000000"/>
          <w:szCs w:val="24"/>
          <w:lang w:eastAsia="en-US"/>
        </w:rPr>
        <w:t>AAE</w:t>
      </w:r>
      <w:r w:rsidRPr="00882A49">
        <w:rPr>
          <w:rFonts w:eastAsiaTheme="minorHAnsi"/>
          <w:color w:val="000000"/>
          <w:szCs w:val="24"/>
          <w:lang w:eastAsia="en-US"/>
        </w:rPr>
        <w:t xml:space="preserve"> v oblasti zabezpečovania jadrovej bezpečnosti. Poradným orgánom predsedníčky je Rada pre manažérsky systém, ktorá posudzuje koncepciu rozvoja manažérskeho systému, otázky jeho vývoja a uplatňovania, potrebu vykonania previerok, ich podmienky a požiadavky, správy z auditov, hodnotení a porovnávacích štúdií, otázky spolupráce, výmenu skúseností a dobrej praxe v rámci implementácie manažérskeho systému </w:t>
      </w:r>
      <w:r w:rsidRPr="00882A49">
        <w:rPr>
          <w:rFonts w:eastAsiaTheme="minorHAnsi"/>
          <w:color w:val="000000"/>
          <w:szCs w:val="24"/>
          <w:lang w:eastAsia="en-US"/>
        </w:rPr>
        <w:lastRenderedPageBreak/>
        <w:t>v štátnej správe SR a v zahraničí, navrhuje postupy v jeho zlepšovaní, zvyšovaní efektívnosti a účinnosti.</w:t>
      </w:r>
    </w:p>
    <w:p w14:paraId="31B785AA" w14:textId="77777777" w:rsidR="00E71AA9" w:rsidRPr="00882A49" w:rsidRDefault="00E71AA9" w:rsidP="00E71AA9">
      <w:pPr>
        <w:jc w:val="both"/>
        <w:rPr>
          <w:rFonts w:eastAsiaTheme="minorHAnsi"/>
          <w:color w:val="000000"/>
          <w:szCs w:val="24"/>
          <w:lang w:eastAsia="en-US"/>
        </w:rPr>
      </w:pPr>
      <w:r w:rsidRPr="00882A49">
        <w:rPr>
          <w:rFonts w:eastAsiaTheme="minorHAnsi"/>
          <w:color w:val="000000"/>
          <w:szCs w:val="24"/>
          <w:lang w:eastAsia="en-US"/>
        </w:rPr>
        <w:t>Riziko je všade prítomným a charakteristickým sprievodným javom fungovania organizácií. Riadenie rizík je sústavná činnosť navzájom prepojených činností, ktorých cieľom je obmedziť pravdepodobnosť výskytu rizík alebo znížiť ich vplyv v prípade, že sa jedná o hrozby, alebo využiť príležitosti pre zvýšenie výkonnosti organizácie, čím sa zvyšuje pravdepodobnosť, že organizácia bude dosahovať svoje ciele a dokáže zabezpečiť spokojnosť zákazníka. Riadenie rizík bolo do manažérskeho systému začlenené v roku 2016 spracovaním registra rizík. Register rizík utriedeným spôsobom definuje a klasifikuje možné alebo v praxi sa vyskytujúce riziká spojené s činnosťou ÚJD SR a zahŕňa všetky ďalšie informácie potrebné na riadenie rizík. Register rizík sa pravidelne aktualizuje, pričom sa uskutočňuje monitorovanie identifikovaných rizík a realizujú sa opatrenia na elimináciu alebo zmiernenie najzávažnejších identifikovaných rizík.</w:t>
      </w:r>
    </w:p>
    <w:p w14:paraId="695F969D" w14:textId="77777777" w:rsidR="00E71AA9" w:rsidRPr="00882A49" w:rsidRDefault="00E71AA9" w:rsidP="00E71AA9">
      <w:pPr>
        <w:jc w:val="both"/>
        <w:rPr>
          <w:rFonts w:eastAsiaTheme="minorHAnsi"/>
          <w:color w:val="000000"/>
          <w:szCs w:val="24"/>
          <w:lang w:eastAsia="en-US"/>
        </w:rPr>
      </w:pPr>
      <w:r w:rsidRPr="00882A49">
        <w:rPr>
          <w:rFonts w:eastAsiaTheme="minorHAnsi"/>
          <w:color w:val="000000"/>
          <w:szCs w:val="24"/>
          <w:lang w:eastAsia="en-US"/>
        </w:rPr>
        <w:t>V súlade s ročným plánom interných auditov manažérskeho systému boli v roku 2024 vykonané 3 špecificky zamerané čiastkové interné audity. Interné audity potvrdili, že činnosti vykonávané v ÚJD SR sú riadené platnými smernicami a postupmi manažérskeho systému. Z interných auditov vyplynulo však aj niekoľko opatrení na odstránenie zistených nezhôd a stanovili sa aj návrhy na zlepšovanie systému manažérstva kvality.</w:t>
      </w:r>
    </w:p>
    <w:p w14:paraId="19EDD552" w14:textId="77777777" w:rsidR="00E71AA9" w:rsidRPr="00882A49" w:rsidRDefault="00E71AA9" w:rsidP="00E71AA9">
      <w:pPr>
        <w:jc w:val="both"/>
        <w:rPr>
          <w:rFonts w:eastAsiaTheme="minorHAnsi"/>
          <w:color w:val="000000"/>
          <w:szCs w:val="24"/>
          <w:lang w:eastAsia="en-US"/>
        </w:rPr>
      </w:pPr>
      <w:r w:rsidRPr="00882A49">
        <w:rPr>
          <w:rFonts w:eastAsiaTheme="minorHAnsi"/>
          <w:color w:val="000000"/>
          <w:szCs w:val="24"/>
          <w:lang w:eastAsia="en-US"/>
        </w:rPr>
        <w:t>Pravidelné prieskumy spokojnosti zamestnancov by mali byť základom riadenia motivácie zamestnancov v organizácii. Meranie spokojnosti a motivácie zamestnancov v roku 2024 bolo na Úrade jadrového dozoru Slovenskej republiky vykonané už po siedmykrát. Do ankety sa zapojilo takmer 70 % zamestnancov.</w:t>
      </w:r>
    </w:p>
    <w:p w14:paraId="05D2E716" w14:textId="77777777" w:rsidR="00E71AA9" w:rsidRPr="00882A49" w:rsidRDefault="00E71AA9" w:rsidP="00E71AA9">
      <w:pPr>
        <w:jc w:val="both"/>
        <w:rPr>
          <w:rFonts w:eastAsiaTheme="minorHAnsi"/>
          <w:color w:val="000000"/>
          <w:szCs w:val="24"/>
          <w:lang w:eastAsia="en-US"/>
        </w:rPr>
      </w:pPr>
      <w:r w:rsidRPr="00882A49">
        <w:rPr>
          <w:rFonts w:eastAsiaTheme="minorHAnsi"/>
          <w:color w:val="000000"/>
          <w:szCs w:val="24"/>
          <w:lang w:eastAsia="en-US"/>
        </w:rPr>
        <w:t>Štandardy bezpečnosti vydané MAAE kladú dôraz na integráciu bezpečnosti ako širokospektrálneho fenoménu do systému manažmentu organizácii pôsobiacich v oblasti jadrovej energie. Kultúra bezpečnosti v ÚJD SR má základy vo vysokej odbornosti svojich zamestnancov, v zodpovednom prístupe k práci, ktorý je podporovaný vedením ÚJD SR. Dôležitým predpokladom silnej kultúry bezpečnosti je nezávislosť. Nezávislosť je dosiahnutá samostatnosťou ÚJD SR ako právneho subjektu, dostatočným vybavením zdrojmi a silnými osobnosťami vo vedení ÚJD SR. Vďaka týmto skutočnostiam sú pre zamestnancov vytvorené vhodné pracovné podmienky a prostredie so silnou podporou rozvoja zamestnancov a zlepšovania pracovných postupov.</w:t>
      </w:r>
    </w:p>
    <w:p w14:paraId="0221AFCA" w14:textId="6F6C54F4" w:rsidR="00E71AA9" w:rsidRPr="00882A49" w:rsidRDefault="00E71AA9" w:rsidP="00E71AA9">
      <w:pPr>
        <w:jc w:val="both"/>
        <w:rPr>
          <w:rFonts w:eastAsiaTheme="minorHAnsi"/>
          <w:color w:val="000000"/>
          <w:szCs w:val="24"/>
          <w:lang w:eastAsia="en-US"/>
        </w:rPr>
      </w:pPr>
      <w:r w:rsidRPr="00882A49">
        <w:rPr>
          <w:rFonts w:eastAsiaTheme="minorHAnsi"/>
          <w:color w:val="000000"/>
          <w:szCs w:val="24"/>
          <w:lang w:eastAsia="en-US"/>
        </w:rPr>
        <w:t>Každoročné preskúmanie systému manažérstva kvality vedením organizácie, na vyhodnotení ktorého sa podieľajú všetci vlastníci procesov, posudzuje Rada pre manažérsky systém ÚJD SR. Výstupný dokument je integrálnym hodnotením stavu plnenia politiky a cieľov kvality, výsledkov auditov, pravidelného prehodnotenia smerníc kvality, plnenia súvisiacich požiadaviek, opisuje výkonnosť procesov, zhodu produktu, opis stavu preventívnych a nápravných činností a zmien s potenciálnym vplyvom na manažérsky systém, pričom uvádza aj odporúčania na zlepšenie procesov, činností a zlepšenie produktu súvisiaceho s oprávnenými požiadavkami zainteresovaných strán a potrebnými zdrojmi.</w:t>
      </w:r>
    </w:p>
    <w:p w14:paraId="5B081713" w14:textId="77777777" w:rsidR="00263C16" w:rsidRPr="00882A49" w:rsidRDefault="00263C16" w:rsidP="00263C16">
      <w:pPr>
        <w:jc w:val="both"/>
        <w:rPr>
          <w:lang w:eastAsia="en-US"/>
        </w:rPr>
      </w:pPr>
    </w:p>
    <w:p w14:paraId="615119BB" w14:textId="01D10E5A" w:rsidR="00263C16" w:rsidRPr="00882A49" w:rsidRDefault="00263C16" w:rsidP="00B14389">
      <w:pPr>
        <w:pStyle w:val="Nadpis2"/>
        <w:tabs>
          <w:tab w:val="num" w:pos="0"/>
        </w:tabs>
        <w:ind w:left="0" w:firstLine="0"/>
        <w:rPr>
          <w:bCs/>
          <w:sz w:val="28"/>
          <w:szCs w:val="28"/>
          <w:u w:val="single"/>
        </w:rPr>
      </w:pPr>
      <w:bookmarkStart w:id="63" w:name="_Toc193697671"/>
      <w:r w:rsidRPr="00882A49">
        <w:rPr>
          <w:bCs/>
          <w:sz w:val="28"/>
          <w:szCs w:val="28"/>
          <w:u w:val="single"/>
        </w:rPr>
        <w:t>Informačná a kybernetická bezpečnosť</w:t>
      </w:r>
      <w:bookmarkEnd w:id="63"/>
    </w:p>
    <w:p w14:paraId="7F5513A4" w14:textId="77777777" w:rsidR="00263C16" w:rsidRPr="00882A49" w:rsidRDefault="00263C16" w:rsidP="00263C16">
      <w:pPr>
        <w:rPr>
          <w:lang w:eastAsia="en-US"/>
        </w:rPr>
      </w:pPr>
    </w:p>
    <w:p w14:paraId="690B5182" w14:textId="00FF01B5"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t>ÚJD SR sa v roku 2024 po prijatí organizačných a technických opatrení vrátane implementácie technických nástrojov v infraštruktúre informačno-komunikačných technológií</w:t>
      </w:r>
      <w:r w:rsidR="00951139">
        <w:rPr>
          <w:rFonts w:eastAsiaTheme="minorHAnsi"/>
          <w:color w:val="000000"/>
          <w:szCs w:val="24"/>
          <w:lang w:eastAsia="en-US"/>
        </w:rPr>
        <w:t xml:space="preserve"> (ďalej len „IKT“)</w:t>
      </w:r>
      <w:r w:rsidRPr="00882A49">
        <w:rPr>
          <w:rFonts w:eastAsiaTheme="minorHAnsi"/>
          <w:color w:val="000000"/>
          <w:szCs w:val="24"/>
          <w:lang w:eastAsia="en-US"/>
        </w:rPr>
        <w:t xml:space="preserve"> pre potreby zabezpečenia kybernetickej bezpečnosti zameral na odolnosť a ochranu svojho kybernetického prostredia.</w:t>
      </w:r>
    </w:p>
    <w:p w14:paraId="7242E401" w14:textId="77777777"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t>Nemalé úsilie bolo smerované na prevenciu a riešenia zmiernení hrozieb kybernetických bezpečnostných incidentov. Pre potreby identifikácie aktuálnych hrozieb a potenciálnych zraniteľností svojich informačných aktív úrad zabezpečil monitoring bezpečnostných hlásení hrozieb z globálnych znalostných databáz.</w:t>
      </w:r>
    </w:p>
    <w:p w14:paraId="0B31FD44" w14:textId="2F15DF1D"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lastRenderedPageBreak/>
        <w:t xml:space="preserve">Za účelom zefektívnenia a elektronizácie služieb pre potreby vyplývajúcich zo zákonných povinností prevádzkovateľa základných služieb bol úradom navrhnutý a nasadený nový informačný systém pre správu a riadenie </w:t>
      </w:r>
      <w:r w:rsidR="00951139" w:rsidRPr="00882A49">
        <w:rPr>
          <w:rFonts w:eastAsiaTheme="minorHAnsi"/>
          <w:color w:val="000000"/>
          <w:szCs w:val="24"/>
          <w:lang w:eastAsia="en-US"/>
        </w:rPr>
        <w:t>agend</w:t>
      </w:r>
      <w:r w:rsidRPr="00882A49">
        <w:rPr>
          <w:rFonts w:eastAsiaTheme="minorHAnsi"/>
          <w:color w:val="000000"/>
          <w:szCs w:val="24"/>
          <w:lang w:eastAsia="en-US"/>
        </w:rPr>
        <w:t xml:space="preserve"> manažmentu kybernetickej bezpečnosti v integrovanom a konsolidovanom prostredí.</w:t>
      </w:r>
    </w:p>
    <w:p w14:paraId="4F2819A8" w14:textId="5CF3D3E3"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t>Boli naplnené ciele v oblasti vzdelávania zamestnancov realizáciou súboru vzdelávacích aktivít  za účelom zvyšovania povedomia v kybernetickej bezpečnosti v súlade so vzdelávacím plánom na rok 2024. V rámci organizačných opatrení bola vypracovaná a aktualizovaná bezpečnostná dokumentácia pre politiku kybernetickej a informačnej bezpečnosti.</w:t>
      </w:r>
    </w:p>
    <w:p w14:paraId="047CCF91" w14:textId="11148109"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t>V roku 2024 bol zaznamenaný nárast počtu hlásených kybernetických bezpečnostných incidentov v prostredí infraštruktúry IKT úradu.</w:t>
      </w:r>
      <w:r w:rsidR="006105CC">
        <w:rPr>
          <w:rFonts w:eastAsiaTheme="minorHAnsi"/>
          <w:color w:val="000000"/>
          <w:szCs w:val="24"/>
          <w:lang w:eastAsia="en-US"/>
        </w:rPr>
        <w:t xml:space="preserve"> </w:t>
      </w:r>
      <w:r w:rsidRPr="00882A49">
        <w:rPr>
          <w:rFonts w:eastAsiaTheme="minorHAnsi"/>
          <w:color w:val="000000"/>
          <w:szCs w:val="24"/>
          <w:lang w:eastAsia="en-US"/>
        </w:rPr>
        <w:t>Zvýšená pozornosť je venovaná pravidelnému vyhodnocovaniu pomerov na dátovej sieti, jej kybernetickej hygiene,</w:t>
      </w:r>
      <w:r w:rsidR="00951139">
        <w:rPr>
          <w:rFonts w:eastAsiaTheme="minorHAnsi"/>
          <w:color w:val="000000"/>
          <w:szCs w:val="24"/>
          <w:lang w:eastAsia="en-US"/>
        </w:rPr>
        <w:t xml:space="preserve"> </w:t>
      </w:r>
      <w:r w:rsidRPr="00882A49">
        <w:rPr>
          <w:rFonts w:eastAsiaTheme="minorHAnsi"/>
          <w:color w:val="000000"/>
          <w:szCs w:val="24"/>
          <w:lang w:eastAsia="en-US"/>
        </w:rPr>
        <w:t>bezpečnosti prístupov,</w:t>
      </w:r>
      <w:r w:rsidR="00951139">
        <w:rPr>
          <w:rFonts w:eastAsiaTheme="minorHAnsi"/>
          <w:color w:val="000000"/>
          <w:szCs w:val="24"/>
          <w:lang w:eastAsia="en-US"/>
        </w:rPr>
        <w:t xml:space="preserve"> </w:t>
      </w:r>
      <w:r w:rsidRPr="00882A49">
        <w:rPr>
          <w:rFonts w:eastAsiaTheme="minorHAnsi"/>
          <w:color w:val="000000"/>
          <w:szCs w:val="24"/>
          <w:lang w:eastAsia="en-US"/>
        </w:rPr>
        <w:t>dostupnosti,</w:t>
      </w:r>
      <w:r w:rsidR="00951139">
        <w:rPr>
          <w:rFonts w:eastAsiaTheme="minorHAnsi"/>
          <w:color w:val="000000"/>
          <w:szCs w:val="24"/>
          <w:lang w:eastAsia="en-US"/>
        </w:rPr>
        <w:t xml:space="preserve"> </w:t>
      </w:r>
      <w:r w:rsidRPr="00882A49">
        <w:rPr>
          <w:rFonts w:eastAsiaTheme="minorHAnsi"/>
          <w:color w:val="000000"/>
          <w:szCs w:val="24"/>
          <w:lang w:eastAsia="en-US"/>
        </w:rPr>
        <w:t xml:space="preserve">dôvernosti a integrite spracovávaných a prenášaných údajov. </w:t>
      </w:r>
    </w:p>
    <w:p w14:paraId="4333A93E" w14:textId="77777777"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t>Medzi najzávažnejšie hrozby, ktoré boli identifikované pre technickú infraštruktúru úradu možno lokalizovať v segmente dodávateľského reťazca poskytovaných služieb a tovarov, v oblasti personálnych kapacít, kde je čoraz zreteľnejší potenciálny nedostatok odborných zručností personálu, v oblasti presadzovania nástrojov sociálneho inžinierstva, zneužití nástrojov umelej inteligencie a vplyvom cudzími štátmi podporovaných aktérov hrozieb.</w:t>
      </w:r>
    </w:p>
    <w:p w14:paraId="3C258BB0" w14:textId="77777777" w:rsidR="004C75AC" w:rsidRPr="00882A49" w:rsidRDefault="004C75AC" w:rsidP="004C75AC">
      <w:pPr>
        <w:autoSpaceDE w:val="0"/>
        <w:autoSpaceDN w:val="0"/>
        <w:adjustRightInd w:val="0"/>
        <w:jc w:val="both"/>
        <w:rPr>
          <w:rFonts w:eastAsiaTheme="minorHAnsi"/>
          <w:color w:val="000000"/>
          <w:szCs w:val="24"/>
          <w:lang w:eastAsia="en-US"/>
        </w:rPr>
      </w:pPr>
      <w:r w:rsidRPr="00882A49">
        <w:rPr>
          <w:rFonts w:eastAsiaTheme="minorHAnsi"/>
          <w:color w:val="000000"/>
          <w:szCs w:val="24"/>
          <w:lang w:eastAsia="en-US"/>
        </w:rPr>
        <w:t>Prijaté a aplikované bezpečnostné opatrenia ÚJD SR pre elimináciu a zmiernenie  potenciálnych hrozieb:</w:t>
      </w:r>
    </w:p>
    <w:p w14:paraId="076CAF44" w14:textId="43CFBBFE"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nasadenie služby „Podpora, údržba a rozvoj systémov získaných v rámci projektu Zvýšenie úrovne informačnej a kybernetickej bezpečnosti ÚJD SR“,</w:t>
      </w:r>
    </w:p>
    <w:p w14:paraId="6F8C6C63" w14:textId="28980030"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činnosti a procesy smerujúce k trvalému udržaniu a zlepšovaniu vysokej úrovne kybernetickej bezpečnosti v prostredí technickej infraštruktúry ÚJD SR,</w:t>
      </w:r>
    </w:p>
    <w:p w14:paraId="79270401" w14:textId="7ECA3D75"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systematické vzdelávacie aktivity o povedomí v oblasti kybernetickej bezpečnosti,</w:t>
      </w:r>
    </w:p>
    <w:p w14:paraId="68D185E2" w14:textId="5C7E9BB5"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evidencia a vyhodnocovanie aktuálnych hrozieb a zraniteľností informačných aktív úradu,</w:t>
      </w:r>
    </w:p>
    <w:p w14:paraId="490A221E" w14:textId="28ABB065"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proaktívne opatrenia v oblasti kybernetickej hygieny sietí, systémových a aplikačných  zdrojov a spracovávaných údajov,</w:t>
      </w:r>
    </w:p>
    <w:p w14:paraId="24CBABC5" w14:textId="19BEF0FF"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virtuálny analytik kybernetických hrozieb,</w:t>
      </w:r>
    </w:p>
    <w:p w14:paraId="0A6B3C2D" w14:textId="1F51AAFF" w:rsidR="004C75AC" w:rsidRPr="00882A49" w:rsidRDefault="004C75AC" w:rsidP="004C75AC">
      <w:pPr>
        <w:autoSpaceDE w:val="0"/>
        <w:autoSpaceDN w:val="0"/>
        <w:adjustRightInd w:val="0"/>
        <w:ind w:left="1418" w:hanging="709"/>
        <w:jc w:val="both"/>
        <w:rPr>
          <w:rFonts w:eastAsiaTheme="minorHAnsi"/>
          <w:color w:val="000000"/>
          <w:szCs w:val="24"/>
          <w:lang w:eastAsia="en-US"/>
        </w:rPr>
      </w:pPr>
      <w:r w:rsidRPr="00882A49">
        <w:rPr>
          <w:rFonts w:eastAsiaTheme="minorHAnsi"/>
          <w:color w:val="000000"/>
          <w:szCs w:val="24"/>
          <w:lang w:eastAsia="en-US"/>
        </w:rPr>
        <w:t>•</w:t>
      </w:r>
      <w:r w:rsidRPr="00882A49">
        <w:rPr>
          <w:rFonts w:eastAsiaTheme="minorHAnsi"/>
          <w:color w:val="000000"/>
          <w:szCs w:val="24"/>
          <w:lang w:eastAsia="en-US"/>
        </w:rPr>
        <w:tab/>
        <w:t>informačný systém „Manažment KB“.</w:t>
      </w:r>
    </w:p>
    <w:p w14:paraId="0D16531D" w14:textId="77777777" w:rsidR="00263C16" w:rsidRPr="00882A49" w:rsidRDefault="00263C16" w:rsidP="00263C16">
      <w:pPr>
        <w:rPr>
          <w:lang w:eastAsia="cs-CZ"/>
        </w:rPr>
      </w:pPr>
    </w:p>
    <w:p w14:paraId="2294A558" w14:textId="3CAC3F50" w:rsidR="00263C16" w:rsidRPr="00882A49" w:rsidRDefault="00B14389" w:rsidP="00B14389">
      <w:pPr>
        <w:pStyle w:val="Nadpis2"/>
        <w:tabs>
          <w:tab w:val="num" w:pos="0"/>
        </w:tabs>
        <w:ind w:left="0" w:firstLine="0"/>
        <w:rPr>
          <w:bCs/>
          <w:sz w:val="28"/>
          <w:szCs w:val="28"/>
          <w:u w:val="single"/>
        </w:rPr>
      </w:pPr>
      <w:bookmarkStart w:id="64" w:name="_Toc193697672"/>
      <w:r w:rsidRPr="00882A49">
        <w:rPr>
          <w:bCs/>
          <w:sz w:val="28"/>
          <w:szCs w:val="28"/>
          <w:u w:val="single"/>
        </w:rPr>
        <w:t>Ľudské zdroje</w:t>
      </w:r>
      <w:bookmarkEnd w:id="64"/>
    </w:p>
    <w:p w14:paraId="3B97F484" w14:textId="77777777" w:rsidR="00263C16" w:rsidRPr="00882A49" w:rsidRDefault="00263C16" w:rsidP="00263C16">
      <w:pPr>
        <w:jc w:val="both"/>
        <w:rPr>
          <w:lang w:val="x-none" w:eastAsia="cs-CZ"/>
        </w:rPr>
      </w:pPr>
    </w:p>
    <w:p w14:paraId="1B956853" w14:textId="21D9E536" w:rsidR="001F7947" w:rsidRPr="00882A49" w:rsidRDefault="001F7947" w:rsidP="001F7947">
      <w:pPr>
        <w:widowControl w:val="0"/>
        <w:autoSpaceDE w:val="0"/>
        <w:autoSpaceDN w:val="0"/>
        <w:adjustRightInd w:val="0"/>
        <w:jc w:val="both"/>
      </w:pPr>
      <w:r w:rsidRPr="00882A49">
        <w:t>Kvalitné riadenie ľudských zdrojov je nevyhnutným predpokladom dosahovania strategických cieľov ÚJD SR a je významnou oblasťou riadenia ÚJD SR pri napĺňaní schválenej národnej politiky jadrovej bezpečnosti. Riadenie ľudských zdrojov sa orientuje najmä na zlepšenie kvality pracovného života, ktorú sa ÚJD SR snaží dosiahnuť najmä transparentnými výberovými konaniami, flexibilným odmeňovaním zamestnancov</w:t>
      </w:r>
      <w:r w:rsidR="00951139">
        <w:t>,</w:t>
      </w:r>
      <w:r w:rsidRPr="00882A49">
        <w:t xml:space="preserve"> ako i kontinuálnym vzdelávaním zamestnancov s cieľom rozvíjať ľudský potenciál a vytvoriť atmosféru, motivujúcu zamestnancov k plneniu náročných úloh ÚJD SR ako dozorného orgánu.</w:t>
      </w:r>
    </w:p>
    <w:p w14:paraId="4DCFE961" w14:textId="4E981A8B" w:rsidR="001F7947" w:rsidRPr="00882A49" w:rsidRDefault="001F7947" w:rsidP="001F7947">
      <w:pPr>
        <w:widowControl w:val="0"/>
        <w:autoSpaceDE w:val="0"/>
        <w:autoSpaceDN w:val="0"/>
        <w:adjustRightInd w:val="0"/>
        <w:jc w:val="both"/>
      </w:pPr>
      <w:r w:rsidRPr="00882A49">
        <w:t>ÚJD SR mal na rok 2024 rozpisom rozpočtu stanovený celkový počet miest 134, z ktorých bolo 122 štátnozamestnaneckých miest a 12 miest pri výkone práce vo verejnom záujme. Z vyššie uvedeného počtu bolo jedno štátnozamestnanecké miesto dočasne delimitované na MZVEZ SR za účelom vyslania štátneho zamestnanca do zahraničia (Stála misia</w:t>
      </w:r>
      <w:r w:rsidR="006105CC">
        <w:t xml:space="preserve"> pri medzinárodných organizáciách,</w:t>
      </w:r>
      <w:r w:rsidRPr="00882A49">
        <w:t xml:space="preserve"> Viedeň) ako podpora spolupráce v oblasti mierového využívania jadrovej energie.</w:t>
      </w:r>
    </w:p>
    <w:p w14:paraId="3C39150A" w14:textId="77777777" w:rsidR="001F7947" w:rsidRPr="00882A49" w:rsidRDefault="001F7947" w:rsidP="001F7947">
      <w:pPr>
        <w:widowControl w:val="0"/>
        <w:autoSpaceDE w:val="0"/>
        <w:autoSpaceDN w:val="0"/>
        <w:adjustRightInd w:val="0"/>
        <w:jc w:val="both"/>
      </w:pPr>
      <w:r w:rsidRPr="00882A49">
        <w:t xml:space="preserve">Proces obsadzovania štátnozamestnaneckých miest sa v ÚJD SR realizuje v súlade so zákonom č. 55/2017 Z. z. o štátnej službe a o zmene a doplnení niektorých zákonov v znení neskorších predpisov a vyhláškou Úradu vlády Slovenskej republiky č. 127/2017 Z. z., ktorou sa </w:t>
      </w:r>
      <w:r w:rsidRPr="00882A49">
        <w:lastRenderedPageBreak/>
        <w:t>ustanovujú podrobnosti o výberových konaniach v znení neskorších predpisov.</w:t>
      </w:r>
    </w:p>
    <w:p w14:paraId="74E90290" w14:textId="77777777" w:rsidR="001F7947" w:rsidRPr="00882A49" w:rsidRDefault="001F7947" w:rsidP="001F7947">
      <w:pPr>
        <w:widowControl w:val="0"/>
        <w:autoSpaceDE w:val="0"/>
        <w:autoSpaceDN w:val="0"/>
        <w:adjustRightInd w:val="0"/>
        <w:jc w:val="both"/>
      </w:pPr>
      <w:r w:rsidRPr="00882A49">
        <w:t>Proces obsadzovania voľných miest pri výkone práce vo verejnom záujme sa riadi zákonom          č. 552/2003 Z. z. o výkone práce vo verejnom záujme v znení neskorších predpisov a zákonom č. 311/2001 Z. z. Zákonníkom práce v znení neskorších predpisov.</w:t>
      </w:r>
    </w:p>
    <w:p w14:paraId="2A1437AA" w14:textId="461F78C0" w:rsidR="001F7947" w:rsidRPr="00882A49" w:rsidRDefault="001F7947" w:rsidP="001F7947">
      <w:pPr>
        <w:widowControl w:val="0"/>
        <w:autoSpaceDE w:val="0"/>
        <w:autoSpaceDN w:val="0"/>
        <w:adjustRightInd w:val="0"/>
        <w:jc w:val="both"/>
      </w:pPr>
      <w:r w:rsidRPr="00882A49">
        <w:t>Vyhlasovanie výberových konaní na obsadenie voľných štátnozamestnaneckých miest realizoval ÚJD SR zverejnením v registri výberových konaní na portáli www.slovensko.sk a od 1.</w:t>
      </w:r>
      <w:r w:rsidR="00534F41" w:rsidRPr="00882A49">
        <w:t xml:space="preserve"> 6. </w:t>
      </w:r>
      <w:r w:rsidRPr="00882A49">
        <w:t>2024 na portáli CISSS (Centrálny informačný systém štátnej služby). ÚJD SR zverejňuje výberové konania na obsadenie štátnozamestnaneckých miest a na obsadenie pracovných miest pri výkone práce vo verejnom záujme aj na webovom sídle ÚJD SR. V prípade obsadzovania štátnozamestnaneckých miest do dočasnej štátnej služby, o ktoré je nižší záujem a v prípade obsadzovania miest pri výkone práce vo verejnom záujme, zverejňuje ÚJD SR výberové konania aj prostredníctvom externého portálu pracovných ponúk.</w:t>
      </w:r>
    </w:p>
    <w:p w14:paraId="64A83738" w14:textId="77777777" w:rsidR="001F7947" w:rsidRPr="00882A49" w:rsidRDefault="001F7947" w:rsidP="001F7947">
      <w:pPr>
        <w:widowControl w:val="0"/>
        <w:autoSpaceDE w:val="0"/>
        <w:autoSpaceDN w:val="0"/>
        <w:adjustRightInd w:val="0"/>
        <w:jc w:val="both"/>
      </w:pPr>
      <w:r w:rsidRPr="00882A49">
        <w:t>V roku 2024 vyhlásil ÚJD SR 23 výberových konaní na obsadenie voľných alebo dočasne uvoľnených štátnozamestnaneckých miest. Dve výberové konania vyhlásené v roku 2024 sa budú konať až v roku 2025.</w:t>
      </w:r>
    </w:p>
    <w:p w14:paraId="245B3D9B" w14:textId="14184035" w:rsidR="001F7947" w:rsidRPr="00882A49" w:rsidRDefault="001F7947" w:rsidP="001F7947">
      <w:pPr>
        <w:widowControl w:val="0"/>
        <w:autoSpaceDE w:val="0"/>
        <w:autoSpaceDN w:val="0"/>
        <w:adjustRightInd w:val="0"/>
        <w:jc w:val="both"/>
      </w:pPr>
      <w:r w:rsidRPr="00882A49">
        <w:t xml:space="preserve">V roku 2024 ÚJD SR zrealizoval 17 výberových konaní, z toho 1 výberové konanie bolo vyhlásené ešte v kalendárnom roku 2023. Šesť vyhlásených výberových konaní (jedno z roku 2023) sa nezrealizovalo z dôvodu, že sa do výberového konania neprihlásil žiadny uchádzač, </w:t>
      </w:r>
      <w:r w:rsidR="006105CC">
        <w:t>išlo</w:t>
      </w:r>
      <w:r w:rsidRPr="00882A49">
        <w:t xml:space="preserve"> sa o užšie vnútorné výberové konania.  </w:t>
      </w:r>
    </w:p>
    <w:p w14:paraId="5B572A1D" w14:textId="7224A224" w:rsidR="001F7947" w:rsidRPr="00882A49" w:rsidRDefault="001F7947" w:rsidP="001F7947">
      <w:pPr>
        <w:widowControl w:val="0"/>
        <w:autoSpaceDE w:val="0"/>
        <w:autoSpaceDN w:val="0"/>
        <w:adjustRightInd w:val="0"/>
        <w:jc w:val="both"/>
      </w:pPr>
      <w:r w:rsidRPr="00882A49">
        <w:t>Prostredníctvom 17 zrealizovaných výberových konaní bolo obsadených 12 voľných štátnozamestnaneckých miest, 3 výberové konania boli neúspešné</w:t>
      </w:r>
      <w:r w:rsidR="00B71993">
        <w:t>,</w:t>
      </w:r>
      <w:r w:rsidRPr="00882A49">
        <w:t xml:space="preserve"> jedno výberové konanie skončilo úspešne, ale uchádzač, ktorý sa umiestnil na 1. mieste do štátnej služby nenastúpil, na základe jedného úspešného výberového konania vznikne štátnozamestnanecký pomer až v kalendárnom roku 2025</w:t>
      </w:r>
      <w:r w:rsidR="00B71993">
        <w:t>,</w:t>
      </w:r>
      <w:r w:rsidRPr="00882A49">
        <w:t xml:space="preserve"> jedno štátnozamestnanecké miesto bolo obsadené na základe úspešného výberového konania z roku 2023, štyri štátnozamestnanecké pomery vznikli v dočasnej štátnej službe.</w:t>
      </w:r>
    </w:p>
    <w:p w14:paraId="39F78D53" w14:textId="77777777" w:rsidR="001F7947" w:rsidRPr="00882A49" w:rsidRDefault="001F7947" w:rsidP="001F7947">
      <w:pPr>
        <w:widowControl w:val="0"/>
        <w:autoSpaceDE w:val="0"/>
        <w:autoSpaceDN w:val="0"/>
        <w:adjustRightInd w:val="0"/>
        <w:jc w:val="both"/>
      </w:pPr>
      <w:r w:rsidRPr="00882A49">
        <w:t xml:space="preserve">Na ÚJD SR skončili v roku 2024 štátnozamestnanecký pomer piati štátni zamestnanci, pracovný pomer skončili dvaja zamestnanci pri výkone práce vo verejnom záujme, dvaja štátni zamestnanci boli preložení do iného služobného úradu. Dôvodom skončenia štátnozamestnaneckých pomerov bol najmä odchod do starobného dôchodku (3 štátni zamestnanci) a 2 výpovede zo strany štátneho zamestnanca. Jeden zamestnanec pri výkone práce vo verejnom záujme skončil pracovný pomer z dôvodu vzniku následného štátnozamestnaneckého pomeru a druhý z dôvodu odchodu do starobného dôchodku. </w:t>
      </w:r>
    </w:p>
    <w:p w14:paraId="68F58D7B" w14:textId="77777777" w:rsidR="001F7947" w:rsidRPr="00882A49" w:rsidRDefault="001F7947" w:rsidP="001F7947">
      <w:pPr>
        <w:widowControl w:val="0"/>
        <w:autoSpaceDE w:val="0"/>
        <w:autoSpaceDN w:val="0"/>
        <w:adjustRightInd w:val="0"/>
        <w:jc w:val="both"/>
      </w:pPr>
      <w:r w:rsidRPr="00882A49">
        <w:t>Z hľadiska skutočného počtu zamestnancov evidoval ÚJD SR k 31. 12. 2024 celkom 125 zamestnancov, z toho 113 štátnych zamestnancov a 12 zamestnancov pri výkone práce vo verejnom záujme. K 31. 12. 2024 evidoval úrad 8 neobsadených štátnozamestnaneckých miest, z toho jedna štátna zamestnankyňa čerpala od 1. 3. 2024 služobné voľno.</w:t>
      </w:r>
    </w:p>
    <w:p w14:paraId="0051D500" w14:textId="77777777" w:rsidR="001F7947" w:rsidRPr="00882A49" w:rsidRDefault="001F7947" w:rsidP="001F7947">
      <w:pPr>
        <w:widowControl w:val="0"/>
        <w:autoSpaceDE w:val="0"/>
        <w:autoSpaceDN w:val="0"/>
        <w:adjustRightInd w:val="0"/>
        <w:jc w:val="both"/>
      </w:pPr>
      <w:r w:rsidRPr="00882A49">
        <w:t>Zastúpenie žien k 31. 12. 2024 bolo v počte 63 (52 žien v štátnozamestnaneckom pomere a 11 žien na pracovnom mieste pri výkone práce vo verejnom záujme) a 62 miest patrilo mužom (61 mužov v štátnozamestnaneckom pomere a 1 muž na pracovnom mieste pri výkone práce vo verejnom záujme). Celkový podiel zamestnávaných žien v ÚJD SR predstavoval 50,40 %.</w:t>
      </w:r>
    </w:p>
    <w:p w14:paraId="3EA46C1D" w14:textId="406842AE" w:rsidR="001F7947" w:rsidRPr="00882A49" w:rsidRDefault="001F7947" w:rsidP="001F7947">
      <w:pPr>
        <w:widowControl w:val="0"/>
        <w:autoSpaceDE w:val="0"/>
        <w:autoSpaceDN w:val="0"/>
        <w:adjustRightInd w:val="0"/>
        <w:jc w:val="both"/>
      </w:pPr>
      <w:r w:rsidRPr="00882A49">
        <w:t xml:space="preserve">Z hľadiska systemizácie štátnozamestnaneckých miest evidujeme na ÚJD SR celkom 81 štátnozamestnaneckých miest v odbore štátnej služby 2.05 Jadrový dozor, z ktorých bolo k </w:t>
      </w:r>
      <w:r w:rsidR="00534F41" w:rsidRPr="00882A49">
        <w:br/>
      </w:r>
      <w:r w:rsidRPr="00882A49">
        <w:t>31. 12. 2024 obsadených 75. Predseda úradu a podpredseda úradu sa inšpektormi jadrovej bezpečnosti stávajú dňom vymenovania do funkcie.</w:t>
      </w:r>
    </w:p>
    <w:p w14:paraId="3012A6EC" w14:textId="77777777" w:rsidR="00263C16" w:rsidRPr="00882A49" w:rsidRDefault="00263C16" w:rsidP="00263C16">
      <w:pPr>
        <w:jc w:val="both"/>
        <w:rPr>
          <w:szCs w:val="24"/>
        </w:rPr>
      </w:pPr>
    </w:p>
    <w:p w14:paraId="3E2A605C" w14:textId="77777777" w:rsidR="00AB39BB" w:rsidRDefault="00AB39BB">
      <w:pPr>
        <w:spacing w:after="200" w:line="276" w:lineRule="auto"/>
        <w:rPr>
          <w:sz w:val="22"/>
          <w:szCs w:val="22"/>
        </w:rPr>
      </w:pPr>
      <w:r>
        <w:rPr>
          <w:sz w:val="22"/>
          <w:szCs w:val="22"/>
        </w:rPr>
        <w:br w:type="page"/>
      </w:r>
    </w:p>
    <w:p w14:paraId="569A8041" w14:textId="5ED8CC81" w:rsidR="00263C16" w:rsidRPr="0036514D" w:rsidRDefault="00263C16" w:rsidP="00060B5F">
      <w:pPr>
        <w:jc w:val="both"/>
        <w:rPr>
          <w:sz w:val="22"/>
          <w:szCs w:val="22"/>
        </w:rPr>
      </w:pPr>
      <w:r w:rsidRPr="00882A49">
        <w:rPr>
          <w:sz w:val="22"/>
          <w:szCs w:val="22"/>
        </w:rPr>
        <w:lastRenderedPageBreak/>
        <w:t>Tab.</w:t>
      </w:r>
      <w:r w:rsidR="00552BE7">
        <w:rPr>
          <w:sz w:val="22"/>
          <w:szCs w:val="22"/>
        </w:rPr>
        <w:t xml:space="preserve"> 6</w:t>
      </w:r>
      <w:r w:rsidRPr="00882A49">
        <w:rPr>
          <w:sz w:val="22"/>
          <w:szCs w:val="22"/>
        </w:rPr>
        <w:t xml:space="preserve"> Obsadenie štátnozamestnaneckých miest v odbore štátnej služby 2.05 Jadrový dozor k 31. 12. 202</w:t>
      </w:r>
      <w:r w:rsidR="001F7947" w:rsidRPr="00882A49">
        <w:rPr>
          <w:sz w:val="22"/>
          <w:szCs w:val="22"/>
        </w:rPr>
        <w:t>4</w:t>
      </w:r>
    </w:p>
    <w:tbl>
      <w:tblPr>
        <w:tblStyle w:val="Mriekatabuky"/>
        <w:tblW w:w="0" w:type="auto"/>
        <w:tblInd w:w="-5" w:type="dxa"/>
        <w:tblLook w:val="04A0" w:firstRow="1" w:lastRow="0" w:firstColumn="1" w:lastColumn="0" w:noHBand="0" w:noVBand="1"/>
      </w:tblPr>
      <w:tblGrid>
        <w:gridCol w:w="2281"/>
        <w:gridCol w:w="2262"/>
        <w:gridCol w:w="2262"/>
        <w:gridCol w:w="2262"/>
      </w:tblGrid>
      <w:tr w:rsidR="00263C16" w14:paraId="0F36EAE9" w14:textId="77777777" w:rsidTr="00AF6844">
        <w:tc>
          <w:tcPr>
            <w:tcW w:w="2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71343" w14:textId="77777777" w:rsidR="00263C16" w:rsidRPr="008015C6" w:rsidRDefault="00263C16" w:rsidP="00AF6844">
            <w:pPr>
              <w:jc w:val="center"/>
              <w:rPr>
                <w:sz w:val="22"/>
                <w:szCs w:val="22"/>
                <w:lang w:eastAsia="en-US"/>
              </w:rPr>
            </w:pP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A960E" w14:textId="77777777" w:rsidR="00263C16" w:rsidRPr="008015C6" w:rsidRDefault="00263C16" w:rsidP="00AF6844">
            <w:pPr>
              <w:jc w:val="center"/>
              <w:rPr>
                <w:b/>
                <w:sz w:val="22"/>
                <w:szCs w:val="22"/>
                <w:lang w:eastAsia="en-US"/>
              </w:rPr>
            </w:pPr>
            <w:r w:rsidRPr="008015C6">
              <w:rPr>
                <w:b/>
                <w:sz w:val="22"/>
                <w:szCs w:val="22"/>
                <w:lang w:eastAsia="en-US"/>
              </w:rPr>
              <w:t>Spolu</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B7113" w14:textId="77777777" w:rsidR="00263C16" w:rsidRPr="008015C6" w:rsidRDefault="00263C16" w:rsidP="00AF6844">
            <w:pPr>
              <w:jc w:val="center"/>
              <w:rPr>
                <w:b/>
                <w:sz w:val="22"/>
                <w:szCs w:val="22"/>
                <w:lang w:eastAsia="en-US"/>
              </w:rPr>
            </w:pPr>
            <w:r w:rsidRPr="008015C6">
              <w:rPr>
                <w:b/>
                <w:sz w:val="22"/>
                <w:szCs w:val="22"/>
                <w:lang w:eastAsia="en-US"/>
              </w:rPr>
              <w:t>Ženy</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DD3E5" w14:textId="77777777" w:rsidR="00263C16" w:rsidRPr="008015C6" w:rsidRDefault="00263C16" w:rsidP="00AF6844">
            <w:pPr>
              <w:jc w:val="center"/>
              <w:rPr>
                <w:b/>
                <w:sz w:val="22"/>
                <w:szCs w:val="22"/>
                <w:lang w:eastAsia="en-US"/>
              </w:rPr>
            </w:pPr>
            <w:r w:rsidRPr="008015C6">
              <w:rPr>
                <w:b/>
                <w:sz w:val="22"/>
                <w:szCs w:val="22"/>
                <w:lang w:eastAsia="en-US"/>
              </w:rPr>
              <w:t>Muži</w:t>
            </w:r>
          </w:p>
        </w:tc>
      </w:tr>
      <w:tr w:rsidR="00263C16" w:rsidRPr="009D4DEA" w14:paraId="6A09E2B7" w14:textId="77777777" w:rsidTr="00AF6844">
        <w:tc>
          <w:tcPr>
            <w:tcW w:w="2281" w:type="dxa"/>
            <w:tcBorders>
              <w:top w:val="single" w:sz="4" w:space="0" w:color="auto"/>
              <w:left w:val="single" w:sz="4" w:space="0" w:color="auto"/>
              <w:bottom w:val="single" w:sz="4" w:space="0" w:color="auto"/>
              <w:right w:val="single" w:sz="4" w:space="0" w:color="auto"/>
            </w:tcBorders>
            <w:shd w:val="clear" w:color="auto" w:fill="auto"/>
            <w:hideMark/>
          </w:tcPr>
          <w:p w14:paraId="48DEA3B7" w14:textId="77777777" w:rsidR="00263C16" w:rsidRPr="009D4DEA" w:rsidRDefault="00263C16" w:rsidP="00AF6844">
            <w:pPr>
              <w:rPr>
                <w:sz w:val="22"/>
                <w:szCs w:val="22"/>
                <w:lang w:eastAsia="en-US"/>
              </w:rPr>
            </w:pPr>
            <w:r w:rsidRPr="009D4DEA">
              <w:rPr>
                <w:sz w:val="22"/>
                <w:szCs w:val="22"/>
                <w:lang w:eastAsia="en-US"/>
              </w:rPr>
              <w:t>2.05 Jadrový dozor</w:t>
            </w:r>
          </w:p>
        </w:tc>
        <w:tc>
          <w:tcPr>
            <w:tcW w:w="2262" w:type="dxa"/>
            <w:tcBorders>
              <w:top w:val="single" w:sz="4" w:space="0" w:color="auto"/>
              <w:left w:val="single" w:sz="4" w:space="0" w:color="auto"/>
              <w:bottom w:val="single" w:sz="4" w:space="0" w:color="auto"/>
              <w:right w:val="single" w:sz="4" w:space="0" w:color="auto"/>
            </w:tcBorders>
            <w:hideMark/>
          </w:tcPr>
          <w:p w14:paraId="203B90BA" w14:textId="77777777" w:rsidR="00263C16" w:rsidRPr="009D4DEA" w:rsidRDefault="00263C16" w:rsidP="00AF6844">
            <w:pPr>
              <w:jc w:val="center"/>
              <w:rPr>
                <w:sz w:val="22"/>
                <w:szCs w:val="22"/>
                <w:lang w:eastAsia="en-US"/>
              </w:rPr>
            </w:pPr>
            <w:r w:rsidRPr="009D4DEA">
              <w:rPr>
                <w:sz w:val="22"/>
                <w:szCs w:val="22"/>
                <w:lang w:eastAsia="en-US"/>
              </w:rPr>
              <w:t>75</w:t>
            </w:r>
          </w:p>
        </w:tc>
        <w:tc>
          <w:tcPr>
            <w:tcW w:w="2262" w:type="dxa"/>
            <w:tcBorders>
              <w:top w:val="single" w:sz="4" w:space="0" w:color="auto"/>
              <w:left w:val="single" w:sz="4" w:space="0" w:color="auto"/>
              <w:bottom w:val="single" w:sz="4" w:space="0" w:color="auto"/>
              <w:right w:val="single" w:sz="4" w:space="0" w:color="auto"/>
            </w:tcBorders>
            <w:hideMark/>
          </w:tcPr>
          <w:p w14:paraId="282C02F8" w14:textId="77777777" w:rsidR="00263C16" w:rsidRPr="009D4DEA" w:rsidRDefault="00263C16" w:rsidP="00AF6844">
            <w:pPr>
              <w:jc w:val="center"/>
              <w:rPr>
                <w:sz w:val="22"/>
                <w:szCs w:val="22"/>
                <w:lang w:eastAsia="en-US"/>
              </w:rPr>
            </w:pPr>
            <w:r w:rsidRPr="009D4DEA">
              <w:rPr>
                <w:sz w:val="22"/>
                <w:szCs w:val="22"/>
                <w:lang w:eastAsia="en-US"/>
              </w:rPr>
              <w:t>28</w:t>
            </w:r>
          </w:p>
        </w:tc>
        <w:tc>
          <w:tcPr>
            <w:tcW w:w="2262" w:type="dxa"/>
            <w:tcBorders>
              <w:top w:val="single" w:sz="4" w:space="0" w:color="auto"/>
              <w:left w:val="single" w:sz="4" w:space="0" w:color="auto"/>
              <w:bottom w:val="single" w:sz="4" w:space="0" w:color="auto"/>
              <w:right w:val="single" w:sz="4" w:space="0" w:color="auto"/>
            </w:tcBorders>
            <w:hideMark/>
          </w:tcPr>
          <w:p w14:paraId="3B7A9DF0" w14:textId="77777777" w:rsidR="00263C16" w:rsidRPr="009D4DEA" w:rsidRDefault="00263C16" w:rsidP="00AF6844">
            <w:pPr>
              <w:jc w:val="center"/>
              <w:rPr>
                <w:sz w:val="22"/>
                <w:szCs w:val="22"/>
                <w:lang w:eastAsia="en-US"/>
              </w:rPr>
            </w:pPr>
            <w:r w:rsidRPr="009D4DEA">
              <w:rPr>
                <w:sz w:val="22"/>
                <w:szCs w:val="22"/>
                <w:lang w:eastAsia="en-US"/>
              </w:rPr>
              <w:t>47</w:t>
            </w:r>
          </w:p>
        </w:tc>
      </w:tr>
    </w:tbl>
    <w:p w14:paraId="184B8137" w14:textId="77777777" w:rsidR="00263C16" w:rsidRDefault="00263C16" w:rsidP="00263C16">
      <w:pPr>
        <w:rPr>
          <w:sz w:val="10"/>
          <w:szCs w:val="10"/>
        </w:rPr>
      </w:pPr>
    </w:p>
    <w:p w14:paraId="23A8E2B0" w14:textId="77777777" w:rsidR="00263C16" w:rsidRDefault="00263C16" w:rsidP="00263C16">
      <w:pPr>
        <w:jc w:val="both"/>
        <w:rPr>
          <w:szCs w:val="24"/>
        </w:rPr>
      </w:pPr>
    </w:p>
    <w:p w14:paraId="1ED3481D" w14:textId="5F98ABAF" w:rsidR="001F7947" w:rsidRPr="00882A49" w:rsidRDefault="001F7947" w:rsidP="00263C16">
      <w:pPr>
        <w:widowControl w:val="0"/>
        <w:autoSpaceDE w:val="0"/>
        <w:autoSpaceDN w:val="0"/>
        <w:adjustRightInd w:val="0"/>
        <w:jc w:val="both"/>
      </w:pPr>
      <w:r w:rsidRPr="00882A49">
        <w:t>Vzdelanostná štruktúra zamestnancov priamo ovplyvňovala profesionálnu úroveň výkonu činností jednotlivých útvarov ÚJD SR. Analýza vzdelanostnej štruktúry ukazuje, že 92,80 % zamestnancov ÚJD SR má ukončené vysokoškolské vzdelanie II. stupňa. Tento percentuálny podiel vysokoškolsky vzdelaných zamestnancov sa odvíja od náročnosti práce zamestnancov ÚJD SR a vysoko prekračuje vzdelanostnú úroveň obyvateľov SR.</w:t>
      </w:r>
    </w:p>
    <w:p w14:paraId="1659B638" w14:textId="77777777" w:rsidR="00263C16" w:rsidRPr="00882A49" w:rsidRDefault="00263C16" w:rsidP="00263C16">
      <w:pPr>
        <w:jc w:val="both"/>
        <w:rPr>
          <w:szCs w:val="24"/>
        </w:rPr>
      </w:pPr>
    </w:p>
    <w:p w14:paraId="0AB042A3" w14:textId="6D4FCAA4" w:rsidR="00263C16" w:rsidRPr="00882A49" w:rsidRDefault="00263C16" w:rsidP="00263C16">
      <w:pPr>
        <w:rPr>
          <w:sz w:val="22"/>
          <w:szCs w:val="22"/>
        </w:rPr>
      </w:pPr>
      <w:r w:rsidRPr="00882A49">
        <w:rPr>
          <w:sz w:val="22"/>
          <w:szCs w:val="22"/>
        </w:rPr>
        <w:t xml:space="preserve">Tab. </w:t>
      </w:r>
      <w:r w:rsidR="00552BE7">
        <w:rPr>
          <w:sz w:val="22"/>
          <w:szCs w:val="22"/>
        </w:rPr>
        <w:t>7</w:t>
      </w:r>
      <w:r w:rsidRPr="00882A49">
        <w:rPr>
          <w:sz w:val="22"/>
          <w:szCs w:val="22"/>
        </w:rPr>
        <w:t xml:space="preserve"> Vzdelanostná štruktúra zamestnancov k 31. 12. 202</w:t>
      </w:r>
      <w:r w:rsidR="001F7947" w:rsidRPr="00882A49">
        <w:rPr>
          <w:sz w:val="22"/>
          <w:szCs w:val="22"/>
        </w:rPr>
        <w:t>4</w:t>
      </w:r>
    </w:p>
    <w:tbl>
      <w:tblPr>
        <w:tblStyle w:val="Mriekatabuky"/>
        <w:tblW w:w="0" w:type="auto"/>
        <w:tblInd w:w="-5" w:type="dxa"/>
        <w:tblLook w:val="04A0" w:firstRow="1" w:lastRow="0" w:firstColumn="1" w:lastColumn="0" w:noHBand="0" w:noVBand="1"/>
      </w:tblPr>
      <w:tblGrid>
        <w:gridCol w:w="1560"/>
        <w:gridCol w:w="1557"/>
        <w:gridCol w:w="1553"/>
        <w:gridCol w:w="1418"/>
        <w:gridCol w:w="1468"/>
        <w:gridCol w:w="1511"/>
      </w:tblGrid>
      <w:tr w:rsidR="00263C16" w:rsidRPr="00882A49" w14:paraId="4978F306" w14:textId="77777777" w:rsidTr="00AF6844">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914D9" w14:textId="77777777" w:rsidR="00263C16" w:rsidRPr="00882A49" w:rsidRDefault="00263C16" w:rsidP="00AF6844">
            <w:pPr>
              <w:jc w:val="center"/>
              <w:rPr>
                <w:b/>
                <w:sz w:val="22"/>
                <w:szCs w:val="22"/>
                <w:lang w:eastAsia="en-US"/>
              </w:rPr>
            </w:pPr>
            <w:r w:rsidRPr="00882A49">
              <w:rPr>
                <w:b/>
                <w:sz w:val="22"/>
                <w:szCs w:val="22"/>
                <w:lang w:eastAsia="en-US"/>
              </w:rPr>
              <w:t>Vzdelanie</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19410" w14:textId="77777777" w:rsidR="00263C16" w:rsidRPr="00882A49" w:rsidRDefault="00263C16" w:rsidP="00AF6844">
            <w:pPr>
              <w:jc w:val="center"/>
              <w:rPr>
                <w:b/>
                <w:sz w:val="22"/>
                <w:szCs w:val="22"/>
                <w:lang w:eastAsia="en-US"/>
              </w:rPr>
            </w:pPr>
            <w:r w:rsidRPr="00882A49">
              <w:rPr>
                <w:b/>
                <w:sz w:val="22"/>
                <w:szCs w:val="22"/>
                <w:lang w:eastAsia="en-US"/>
              </w:rPr>
              <w:t>VŠ III. stupňa</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9EB61" w14:textId="77777777" w:rsidR="00263C16" w:rsidRPr="00882A49" w:rsidRDefault="00263C16" w:rsidP="00AF6844">
            <w:pPr>
              <w:jc w:val="center"/>
              <w:rPr>
                <w:b/>
                <w:sz w:val="22"/>
                <w:szCs w:val="22"/>
                <w:lang w:eastAsia="en-US"/>
              </w:rPr>
            </w:pPr>
            <w:r w:rsidRPr="00882A49">
              <w:rPr>
                <w:b/>
                <w:sz w:val="22"/>
                <w:szCs w:val="22"/>
                <w:lang w:eastAsia="en-US"/>
              </w:rPr>
              <w:t>VŠ II. stupňa</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7993F" w14:textId="77777777" w:rsidR="00263C16" w:rsidRPr="00882A49" w:rsidRDefault="00263C16" w:rsidP="00AF6844">
            <w:pPr>
              <w:jc w:val="center"/>
              <w:rPr>
                <w:b/>
                <w:sz w:val="22"/>
                <w:szCs w:val="22"/>
                <w:lang w:eastAsia="en-US"/>
              </w:rPr>
            </w:pPr>
            <w:r w:rsidRPr="00882A49">
              <w:rPr>
                <w:b/>
                <w:sz w:val="22"/>
                <w:szCs w:val="22"/>
                <w:lang w:eastAsia="en-US"/>
              </w:rPr>
              <w:t>VŠ I. stupňa</w:t>
            </w:r>
          </w:p>
        </w:tc>
        <w:tc>
          <w:tcPr>
            <w:tcW w:w="1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0EB16B" w14:textId="77777777" w:rsidR="00263C16" w:rsidRPr="00882A49" w:rsidRDefault="00263C16" w:rsidP="00AF6844">
            <w:pPr>
              <w:jc w:val="center"/>
              <w:rPr>
                <w:b/>
                <w:sz w:val="22"/>
                <w:szCs w:val="22"/>
                <w:lang w:eastAsia="en-US"/>
              </w:rPr>
            </w:pPr>
            <w:r w:rsidRPr="00882A49">
              <w:rPr>
                <w:b/>
                <w:sz w:val="22"/>
                <w:szCs w:val="22"/>
                <w:lang w:eastAsia="en-US"/>
              </w:rPr>
              <w:t>USO</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9442A" w14:textId="77777777" w:rsidR="00263C16" w:rsidRPr="00882A49" w:rsidRDefault="00263C16" w:rsidP="00AF6844">
            <w:pPr>
              <w:jc w:val="center"/>
              <w:rPr>
                <w:b/>
                <w:sz w:val="22"/>
                <w:szCs w:val="22"/>
                <w:lang w:eastAsia="en-US"/>
              </w:rPr>
            </w:pPr>
            <w:r w:rsidRPr="00882A49">
              <w:rPr>
                <w:b/>
                <w:sz w:val="22"/>
                <w:szCs w:val="22"/>
                <w:lang w:eastAsia="en-US"/>
              </w:rPr>
              <w:t>Spolu</w:t>
            </w:r>
          </w:p>
        </w:tc>
      </w:tr>
      <w:tr w:rsidR="00263C16" w:rsidRPr="00882A49" w14:paraId="2C886ADA" w14:textId="77777777" w:rsidTr="00AF6844">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00FF902" w14:textId="77777777" w:rsidR="00263C16" w:rsidRPr="00882A49" w:rsidRDefault="00263C16" w:rsidP="00AF6844">
            <w:pPr>
              <w:rPr>
                <w:sz w:val="22"/>
                <w:szCs w:val="22"/>
                <w:lang w:eastAsia="en-US"/>
              </w:rPr>
            </w:pPr>
            <w:r w:rsidRPr="00882A49">
              <w:rPr>
                <w:sz w:val="22"/>
                <w:szCs w:val="22"/>
                <w:lang w:eastAsia="en-US"/>
              </w:rPr>
              <w:t>Ženy</w:t>
            </w:r>
          </w:p>
        </w:tc>
        <w:tc>
          <w:tcPr>
            <w:tcW w:w="1557" w:type="dxa"/>
            <w:tcBorders>
              <w:top w:val="single" w:sz="4" w:space="0" w:color="auto"/>
              <w:left w:val="single" w:sz="4" w:space="0" w:color="auto"/>
              <w:bottom w:val="single" w:sz="4" w:space="0" w:color="auto"/>
              <w:right w:val="single" w:sz="4" w:space="0" w:color="auto"/>
            </w:tcBorders>
          </w:tcPr>
          <w:p w14:paraId="3FD094AC" w14:textId="3704FE91" w:rsidR="00263C16" w:rsidRPr="00882A49" w:rsidRDefault="001F7947" w:rsidP="00AF6844">
            <w:pPr>
              <w:jc w:val="right"/>
              <w:rPr>
                <w:sz w:val="22"/>
                <w:szCs w:val="22"/>
                <w:lang w:eastAsia="en-US"/>
              </w:rPr>
            </w:pPr>
            <w:r w:rsidRPr="00882A49">
              <w:rPr>
                <w:sz w:val="22"/>
                <w:szCs w:val="22"/>
                <w:lang w:eastAsia="en-US"/>
              </w:rPr>
              <w:t>6</w:t>
            </w:r>
          </w:p>
        </w:tc>
        <w:tc>
          <w:tcPr>
            <w:tcW w:w="1553" w:type="dxa"/>
            <w:tcBorders>
              <w:top w:val="single" w:sz="4" w:space="0" w:color="auto"/>
              <w:left w:val="single" w:sz="4" w:space="0" w:color="auto"/>
              <w:bottom w:val="single" w:sz="4" w:space="0" w:color="auto"/>
              <w:right w:val="single" w:sz="4" w:space="0" w:color="auto"/>
            </w:tcBorders>
            <w:hideMark/>
          </w:tcPr>
          <w:p w14:paraId="3FE4673F" w14:textId="79EF3017" w:rsidR="00263C16" w:rsidRPr="00882A49" w:rsidRDefault="00263C16" w:rsidP="00AF6844">
            <w:pPr>
              <w:jc w:val="right"/>
              <w:rPr>
                <w:sz w:val="22"/>
                <w:szCs w:val="22"/>
                <w:lang w:eastAsia="en-US"/>
              </w:rPr>
            </w:pPr>
            <w:r w:rsidRPr="00882A49">
              <w:rPr>
                <w:sz w:val="22"/>
                <w:szCs w:val="22"/>
                <w:lang w:eastAsia="en-US"/>
              </w:rPr>
              <w:t>5</w:t>
            </w:r>
            <w:r w:rsidR="001F7947" w:rsidRPr="00882A49">
              <w:rPr>
                <w:sz w:val="22"/>
                <w:szCs w:val="22"/>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3859B0C8" w14:textId="77777777" w:rsidR="00263C16" w:rsidRPr="00882A49" w:rsidRDefault="00263C16" w:rsidP="00AF6844">
            <w:pPr>
              <w:jc w:val="right"/>
              <w:rPr>
                <w:sz w:val="22"/>
                <w:szCs w:val="22"/>
                <w:lang w:eastAsia="en-US"/>
              </w:rPr>
            </w:pPr>
            <w:r w:rsidRPr="00882A49">
              <w:rPr>
                <w:sz w:val="22"/>
                <w:szCs w:val="22"/>
                <w:lang w:eastAsia="en-US"/>
              </w:rPr>
              <w:t>1</w:t>
            </w:r>
          </w:p>
        </w:tc>
        <w:tc>
          <w:tcPr>
            <w:tcW w:w="1468" w:type="dxa"/>
            <w:tcBorders>
              <w:top w:val="single" w:sz="4" w:space="0" w:color="auto"/>
              <w:left w:val="single" w:sz="4" w:space="0" w:color="auto"/>
              <w:bottom w:val="single" w:sz="4" w:space="0" w:color="auto"/>
              <w:right w:val="single" w:sz="4" w:space="0" w:color="auto"/>
            </w:tcBorders>
            <w:hideMark/>
          </w:tcPr>
          <w:p w14:paraId="63DFBAC7" w14:textId="05E24714" w:rsidR="00263C16" w:rsidRPr="00882A49" w:rsidRDefault="001F7947" w:rsidP="00AF6844">
            <w:pPr>
              <w:jc w:val="right"/>
              <w:rPr>
                <w:sz w:val="22"/>
                <w:szCs w:val="22"/>
                <w:lang w:eastAsia="en-US"/>
              </w:rPr>
            </w:pPr>
            <w:r w:rsidRPr="00882A49">
              <w:rPr>
                <w:sz w:val="22"/>
                <w:szCs w:val="22"/>
                <w:lang w:eastAsia="en-US"/>
              </w:rPr>
              <w:t>7</w:t>
            </w:r>
          </w:p>
        </w:tc>
        <w:tc>
          <w:tcPr>
            <w:tcW w:w="1511" w:type="dxa"/>
            <w:tcBorders>
              <w:top w:val="single" w:sz="4" w:space="0" w:color="auto"/>
              <w:left w:val="single" w:sz="4" w:space="0" w:color="auto"/>
              <w:bottom w:val="single" w:sz="4" w:space="0" w:color="auto"/>
              <w:right w:val="single" w:sz="4" w:space="0" w:color="auto"/>
            </w:tcBorders>
            <w:hideMark/>
          </w:tcPr>
          <w:p w14:paraId="190D4122" w14:textId="68A5E77B" w:rsidR="00263C16" w:rsidRPr="00882A49" w:rsidRDefault="00263C16" w:rsidP="00AF6844">
            <w:pPr>
              <w:jc w:val="right"/>
              <w:rPr>
                <w:bCs/>
                <w:sz w:val="22"/>
                <w:szCs w:val="22"/>
                <w:lang w:eastAsia="en-US"/>
              </w:rPr>
            </w:pPr>
            <w:r w:rsidRPr="00882A49">
              <w:rPr>
                <w:bCs/>
                <w:sz w:val="22"/>
                <w:szCs w:val="22"/>
                <w:lang w:eastAsia="en-US"/>
              </w:rPr>
              <w:t>6</w:t>
            </w:r>
            <w:r w:rsidR="001F7947" w:rsidRPr="00882A49">
              <w:rPr>
                <w:bCs/>
                <w:sz w:val="22"/>
                <w:szCs w:val="22"/>
                <w:lang w:eastAsia="en-US"/>
              </w:rPr>
              <w:t>4</w:t>
            </w:r>
          </w:p>
        </w:tc>
      </w:tr>
      <w:tr w:rsidR="00263C16" w:rsidRPr="00882A49" w14:paraId="53B709C2" w14:textId="77777777" w:rsidTr="00AF6844">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77FB33" w14:textId="77777777" w:rsidR="00263C16" w:rsidRPr="00882A49" w:rsidRDefault="00263C16" w:rsidP="00AF6844">
            <w:pPr>
              <w:rPr>
                <w:sz w:val="22"/>
                <w:szCs w:val="22"/>
                <w:lang w:eastAsia="en-US"/>
              </w:rPr>
            </w:pPr>
            <w:r w:rsidRPr="00882A49">
              <w:rPr>
                <w:sz w:val="22"/>
                <w:szCs w:val="22"/>
                <w:lang w:eastAsia="en-US"/>
              </w:rPr>
              <w:t>Muži</w:t>
            </w:r>
          </w:p>
        </w:tc>
        <w:tc>
          <w:tcPr>
            <w:tcW w:w="1557" w:type="dxa"/>
            <w:tcBorders>
              <w:top w:val="single" w:sz="4" w:space="0" w:color="auto"/>
              <w:left w:val="single" w:sz="4" w:space="0" w:color="auto"/>
              <w:bottom w:val="single" w:sz="4" w:space="0" w:color="auto"/>
              <w:right w:val="single" w:sz="4" w:space="0" w:color="auto"/>
            </w:tcBorders>
          </w:tcPr>
          <w:p w14:paraId="7DEC8A5F" w14:textId="1B6B314A" w:rsidR="00263C16" w:rsidRPr="00882A49" w:rsidRDefault="001F7947" w:rsidP="00AF6844">
            <w:pPr>
              <w:jc w:val="right"/>
              <w:rPr>
                <w:sz w:val="22"/>
                <w:szCs w:val="22"/>
                <w:lang w:eastAsia="en-US"/>
              </w:rPr>
            </w:pPr>
            <w:r w:rsidRPr="00882A49">
              <w:rPr>
                <w:sz w:val="22"/>
                <w:szCs w:val="22"/>
                <w:lang w:eastAsia="en-US"/>
              </w:rPr>
              <w:t>7</w:t>
            </w:r>
          </w:p>
        </w:tc>
        <w:tc>
          <w:tcPr>
            <w:tcW w:w="1553" w:type="dxa"/>
            <w:tcBorders>
              <w:top w:val="single" w:sz="4" w:space="0" w:color="auto"/>
              <w:left w:val="single" w:sz="4" w:space="0" w:color="auto"/>
              <w:bottom w:val="single" w:sz="4" w:space="0" w:color="auto"/>
              <w:right w:val="single" w:sz="4" w:space="0" w:color="auto"/>
            </w:tcBorders>
            <w:hideMark/>
          </w:tcPr>
          <w:p w14:paraId="76855D36" w14:textId="37F6E938" w:rsidR="00263C16" w:rsidRPr="00882A49" w:rsidRDefault="00263C16" w:rsidP="00AF6844">
            <w:pPr>
              <w:jc w:val="right"/>
              <w:rPr>
                <w:sz w:val="22"/>
                <w:szCs w:val="22"/>
                <w:lang w:eastAsia="en-US"/>
              </w:rPr>
            </w:pPr>
            <w:r w:rsidRPr="00882A49">
              <w:rPr>
                <w:sz w:val="22"/>
                <w:szCs w:val="22"/>
                <w:lang w:eastAsia="en-US"/>
              </w:rPr>
              <w:t>5</w:t>
            </w:r>
            <w:r w:rsidR="001F7947" w:rsidRPr="00882A49">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14:paraId="7555E6D0" w14:textId="77777777" w:rsidR="00263C16" w:rsidRPr="00882A49" w:rsidRDefault="00263C16" w:rsidP="00AF6844">
            <w:pPr>
              <w:jc w:val="right"/>
              <w:rPr>
                <w:sz w:val="22"/>
                <w:szCs w:val="22"/>
                <w:lang w:eastAsia="en-US"/>
              </w:rPr>
            </w:pPr>
            <w:r w:rsidRPr="00882A49">
              <w:rPr>
                <w:sz w:val="22"/>
                <w:szCs w:val="22"/>
                <w:lang w:eastAsia="en-US"/>
              </w:rPr>
              <w:t>0</w:t>
            </w:r>
          </w:p>
        </w:tc>
        <w:tc>
          <w:tcPr>
            <w:tcW w:w="1468" w:type="dxa"/>
            <w:tcBorders>
              <w:top w:val="single" w:sz="4" w:space="0" w:color="auto"/>
              <w:left w:val="single" w:sz="4" w:space="0" w:color="auto"/>
              <w:bottom w:val="single" w:sz="4" w:space="0" w:color="auto"/>
              <w:right w:val="single" w:sz="4" w:space="0" w:color="auto"/>
            </w:tcBorders>
            <w:hideMark/>
          </w:tcPr>
          <w:p w14:paraId="7B849FB0" w14:textId="77777777" w:rsidR="00263C16" w:rsidRPr="00882A49" w:rsidRDefault="00263C16" w:rsidP="00AF6844">
            <w:pPr>
              <w:jc w:val="right"/>
              <w:rPr>
                <w:sz w:val="22"/>
                <w:szCs w:val="22"/>
                <w:lang w:eastAsia="en-US"/>
              </w:rPr>
            </w:pPr>
            <w:r w:rsidRPr="00882A49">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hideMark/>
          </w:tcPr>
          <w:p w14:paraId="29EF12F5" w14:textId="31B6A5EA" w:rsidR="00263C16" w:rsidRPr="00882A49" w:rsidRDefault="001F7947" w:rsidP="00AF6844">
            <w:pPr>
              <w:jc w:val="right"/>
              <w:rPr>
                <w:bCs/>
                <w:sz w:val="22"/>
                <w:szCs w:val="22"/>
                <w:lang w:eastAsia="en-US"/>
              </w:rPr>
            </w:pPr>
            <w:r w:rsidRPr="00882A49">
              <w:rPr>
                <w:bCs/>
                <w:sz w:val="22"/>
                <w:szCs w:val="22"/>
                <w:lang w:eastAsia="en-US"/>
              </w:rPr>
              <w:t>61</w:t>
            </w:r>
          </w:p>
        </w:tc>
      </w:tr>
      <w:tr w:rsidR="00263C16" w:rsidRPr="00882A49" w14:paraId="634806BB" w14:textId="77777777" w:rsidTr="00AF6844">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FFE3FA1" w14:textId="77777777" w:rsidR="00263C16" w:rsidRPr="00882A49" w:rsidRDefault="00263C16" w:rsidP="00AF6844">
            <w:pPr>
              <w:rPr>
                <w:b/>
                <w:bCs/>
                <w:sz w:val="22"/>
                <w:szCs w:val="22"/>
                <w:lang w:eastAsia="en-US"/>
              </w:rPr>
            </w:pPr>
            <w:r w:rsidRPr="00882A49">
              <w:rPr>
                <w:b/>
                <w:bCs/>
                <w:sz w:val="22"/>
                <w:szCs w:val="22"/>
                <w:lang w:eastAsia="en-US"/>
              </w:rPr>
              <w:t>Spolu</w:t>
            </w:r>
          </w:p>
        </w:tc>
        <w:tc>
          <w:tcPr>
            <w:tcW w:w="1557" w:type="dxa"/>
            <w:tcBorders>
              <w:top w:val="single" w:sz="4" w:space="0" w:color="auto"/>
              <w:left w:val="single" w:sz="4" w:space="0" w:color="auto"/>
              <w:bottom w:val="single" w:sz="4" w:space="0" w:color="auto"/>
              <w:right w:val="single" w:sz="4" w:space="0" w:color="auto"/>
            </w:tcBorders>
          </w:tcPr>
          <w:p w14:paraId="47DBC965" w14:textId="13BDA32E" w:rsidR="00263C16" w:rsidRPr="00882A49" w:rsidRDefault="00263C16" w:rsidP="00AF6844">
            <w:pPr>
              <w:jc w:val="right"/>
              <w:rPr>
                <w:b/>
                <w:sz w:val="22"/>
                <w:szCs w:val="22"/>
                <w:lang w:eastAsia="en-US"/>
              </w:rPr>
            </w:pPr>
            <w:r w:rsidRPr="00882A49">
              <w:rPr>
                <w:b/>
                <w:sz w:val="22"/>
                <w:szCs w:val="22"/>
                <w:lang w:eastAsia="en-US"/>
              </w:rPr>
              <w:t>1</w:t>
            </w:r>
            <w:r w:rsidR="001F7947" w:rsidRPr="00882A49">
              <w:rPr>
                <w:b/>
                <w:sz w:val="22"/>
                <w:szCs w:val="22"/>
                <w:lang w:eastAsia="en-US"/>
              </w:rPr>
              <w:t>3</w:t>
            </w:r>
          </w:p>
        </w:tc>
        <w:tc>
          <w:tcPr>
            <w:tcW w:w="1553" w:type="dxa"/>
            <w:tcBorders>
              <w:top w:val="single" w:sz="4" w:space="0" w:color="auto"/>
              <w:left w:val="single" w:sz="4" w:space="0" w:color="auto"/>
              <w:bottom w:val="single" w:sz="4" w:space="0" w:color="auto"/>
              <w:right w:val="single" w:sz="4" w:space="0" w:color="auto"/>
            </w:tcBorders>
            <w:hideMark/>
          </w:tcPr>
          <w:p w14:paraId="55CA1396" w14:textId="77777777" w:rsidR="00263C16" w:rsidRPr="00882A49" w:rsidRDefault="00263C16" w:rsidP="00AF6844">
            <w:pPr>
              <w:jc w:val="right"/>
              <w:rPr>
                <w:b/>
                <w:sz w:val="22"/>
                <w:szCs w:val="22"/>
                <w:lang w:eastAsia="en-US"/>
              </w:rPr>
            </w:pPr>
            <w:r w:rsidRPr="00882A49">
              <w:rPr>
                <w:b/>
                <w:sz w:val="22"/>
                <w:szCs w:val="22"/>
                <w:lang w:eastAsia="en-US"/>
              </w:rPr>
              <w:t>103</w:t>
            </w:r>
          </w:p>
        </w:tc>
        <w:tc>
          <w:tcPr>
            <w:tcW w:w="1418" w:type="dxa"/>
            <w:tcBorders>
              <w:top w:val="single" w:sz="4" w:space="0" w:color="auto"/>
              <w:left w:val="single" w:sz="4" w:space="0" w:color="auto"/>
              <w:bottom w:val="single" w:sz="4" w:space="0" w:color="auto"/>
              <w:right w:val="single" w:sz="4" w:space="0" w:color="auto"/>
            </w:tcBorders>
            <w:hideMark/>
          </w:tcPr>
          <w:p w14:paraId="445E50E9" w14:textId="77777777" w:rsidR="00263C16" w:rsidRPr="00882A49" w:rsidRDefault="00263C16" w:rsidP="00AF6844">
            <w:pPr>
              <w:jc w:val="right"/>
              <w:rPr>
                <w:b/>
                <w:sz w:val="22"/>
                <w:szCs w:val="22"/>
                <w:lang w:eastAsia="en-US"/>
              </w:rPr>
            </w:pPr>
            <w:r w:rsidRPr="00882A49">
              <w:rPr>
                <w:b/>
                <w:sz w:val="22"/>
                <w:szCs w:val="22"/>
                <w:lang w:eastAsia="en-US"/>
              </w:rPr>
              <w:t>1</w:t>
            </w:r>
          </w:p>
        </w:tc>
        <w:tc>
          <w:tcPr>
            <w:tcW w:w="1468" w:type="dxa"/>
            <w:tcBorders>
              <w:top w:val="single" w:sz="4" w:space="0" w:color="auto"/>
              <w:left w:val="single" w:sz="4" w:space="0" w:color="auto"/>
              <w:bottom w:val="single" w:sz="4" w:space="0" w:color="auto"/>
              <w:right w:val="single" w:sz="4" w:space="0" w:color="auto"/>
            </w:tcBorders>
            <w:hideMark/>
          </w:tcPr>
          <w:p w14:paraId="7152D84D" w14:textId="784EB27C" w:rsidR="00263C16" w:rsidRPr="00882A49" w:rsidRDefault="001F7947" w:rsidP="00AF6844">
            <w:pPr>
              <w:jc w:val="right"/>
              <w:rPr>
                <w:b/>
                <w:sz w:val="22"/>
                <w:szCs w:val="22"/>
                <w:lang w:eastAsia="en-US"/>
              </w:rPr>
            </w:pPr>
            <w:r w:rsidRPr="00882A49">
              <w:rPr>
                <w:b/>
                <w:sz w:val="22"/>
                <w:szCs w:val="22"/>
                <w:lang w:eastAsia="en-US"/>
              </w:rPr>
              <w:t>8</w:t>
            </w:r>
          </w:p>
        </w:tc>
        <w:tc>
          <w:tcPr>
            <w:tcW w:w="1511" w:type="dxa"/>
            <w:tcBorders>
              <w:top w:val="single" w:sz="4" w:space="0" w:color="auto"/>
              <w:left w:val="single" w:sz="4" w:space="0" w:color="auto"/>
              <w:bottom w:val="single" w:sz="4" w:space="0" w:color="auto"/>
              <w:right w:val="single" w:sz="4" w:space="0" w:color="auto"/>
            </w:tcBorders>
            <w:hideMark/>
          </w:tcPr>
          <w:p w14:paraId="12410420" w14:textId="02CA4D09" w:rsidR="00263C16" w:rsidRPr="00882A49" w:rsidRDefault="00263C16" w:rsidP="00AF6844">
            <w:pPr>
              <w:jc w:val="right"/>
              <w:rPr>
                <w:b/>
                <w:sz w:val="22"/>
                <w:szCs w:val="22"/>
                <w:lang w:eastAsia="en-US"/>
              </w:rPr>
            </w:pPr>
            <w:r w:rsidRPr="00882A49">
              <w:rPr>
                <w:b/>
                <w:sz w:val="22"/>
                <w:szCs w:val="22"/>
                <w:lang w:eastAsia="en-US"/>
              </w:rPr>
              <w:t>12</w:t>
            </w:r>
            <w:r w:rsidR="001F7947" w:rsidRPr="00882A49">
              <w:rPr>
                <w:b/>
                <w:sz w:val="22"/>
                <w:szCs w:val="22"/>
                <w:lang w:eastAsia="en-US"/>
              </w:rPr>
              <w:t>5</w:t>
            </w:r>
          </w:p>
        </w:tc>
      </w:tr>
    </w:tbl>
    <w:p w14:paraId="60A91735" w14:textId="51EC2FFC" w:rsidR="001F7947" w:rsidRPr="00882A49" w:rsidRDefault="001F7947" w:rsidP="00263C16">
      <w:pPr>
        <w:widowControl w:val="0"/>
        <w:autoSpaceDE w:val="0"/>
        <w:autoSpaceDN w:val="0"/>
        <w:adjustRightInd w:val="0"/>
        <w:jc w:val="both"/>
      </w:pPr>
    </w:p>
    <w:p w14:paraId="6F8B9EA2" w14:textId="77777777" w:rsidR="001F7947" w:rsidRPr="00882A49" w:rsidRDefault="001F7947" w:rsidP="001F7947">
      <w:pPr>
        <w:widowControl w:val="0"/>
        <w:autoSpaceDE w:val="0"/>
        <w:autoSpaceDN w:val="0"/>
        <w:adjustRightInd w:val="0"/>
        <w:jc w:val="both"/>
      </w:pPr>
      <w:r w:rsidRPr="00882A49">
        <w:t>Z hľadiska vekovej štruktúry zamestnancov, skupina zamestnancov vo veku 61 rokov a viac predstavuje 10,40 % z celkového počtu zamestnancov, zamestnanci vo veku 46 – 60 rokov tvoria 55,20 % z celkového počtu zamestnancov, zamestnanci vo veku 36 – 45 rokov tvoria                 22,40 % z celkového počtu zamestnancov a zamestnanci vo veku 18 – 35 rokov tvoria 12,00 % z celkového počtu 125 zamestnancov k 31. 12. 2024. Štruktúra zamestnancov ÚJD SR podľa veku potvrdzuje dlhodobý trend a to, že výkon štátneho dozoru bol zabezpečovaný aj v roku 2024 zamestnancami s dlhoročnou odbornou praxou.</w:t>
      </w:r>
    </w:p>
    <w:p w14:paraId="5A519BBF" w14:textId="77777777" w:rsidR="001F7947" w:rsidRPr="00882A49" w:rsidRDefault="001F7947" w:rsidP="001F7947">
      <w:pPr>
        <w:widowControl w:val="0"/>
        <w:autoSpaceDE w:val="0"/>
        <w:autoSpaceDN w:val="0"/>
        <w:adjustRightInd w:val="0"/>
        <w:jc w:val="both"/>
      </w:pPr>
      <w:r w:rsidRPr="00882A49">
        <w:t>ÚJD SR v rámci systemizácie vedie 18 štátnozamestnaneckých miest vedúcich zamestnancov.</w:t>
      </w:r>
    </w:p>
    <w:p w14:paraId="07D0C1A3" w14:textId="77777777" w:rsidR="001F7947" w:rsidRPr="00882A49" w:rsidRDefault="001F7947" w:rsidP="001F7947">
      <w:pPr>
        <w:widowControl w:val="0"/>
        <w:autoSpaceDE w:val="0"/>
        <w:autoSpaceDN w:val="0"/>
        <w:adjustRightInd w:val="0"/>
        <w:jc w:val="both"/>
      </w:pPr>
      <w:r w:rsidRPr="00882A49">
        <w:t>Získavanie, prehlbovanie a udržiavanie odborných kompetencií zamestnancov ÚJD SR je ďalším z predpokladov úspešného plnenia nových úloh súčasného právneho, ekonomického i vysoko náročného technického prostredia, ktorého súčasťou je aj jadrová energetika. Vzdelanosť patrí dnes k základným cieľom, ale zároveň aj k požiadavkám modernej spoločnosti. Požiadavky na vedomosti, schopnosti, zručnosti a skúsenosti zamestnanca v modernej spoločnosti sa neustále menia a aby zamestnanec mohol fungovať ako vysoko profesionálna pracovná sila, musí si ich neustále prehlbovať a rozširovať. Samostatnú kapitolu vzdelávania tvorí informatizácia verejnej správy a transparentnosť výkonu činností dozorného orgánu, ktoré si vyžadujú aktívne zapojenie zamestnancov do riešenia nových problémov, ktoré tieto oblasti prinášajú. Za týmto účelom je potrebné osvojenie si nových požiadaviek a povinností orgánov verejnej správy, ktoré zamestnanci musia plniť.</w:t>
      </w:r>
    </w:p>
    <w:p w14:paraId="6EA1361F" w14:textId="7D8610BB" w:rsidR="001F7947" w:rsidRPr="00882A49" w:rsidRDefault="001F7947" w:rsidP="001F7947">
      <w:pPr>
        <w:widowControl w:val="0"/>
        <w:autoSpaceDE w:val="0"/>
        <w:autoSpaceDN w:val="0"/>
        <w:adjustRightInd w:val="0"/>
        <w:jc w:val="both"/>
      </w:pPr>
      <w:r w:rsidRPr="00882A49">
        <w:t>Vzdelávanie zamestnancov bolo rozpracované v pláne kontinuálneho vzdelávania zamestnancov ÚJD SR na rok 2024, s celoročným obsahovým zameraním vzdelávacích potrieb všetkých organizačných útvarov. Každý zamestnanec má na základe služobného hodnotenia za predchádzajúci kalendárny rok vypracovaný individuálny plán kompetenčného vzdelávania. V rámci procesu vzdelávania boli zamestnancom ponúkané aj ad hoc zasielané vzdelávacie aktivity, organizované externými vzdelávacími inštitúciami. Vzdelávanie bolo orientované na všetky odborné oblasti, ktoré ÚJD SR zabezpečuje. Zamestnanci ÚJD SR využívali rôzne formy individuálneho a hromadného vzdelávania</w:t>
      </w:r>
      <w:r w:rsidR="00B71993">
        <w:t>,</w:t>
      </w:r>
      <w:r w:rsidRPr="00882A49">
        <w:t xml:space="preserve"> ako napr. aj e-learning, samoštúdium, online konferencie a pod. Vedúci zamestnanci využili ponuku Centra vzdelávania a hodnotenia Úradu vlády S</w:t>
      </w:r>
      <w:r w:rsidR="00B71993">
        <w:t>lovenskej republiky</w:t>
      </w:r>
      <w:r w:rsidRPr="00882A49">
        <w:t xml:space="preserve"> a zúčastnili sa na školeniach zameraných na podporu rozvoja manažérskych zručností. Zamestnanci ÚJD SR sa pravidelne zúčastňujú workshopov a vzdelávacích podujatí organizovaných medzinárodnými organizáciami ako MAAE vo Viedni a OECD/NEA v Paríži. Vzdelávanie a formovanie pracovných schopností a zručností sa v podmienkach ÚJD SR stáva celoživotným procesom, pretože je nevyhnutné permanentne </w:t>
      </w:r>
      <w:r w:rsidRPr="00882A49">
        <w:lastRenderedPageBreak/>
        <w:t>zohľadňovať aktuálne potreby vyvolané realitou zmien.</w:t>
      </w:r>
    </w:p>
    <w:p w14:paraId="39A62E09" w14:textId="77777777" w:rsidR="001F7947" w:rsidRPr="00882A49" w:rsidRDefault="001F7947" w:rsidP="001F7947">
      <w:pPr>
        <w:widowControl w:val="0"/>
        <w:autoSpaceDE w:val="0"/>
        <w:autoSpaceDN w:val="0"/>
        <w:adjustRightInd w:val="0"/>
        <w:jc w:val="both"/>
      </w:pPr>
      <w:r w:rsidRPr="00882A49">
        <w:t>Výdavky na vzdelávanie zamestnancov ÚJD SR boli v pláne kontinuálneho vzdelávania zamestnancov ÚJD SR na rok 2024 rozpočtované v sume 186 094 eur. Viac ako 60 % finančných prostriedkov vynaložených v roku 2024 na vzdelávanie zamestnancov ÚJD SR bolo alokovaných na odborné vzdelávanie, predovšetkým v oblasti výkonu jadrového dozoru. Z uvedeného je zrejmé, že ÚJD SR v oblasti vzdelávania kladie veľký dôraz na vysoko špecializovanú odbornú prípravu zamestnancov v oblasti pôsobnosti úradu, prostredníctvom ktorého najmä inšpektori a inšpektori-čakatelia získavajú potrebné vedomosti a zručnosti na výkon inšpekčnej činnosti. Samostatne boli vyčlenené finančné prostriedky na vzdelávanie aj v oblasti informatiky a kybernetickej bezpečnosti. Rovnaký dôraz sa kladie na vzdelávanie štátnych zamestnancov v ostatných odboroch štátnej služby a na vzdelávanie zamestnancov pri výkone práce vo verejnom záujme, aby ich vzdelávanie bolo priebežné a aktuálne vzhľadom na prebiehajúce zmeny v legislatíve i v štátnej správe. V kalendárnom roku 2024 sme online vzdelávanie zamerali aj na osobnostný rozvoj prostredníctvom platformy seduo.sk.</w:t>
      </w:r>
    </w:p>
    <w:p w14:paraId="3740E2F7" w14:textId="000CB50B" w:rsidR="001F7947" w:rsidRPr="00882A49" w:rsidRDefault="001F7947" w:rsidP="001F7947">
      <w:pPr>
        <w:widowControl w:val="0"/>
        <w:autoSpaceDE w:val="0"/>
        <w:autoSpaceDN w:val="0"/>
        <w:adjustRightInd w:val="0"/>
        <w:jc w:val="both"/>
      </w:pPr>
      <w:r w:rsidRPr="00882A49">
        <w:t xml:space="preserve">Adaptácia </w:t>
      </w:r>
      <w:proofErr w:type="spellStart"/>
      <w:r w:rsidRPr="00882A49">
        <w:t>novonastúpených</w:t>
      </w:r>
      <w:proofErr w:type="spellEnd"/>
      <w:r w:rsidRPr="00882A49">
        <w:t xml:space="preserve"> štátnych zamestnancov bola zabezpečená adaptačným vzdelávaním a inštitútom </w:t>
      </w:r>
      <w:proofErr w:type="spellStart"/>
      <w:r w:rsidRPr="00882A49">
        <w:t>mentoringu</w:t>
      </w:r>
      <w:proofErr w:type="spellEnd"/>
      <w:r w:rsidRPr="00882A49">
        <w:t xml:space="preserve">, t. j. prostredníctvom prideleného mentora. Uvedený proces absolvovali v roku 2024 jedenásti štátni zamestnanci. V rámci adaptačného vzdelávania si </w:t>
      </w:r>
      <w:proofErr w:type="spellStart"/>
      <w:r w:rsidRPr="00882A49">
        <w:t>novonastúpení</w:t>
      </w:r>
      <w:proofErr w:type="spellEnd"/>
      <w:r w:rsidRPr="00882A49">
        <w:t xml:space="preserve"> zamestnanci osvojili základné zručnosti a získali základné informácie, potrebné na výkon štátnej služby v príslušnom odbore štátnej služby.</w:t>
      </w:r>
    </w:p>
    <w:p w14:paraId="4F4FF373" w14:textId="77777777" w:rsidR="001F7947" w:rsidRPr="00882A49" w:rsidRDefault="001F7947" w:rsidP="001F7947">
      <w:pPr>
        <w:widowControl w:val="0"/>
        <w:autoSpaceDE w:val="0"/>
        <w:autoSpaceDN w:val="0"/>
        <w:adjustRightInd w:val="0"/>
        <w:jc w:val="both"/>
      </w:pPr>
      <w:r w:rsidRPr="00882A49">
        <w:t xml:space="preserve">Náležitú pozornosť venoval ÚJD SR jazykovému vzdelávaniu, najmä výuke cudzích jazykov, a to výuke anglického jazyka a francúzskeho jazyka. </w:t>
      </w:r>
    </w:p>
    <w:p w14:paraId="493B54D3" w14:textId="77777777" w:rsidR="001F7947" w:rsidRPr="00882A49" w:rsidRDefault="001F7947" w:rsidP="001F7947">
      <w:pPr>
        <w:widowControl w:val="0"/>
        <w:autoSpaceDE w:val="0"/>
        <w:autoSpaceDN w:val="0"/>
        <w:adjustRightInd w:val="0"/>
        <w:jc w:val="both"/>
      </w:pPr>
      <w:r w:rsidRPr="00882A49">
        <w:t xml:space="preserve">Služobný úrad zaviedol systematické vzdelávanie zamestnancov ÚJD SR v oblasti jazykovej kultúry a uvedené má vysoko pozitívny vplyv na jazykovú stránku dokumentov a materiálov vznikajúcich v činnosti služobného úradu. </w:t>
      </w:r>
    </w:p>
    <w:p w14:paraId="26AE14E9" w14:textId="0431F886" w:rsidR="001F7947" w:rsidRPr="00882A49" w:rsidRDefault="001F7947" w:rsidP="001F7947">
      <w:pPr>
        <w:widowControl w:val="0"/>
        <w:autoSpaceDE w:val="0"/>
        <w:autoSpaceDN w:val="0"/>
        <w:adjustRightInd w:val="0"/>
        <w:jc w:val="both"/>
      </w:pPr>
      <w:r w:rsidRPr="00882A49">
        <w:t>ÚJD SR ako ostatný ústredný orgán štátnej správy dosiahol kvalitou práce svojich zamestnancov stav, ktorý je vysoko pozitívne hodnotený v domácom prostredí, ale aj v zahraničí, čo dokazuje vysokú odbornú úroveň a profesionalitu zamestnancov dozorného orgánu.</w:t>
      </w:r>
    </w:p>
    <w:p w14:paraId="2536DE63" w14:textId="77777777" w:rsidR="00263C16" w:rsidRPr="00882A49" w:rsidRDefault="00263C16" w:rsidP="00263C16">
      <w:pPr>
        <w:rPr>
          <w:lang w:eastAsia="cs-CZ"/>
        </w:rPr>
      </w:pPr>
    </w:p>
    <w:p w14:paraId="05D5D17E" w14:textId="44FE40F9" w:rsidR="00263C16" w:rsidRPr="00882A49" w:rsidRDefault="00263C16" w:rsidP="00B14389">
      <w:pPr>
        <w:pStyle w:val="Nadpis2"/>
        <w:tabs>
          <w:tab w:val="num" w:pos="0"/>
        </w:tabs>
        <w:ind w:left="0" w:firstLine="0"/>
        <w:rPr>
          <w:bCs/>
          <w:sz w:val="28"/>
          <w:szCs w:val="28"/>
          <w:u w:val="single"/>
        </w:rPr>
      </w:pPr>
      <w:bookmarkStart w:id="65" w:name="_Toc193697673"/>
      <w:r w:rsidRPr="00882A49">
        <w:rPr>
          <w:bCs/>
          <w:sz w:val="28"/>
          <w:szCs w:val="28"/>
          <w:u w:val="single"/>
        </w:rPr>
        <w:t>Ekonomické údaje</w:t>
      </w:r>
      <w:bookmarkEnd w:id="65"/>
    </w:p>
    <w:p w14:paraId="16A42656" w14:textId="325F5F07" w:rsidR="00372D7C" w:rsidRPr="00882A49" w:rsidRDefault="00372D7C" w:rsidP="003300C4">
      <w:pPr>
        <w:jc w:val="both"/>
        <w:rPr>
          <w:lang w:val="x-none" w:eastAsia="cs-CZ"/>
        </w:rPr>
      </w:pPr>
    </w:p>
    <w:p w14:paraId="5D968445" w14:textId="0163DF6A" w:rsidR="00C86880" w:rsidRPr="00882A49" w:rsidRDefault="00C86880" w:rsidP="000F273D">
      <w:pPr>
        <w:jc w:val="both"/>
      </w:pPr>
      <w:r w:rsidRPr="00882A49">
        <w:t>ÚJD SR ako rozpočtová kapitola je svojimi príjmami a výdavkami napojená na štátny rozpočet. Atómovým zákonom boli od 1. 1. 2008 zavedené ročné príspevky na výkon štátneho dozoru nad jadrovou bezpečnosťou, ktorý uložil povinnosť držiteľom povolenia platiť ročné príspevky na výkon štátneho dozoru nad jadrovou bezpečnosťou. Príjmy na rok 2024 boli pre ÚJD SR rozpočtované vo výške 8 538 600 eur, rozpočet príjmov v priebehu roka nebol upravovaný rozpočtovým opatrením. V skutočnosti dosiahli príjmy sumu 9 049 043 eur, z toho administratívne poplatky dosiahli 9 048 052 eur a iné nedaňové príjmy 991 eur. Limit výdavkov na rok 2024 bol pre ÚJD SR schválený vo výške 10 961 624 eur. Po rozpočtových opatreniach bol limit výdavkov upravený na sumu 10 842 808 eur. Celkový objem výdavkov na činnosť ÚJD SR k 31. 12. 2024 dosiahol sumu 10 567 972 eur. Z toho na financovanie bežnej činnosti sa vynaložili výdavky vo výške 10 138 199 eur a na obstaranie kapitálových aktív výdavky vo výške 429 773 eur.</w:t>
      </w:r>
    </w:p>
    <w:p w14:paraId="58EAA244" w14:textId="77777777" w:rsidR="004C18D7" w:rsidRPr="00882A49" w:rsidRDefault="004C18D7" w:rsidP="000F273D">
      <w:pPr>
        <w:jc w:val="both"/>
      </w:pPr>
    </w:p>
    <w:p w14:paraId="1F6C1AE7" w14:textId="77777777" w:rsidR="00AB39BB" w:rsidRDefault="00AB39BB">
      <w:pPr>
        <w:spacing w:after="200" w:line="276" w:lineRule="auto"/>
        <w:rPr>
          <w:sz w:val="22"/>
          <w:szCs w:val="22"/>
        </w:rPr>
      </w:pPr>
      <w:r>
        <w:rPr>
          <w:sz w:val="22"/>
          <w:szCs w:val="22"/>
        </w:rPr>
        <w:br w:type="page"/>
      </w:r>
    </w:p>
    <w:p w14:paraId="194F3D59" w14:textId="7ABF7EB0" w:rsidR="000F273D" w:rsidRPr="0036514D" w:rsidRDefault="000F273D" w:rsidP="00F23AC6">
      <w:pPr>
        <w:jc w:val="both"/>
        <w:rPr>
          <w:sz w:val="22"/>
          <w:szCs w:val="22"/>
        </w:rPr>
      </w:pPr>
      <w:r w:rsidRPr="00882A49">
        <w:rPr>
          <w:sz w:val="22"/>
          <w:szCs w:val="22"/>
        </w:rPr>
        <w:lastRenderedPageBreak/>
        <w:t xml:space="preserve">Tab. </w:t>
      </w:r>
      <w:r w:rsidR="00552BE7">
        <w:rPr>
          <w:sz w:val="22"/>
          <w:szCs w:val="22"/>
        </w:rPr>
        <w:t>8</w:t>
      </w:r>
      <w:r w:rsidRPr="00882A49">
        <w:rPr>
          <w:sz w:val="22"/>
          <w:szCs w:val="22"/>
        </w:rPr>
        <w:t xml:space="preserve"> </w:t>
      </w:r>
      <w:r w:rsidRPr="00882A49">
        <w:rPr>
          <w:bCs/>
          <w:sz w:val="22"/>
          <w:szCs w:val="22"/>
        </w:rPr>
        <w:t>Hospodárske výsledky za rok 202</w:t>
      </w:r>
      <w:r w:rsidR="00C86880" w:rsidRPr="00882A49">
        <w:rPr>
          <w:bCs/>
          <w:sz w:val="22"/>
          <w:szCs w:val="22"/>
        </w:rPr>
        <w:t>4</w:t>
      </w:r>
    </w:p>
    <w:tbl>
      <w:tblPr>
        <w:tblW w:w="9010" w:type="dxa"/>
        <w:jc w:val="right"/>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941"/>
        <w:gridCol w:w="2069"/>
      </w:tblGrid>
      <w:tr w:rsidR="000F273D" w:rsidRPr="006F17C5" w14:paraId="28992995" w14:textId="77777777" w:rsidTr="006F2ADD">
        <w:trPr>
          <w:trHeight w:val="279"/>
          <w:jc w:val="right"/>
        </w:trPr>
        <w:tc>
          <w:tcPr>
            <w:tcW w:w="6941" w:type="dxa"/>
            <w:tcBorders>
              <w:top w:val="single" w:sz="4" w:space="0" w:color="auto"/>
              <w:left w:val="single" w:sz="4" w:space="0" w:color="auto"/>
            </w:tcBorders>
            <w:shd w:val="clear" w:color="auto" w:fill="D9D9D9" w:themeFill="background1" w:themeFillShade="D9"/>
            <w:noWrap/>
            <w:vAlign w:val="center"/>
          </w:tcPr>
          <w:p w14:paraId="0FF143D2" w14:textId="77777777" w:rsidR="000F273D" w:rsidRPr="006F17C5" w:rsidRDefault="000F273D" w:rsidP="000F273D">
            <w:pPr>
              <w:jc w:val="center"/>
              <w:rPr>
                <w:b/>
                <w:bCs/>
                <w:sz w:val="22"/>
                <w:szCs w:val="22"/>
              </w:rPr>
            </w:pPr>
            <w:r w:rsidRPr="006F17C5">
              <w:rPr>
                <w:b/>
                <w:bCs/>
                <w:sz w:val="22"/>
                <w:szCs w:val="22"/>
              </w:rPr>
              <w:t>Položka</w:t>
            </w:r>
          </w:p>
        </w:tc>
        <w:tc>
          <w:tcPr>
            <w:tcW w:w="2069" w:type="dxa"/>
            <w:tcBorders>
              <w:top w:val="single" w:sz="4" w:space="0" w:color="auto"/>
              <w:right w:val="single" w:sz="4" w:space="0" w:color="auto"/>
            </w:tcBorders>
            <w:shd w:val="clear" w:color="auto" w:fill="D9D9D9" w:themeFill="background1" w:themeFillShade="D9"/>
            <w:vAlign w:val="center"/>
          </w:tcPr>
          <w:p w14:paraId="35C38384" w14:textId="210F4F21" w:rsidR="000F273D" w:rsidRPr="006F17C5" w:rsidRDefault="000F273D" w:rsidP="000F273D">
            <w:pPr>
              <w:jc w:val="center"/>
              <w:rPr>
                <w:b/>
                <w:bCs/>
                <w:sz w:val="22"/>
                <w:szCs w:val="22"/>
              </w:rPr>
            </w:pPr>
            <w:r w:rsidRPr="006F17C5">
              <w:rPr>
                <w:b/>
                <w:bCs/>
                <w:sz w:val="22"/>
                <w:szCs w:val="22"/>
              </w:rPr>
              <w:t>Suma (v eurách)</w:t>
            </w:r>
          </w:p>
        </w:tc>
      </w:tr>
      <w:tr w:rsidR="000F273D" w:rsidRPr="000F273D" w14:paraId="0B575668" w14:textId="77777777" w:rsidTr="006F2ADD">
        <w:trPr>
          <w:trHeight w:val="285"/>
          <w:jc w:val="right"/>
        </w:trPr>
        <w:tc>
          <w:tcPr>
            <w:tcW w:w="6941" w:type="dxa"/>
            <w:tcBorders>
              <w:left w:val="single" w:sz="4" w:space="0" w:color="auto"/>
            </w:tcBorders>
            <w:shd w:val="clear" w:color="auto" w:fill="FFFFFF"/>
            <w:noWrap/>
            <w:vAlign w:val="bottom"/>
          </w:tcPr>
          <w:p w14:paraId="16DD0FAD" w14:textId="77777777" w:rsidR="000F273D" w:rsidRPr="000F273D" w:rsidRDefault="000F273D" w:rsidP="000F273D">
            <w:pPr>
              <w:rPr>
                <w:b/>
                <w:bCs/>
                <w:szCs w:val="22"/>
              </w:rPr>
            </w:pPr>
            <w:r w:rsidRPr="000F273D">
              <w:rPr>
                <w:b/>
                <w:bCs/>
                <w:sz w:val="22"/>
                <w:szCs w:val="22"/>
              </w:rPr>
              <w:t xml:space="preserve">Limit príjmov </w:t>
            </w:r>
          </w:p>
        </w:tc>
        <w:tc>
          <w:tcPr>
            <w:tcW w:w="2069" w:type="dxa"/>
            <w:tcBorders>
              <w:right w:val="single" w:sz="4" w:space="0" w:color="auto"/>
            </w:tcBorders>
            <w:shd w:val="clear" w:color="auto" w:fill="FFFFFF"/>
            <w:noWrap/>
            <w:vAlign w:val="center"/>
          </w:tcPr>
          <w:p w14:paraId="39AF0B75" w14:textId="65FC1109" w:rsidR="000F273D" w:rsidRPr="00586936" w:rsidRDefault="00C86880" w:rsidP="00762F07">
            <w:pPr>
              <w:tabs>
                <w:tab w:val="left" w:pos="4821"/>
                <w:tab w:val="left" w:pos="5033"/>
              </w:tabs>
              <w:ind w:right="113" w:firstLine="682"/>
              <w:jc w:val="right"/>
              <w:rPr>
                <w:iCs/>
                <w:sz w:val="22"/>
                <w:szCs w:val="22"/>
              </w:rPr>
            </w:pPr>
            <w:r w:rsidRPr="00586936">
              <w:rPr>
                <w:iCs/>
                <w:sz w:val="22"/>
                <w:szCs w:val="22"/>
              </w:rPr>
              <w:t>8 538 600</w:t>
            </w:r>
          </w:p>
        </w:tc>
      </w:tr>
      <w:tr w:rsidR="000F273D" w:rsidRPr="000F273D" w14:paraId="4CF124B7" w14:textId="77777777" w:rsidTr="006F2ADD">
        <w:trPr>
          <w:trHeight w:val="261"/>
          <w:jc w:val="right"/>
        </w:trPr>
        <w:tc>
          <w:tcPr>
            <w:tcW w:w="6941" w:type="dxa"/>
            <w:tcBorders>
              <w:left w:val="single" w:sz="4" w:space="0" w:color="auto"/>
            </w:tcBorders>
            <w:shd w:val="clear" w:color="auto" w:fill="FFFFFF"/>
            <w:noWrap/>
            <w:vAlign w:val="bottom"/>
          </w:tcPr>
          <w:p w14:paraId="309A9186" w14:textId="77777777" w:rsidR="000F273D" w:rsidRPr="000F273D" w:rsidRDefault="000F273D" w:rsidP="000F273D">
            <w:pPr>
              <w:rPr>
                <w:szCs w:val="22"/>
              </w:rPr>
            </w:pPr>
            <w:r w:rsidRPr="000F273D">
              <w:rPr>
                <w:b/>
                <w:bCs/>
                <w:sz w:val="22"/>
                <w:szCs w:val="22"/>
              </w:rPr>
              <w:t>Skutočné príjmy spolu</w:t>
            </w:r>
          </w:p>
        </w:tc>
        <w:tc>
          <w:tcPr>
            <w:tcW w:w="2069" w:type="dxa"/>
            <w:tcBorders>
              <w:right w:val="single" w:sz="4" w:space="0" w:color="auto"/>
            </w:tcBorders>
            <w:shd w:val="clear" w:color="auto" w:fill="FFFFFF"/>
            <w:noWrap/>
            <w:vAlign w:val="center"/>
          </w:tcPr>
          <w:p w14:paraId="34CD8EEF" w14:textId="3C00C2CF" w:rsidR="000F273D" w:rsidRPr="00586936" w:rsidRDefault="00C86880" w:rsidP="00762F07">
            <w:pPr>
              <w:tabs>
                <w:tab w:val="left" w:pos="4821"/>
                <w:tab w:val="left" w:pos="5033"/>
              </w:tabs>
              <w:ind w:right="113" w:firstLine="682"/>
              <w:jc w:val="right"/>
              <w:rPr>
                <w:b/>
                <w:bCs/>
                <w:iCs/>
                <w:szCs w:val="22"/>
              </w:rPr>
            </w:pPr>
            <w:r w:rsidRPr="00586936">
              <w:rPr>
                <w:b/>
                <w:bCs/>
                <w:iCs/>
                <w:sz w:val="22"/>
                <w:szCs w:val="22"/>
              </w:rPr>
              <w:t xml:space="preserve">  9 049 043</w:t>
            </w:r>
          </w:p>
        </w:tc>
      </w:tr>
      <w:tr w:rsidR="000F273D" w:rsidRPr="000F273D" w14:paraId="4755734A" w14:textId="77777777" w:rsidTr="006F2ADD">
        <w:trPr>
          <w:trHeight w:val="255"/>
          <w:jc w:val="right"/>
        </w:trPr>
        <w:tc>
          <w:tcPr>
            <w:tcW w:w="6941" w:type="dxa"/>
            <w:tcBorders>
              <w:left w:val="single" w:sz="4" w:space="0" w:color="auto"/>
            </w:tcBorders>
            <w:shd w:val="clear" w:color="auto" w:fill="FFFFFF"/>
            <w:noWrap/>
            <w:vAlign w:val="bottom"/>
          </w:tcPr>
          <w:p w14:paraId="5A1A5BAB" w14:textId="77777777" w:rsidR="000F273D" w:rsidRPr="000F273D" w:rsidRDefault="000F273D" w:rsidP="000F273D">
            <w:pPr>
              <w:rPr>
                <w:szCs w:val="22"/>
              </w:rPr>
            </w:pPr>
            <w:r w:rsidRPr="000F273D">
              <w:rPr>
                <w:sz w:val="22"/>
                <w:szCs w:val="22"/>
              </w:rPr>
              <w:t>z toho:</w:t>
            </w:r>
          </w:p>
        </w:tc>
        <w:tc>
          <w:tcPr>
            <w:tcW w:w="2069" w:type="dxa"/>
            <w:tcBorders>
              <w:right w:val="single" w:sz="4" w:space="0" w:color="auto"/>
            </w:tcBorders>
            <w:shd w:val="clear" w:color="auto" w:fill="FFFFFF"/>
            <w:noWrap/>
            <w:vAlign w:val="center"/>
          </w:tcPr>
          <w:p w14:paraId="403B8B22" w14:textId="77777777" w:rsidR="000F273D" w:rsidRPr="000F273D" w:rsidRDefault="000F273D" w:rsidP="00762F07">
            <w:pPr>
              <w:tabs>
                <w:tab w:val="left" w:pos="4821"/>
                <w:tab w:val="left" w:pos="5033"/>
              </w:tabs>
              <w:ind w:right="113" w:firstLine="682"/>
              <w:jc w:val="right"/>
              <w:rPr>
                <w:i/>
                <w:szCs w:val="22"/>
              </w:rPr>
            </w:pPr>
          </w:p>
        </w:tc>
      </w:tr>
      <w:tr w:rsidR="000F273D" w:rsidRPr="000F273D" w14:paraId="6F027F3B" w14:textId="77777777" w:rsidTr="006F2ADD">
        <w:trPr>
          <w:trHeight w:val="108"/>
          <w:jc w:val="right"/>
        </w:trPr>
        <w:tc>
          <w:tcPr>
            <w:tcW w:w="6941" w:type="dxa"/>
            <w:tcBorders>
              <w:left w:val="single" w:sz="4" w:space="0" w:color="auto"/>
            </w:tcBorders>
            <w:shd w:val="clear" w:color="auto" w:fill="FFFFFF"/>
            <w:noWrap/>
            <w:vAlign w:val="bottom"/>
          </w:tcPr>
          <w:p w14:paraId="3434B2DA" w14:textId="1F282283" w:rsidR="000F273D" w:rsidRPr="000F273D" w:rsidRDefault="000F273D" w:rsidP="00994B4E">
            <w:pPr>
              <w:ind w:left="719"/>
              <w:rPr>
                <w:i/>
                <w:szCs w:val="22"/>
              </w:rPr>
            </w:pPr>
            <w:r w:rsidRPr="000F273D">
              <w:rPr>
                <w:i/>
                <w:sz w:val="22"/>
                <w:szCs w:val="22"/>
              </w:rPr>
              <w:t>administratívne poplatky</w:t>
            </w:r>
          </w:p>
        </w:tc>
        <w:tc>
          <w:tcPr>
            <w:tcW w:w="2069" w:type="dxa"/>
            <w:tcBorders>
              <w:right w:val="single" w:sz="4" w:space="0" w:color="auto"/>
            </w:tcBorders>
            <w:shd w:val="clear" w:color="auto" w:fill="FFFFFF"/>
            <w:noWrap/>
            <w:vAlign w:val="center"/>
          </w:tcPr>
          <w:p w14:paraId="64BE2E48" w14:textId="29CAE5ED" w:rsidR="000F273D" w:rsidRPr="00C86880" w:rsidRDefault="00C86880" w:rsidP="00762F07">
            <w:pPr>
              <w:tabs>
                <w:tab w:val="left" w:pos="4821"/>
                <w:tab w:val="left" w:pos="5033"/>
              </w:tabs>
              <w:ind w:right="113" w:firstLine="682"/>
              <w:jc w:val="right"/>
              <w:rPr>
                <w:i/>
                <w:sz w:val="22"/>
                <w:szCs w:val="22"/>
              </w:rPr>
            </w:pPr>
            <w:r w:rsidRPr="00C86880">
              <w:rPr>
                <w:i/>
                <w:sz w:val="22"/>
                <w:szCs w:val="22"/>
              </w:rPr>
              <w:t>9 048 052</w:t>
            </w:r>
          </w:p>
        </w:tc>
      </w:tr>
      <w:tr w:rsidR="000F273D" w:rsidRPr="000F273D" w14:paraId="5FDFCA39" w14:textId="77777777" w:rsidTr="006F2ADD">
        <w:trPr>
          <w:trHeight w:val="255"/>
          <w:jc w:val="right"/>
        </w:trPr>
        <w:tc>
          <w:tcPr>
            <w:tcW w:w="6941" w:type="dxa"/>
            <w:tcBorders>
              <w:left w:val="single" w:sz="4" w:space="0" w:color="auto"/>
            </w:tcBorders>
            <w:shd w:val="clear" w:color="auto" w:fill="FFFFFF"/>
            <w:noWrap/>
            <w:vAlign w:val="bottom"/>
          </w:tcPr>
          <w:p w14:paraId="4DD7FD08" w14:textId="77777777" w:rsidR="000F273D" w:rsidRPr="000F273D" w:rsidRDefault="000F273D" w:rsidP="00994B4E">
            <w:pPr>
              <w:ind w:left="719"/>
              <w:rPr>
                <w:b/>
                <w:bCs/>
                <w:i/>
                <w:szCs w:val="22"/>
              </w:rPr>
            </w:pPr>
            <w:r w:rsidRPr="000F273D">
              <w:rPr>
                <w:i/>
                <w:sz w:val="22"/>
                <w:szCs w:val="22"/>
              </w:rPr>
              <w:t>iné nedaňové príjmy</w:t>
            </w:r>
          </w:p>
        </w:tc>
        <w:tc>
          <w:tcPr>
            <w:tcW w:w="2069" w:type="dxa"/>
            <w:tcBorders>
              <w:right w:val="single" w:sz="4" w:space="0" w:color="auto"/>
            </w:tcBorders>
            <w:shd w:val="clear" w:color="auto" w:fill="FFFFFF"/>
            <w:noWrap/>
            <w:vAlign w:val="center"/>
          </w:tcPr>
          <w:p w14:paraId="72130CD2" w14:textId="289CB70F" w:rsidR="000F273D" w:rsidRPr="00C86880" w:rsidRDefault="00C86880" w:rsidP="00762F07">
            <w:pPr>
              <w:tabs>
                <w:tab w:val="left" w:pos="4821"/>
                <w:tab w:val="left" w:pos="5033"/>
              </w:tabs>
              <w:ind w:right="113" w:firstLine="682"/>
              <w:jc w:val="right"/>
              <w:rPr>
                <w:i/>
                <w:sz w:val="22"/>
                <w:szCs w:val="22"/>
              </w:rPr>
            </w:pPr>
            <w:r w:rsidRPr="00C86880">
              <w:rPr>
                <w:i/>
                <w:sz w:val="22"/>
                <w:szCs w:val="22"/>
              </w:rPr>
              <w:t>991</w:t>
            </w:r>
          </w:p>
        </w:tc>
      </w:tr>
      <w:tr w:rsidR="000F273D" w:rsidRPr="000F273D" w14:paraId="381EBA10" w14:textId="77777777" w:rsidTr="006F2ADD">
        <w:trPr>
          <w:trHeight w:val="291"/>
          <w:jc w:val="right"/>
        </w:trPr>
        <w:tc>
          <w:tcPr>
            <w:tcW w:w="6941" w:type="dxa"/>
            <w:tcBorders>
              <w:left w:val="single" w:sz="4" w:space="0" w:color="auto"/>
            </w:tcBorders>
            <w:shd w:val="clear" w:color="auto" w:fill="FFFFFF"/>
            <w:noWrap/>
            <w:vAlign w:val="bottom"/>
          </w:tcPr>
          <w:p w14:paraId="275DE951" w14:textId="77777777" w:rsidR="000F273D" w:rsidRPr="000F273D" w:rsidRDefault="000F273D" w:rsidP="000F273D">
            <w:pPr>
              <w:rPr>
                <w:b/>
                <w:bCs/>
                <w:szCs w:val="22"/>
              </w:rPr>
            </w:pPr>
            <w:r w:rsidRPr="000F273D">
              <w:rPr>
                <w:b/>
                <w:bCs/>
                <w:sz w:val="22"/>
                <w:szCs w:val="22"/>
              </w:rPr>
              <w:t xml:space="preserve">Limit výdavkov </w:t>
            </w:r>
          </w:p>
        </w:tc>
        <w:tc>
          <w:tcPr>
            <w:tcW w:w="2069" w:type="dxa"/>
            <w:tcBorders>
              <w:right w:val="single" w:sz="4" w:space="0" w:color="auto"/>
            </w:tcBorders>
            <w:shd w:val="clear" w:color="auto" w:fill="FFFFFF"/>
            <w:noWrap/>
            <w:vAlign w:val="center"/>
          </w:tcPr>
          <w:p w14:paraId="58CC7E86" w14:textId="5FC8B4CB" w:rsidR="000F273D" w:rsidRPr="00586936" w:rsidRDefault="00C86880" w:rsidP="00762F07">
            <w:pPr>
              <w:tabs>
                <w:tab w:val="left" w:pos="4821"/>
                <w:tab w:val="left" w:pos="5033"/>
              </w:tabs>
              <w:ind w:right="113" w:firstLine="682"/>
              <w:jc w:val="right"/>
              <w:rPr>
                <w:iCs/>
                <w:sz w:val="22"/>
                <w:szCs w:val="22"/>
              </w:rPr>
            </w:pPr>
            <w:r w:rsidRPr="00586936">
              <w:rPr>
                <w:iCs/>
                <w:sz w:val="22"/>
                <w:szCs w:val="22"/>
              </w:rPr>
              <w:t>10 961 624</w:t>
            </w:r>
          </w:p>
        </w:tc>
      </w:tr>
      <w:tr w:rsidR="000F273D" w:rsidRPr="000F273D" w14:paraId="657CD933" w14:textId="77777777" w:rsidTr="006F2ADD">
        <w:trPr>
          <w:trHeight w:val="255"/>
          <w:jc w:val="right"/>
        </w:trPr>
        <w:tc>
          <w:tcPr>
            <w:tcW w:w="6941" w:type="dxa"/>
            <w:tcBorders>
              <w:left w:val="single" w:sz="4" w:space="0" w:color="auto"/>
            </w:tcBorders>
            <w:shd w:val="clear" w:color="auto" w:fill="FFFFFF"/>
            <w:noWrap/>
            <w:vAlign w:val="bottom"/>
          </w:tcPr>
          <w:p w14:paraId="0DD4DA6C" w14:textId="7601CDCB" w:rsidR="000F273D" w:rsidRPr="000F273D" w:rsidRDefault="000F273D" w:rsidP="000F273D">
            <w:pPr>
              <w:rPr>
                <w:b/>
                <w:bCs/>
                <w:szCs w:val="22"/>
              </w:rPr>
            </w:pPr>
            <w:r w:rsidRPr="000F273D">
              <w:rPr>
                <w:b/>
                <w:bCs/>
                <w:sz w:val="22"/>
                <w:szCs w:val="22"/>
              </w:rPr>
              <w:t>Skutočné výdavky spolu</w:t>
            </w:r>
          </w:p>
        </w:tc>
        <w:tc>
          <w:tcPr>
            <w:tcW w:w="2069" w:type="dxa"/>
            <w:tcBorders>
              <w:right w:val="single" w:sz="4" w:space="0" w:color="auto"/>
            </w:tcBorders>
            <w:shd w:val="clear" w:color="auto" w:fill="FFFFFF"/>
            <w:noWrap/>
            <w:vAlign w:val="center"/>
          </w:tcPr>
          <w:p w14:paraId="39CC1636" w14:textId="1BF6CF5A" w:rsidR="000F273D" w:rsidRPr="00586936" w:rsidRDefault="00C86880" w:rsidP="00762F07">
            <w:pPr>
              <w:tabs>
                <w:tab w:val="left" w:pos="4821"/>
                <w:tab w:val="left" w:pos="5033"/>
              </w:tabs>
              <w:ind w:right="113" w:firstLine="682"/>
              <w:jc w:val="right"/>
              <w:rPr>
                <w:b/>
                <w:bCs/>
                <w:iCs/>
                <w:sz w:val="22"/>
                <w:szCs w:val="22"/>
              </w:rPr>
            </w:pPr>
            <w:r w:rsidRPr="00586936">
              <w:rPr>
                <w:b/>
                <w:bCs/>
                <w:iCs/>
                <w:sz w:val="22"/>
                <w:szCs w:val="22"/>
              </w:rPr>
              <w:t>10 567 972</w:t>
            </w:r>
          </w:p>
        </w:tc>
      </w:tr>
      <w:tr w:rsidR="000F273D" w:rsidRPr="000F273D" w14:paraId="729744A9" w14:textId="77777777" w:rsidTr="006F2ADD">
        <w:trPr>
          <w:trHeight w:val="255"/>
          <w:jc w:val="right"/>
        </w:trPr>
        <w:tc>
          <w:tcPr>
            <w:tcW w:w="6941" w:type="dxa"/>
            <w:tcBorders>
              <w:left w:val="single" w:sz="4" w:space="0" w:color="auto"/>
            </w:tcBorders>
            <w:shd w:val="clear" w:color="auto" w:fill="FFFFFF"/>
            <w:noWrap/>
            <w:vAlign w:val="bottom"/>
          </w:tcPr>
          <w:p w14:paraId="01A57397" w14:textId="77777777" w:rsidR="000F273D" w:rsidRPr="000F273D" w:rsidRDefault="000F273D" w:rsidP="000F273D">
            <w:pPr>
              <w:rPr>
                <w:szCs w:val="22"/>
              </w:rPr>
            </w:pPr>
            <w:r w:rsidRPr="000F273D">
              <w:rPr>
                <w:sz w:val="22"/>
                <w:szCs w:val="22"/>
              </w:rPr>
              <w:t xml:space="preserve">z toho: </w:t>
            </w:r>
          </w:p>
        </w:tc>
        <w:tc>
          <w:tcPr>
            <w:tcW w:w="2069" w:type="dxa"/>
            <w:tcBorders>
              <w:right w:val="single" w:sz="4" w:space="0" w:color="auto"/>
            </w:tcBorders>
            <w:shd w:val="clear" w:color="auto" w:fill="FFFFFF"/>
            <w:noWrap/>
            <w:vAlign w:val="center"/>
          </w:tcPr>
          <w:p w14:paraId="43501736" w14:textId="77777777" w:rsidR="000F273D" w:rsidRPr="000F273D" w:rsidRDefault="000F273D" w:rsidP="00762F07">
            <w:pPr>
              <w:tabs>
                <w:tab w:val="left" w:pos="4821"/>
                <w:tab w:val="left" w:pos="5033"/>
              </w:tabs>
              <w:ind w:right="113" w:firstLine="682"/>
              <w:jc w:val="right"/>
              <w:rPr>
                <w:szCs w:val="22"/>
              </w:rPr>
            </w:pPr>
          </w:p>
        </w:tc>
      </w:tr>
      <w:tr w:rsidR="000F273D" w:rsidRPr="000F273D" w14:paraId="5863B5F0" w14:textId="77777777" w:rsidTr="006F2ADD">
        <w:trPr>
          <w:trHeight w:val="255"/>
          <w:jc w:val="right"/>
        </w:trPr>
        <w:tc>
          <w:tcPr>
            <w:tcW w:w="6941" w:type="dxa"/>
            <w:tcBorders>
              <w:left w:val="single" w:sz="4" w:space="0" w:color="auto"/>
            </w:tcBorders>
            <w:noWrap/>
            <w:vAlign w:val="bottom"/>
          </w:tcPr>
          <w:p w14:paraId="30320F17" w14:textId="77777777" w:rsidR="000F273D" w:rsidRPr="000F273D" w:rsidRDefault="000F273D" w:rsidP="00994B4E">
            <w:pPr>
              <w:tabs>
                <w:tab w:val="left" w:pos="828"/>
              </w:tabs>
              <w:ind w:left="719"/>
              <w:rPr>
                <w:i/>
                <w:szCs w:val="22"/>
              </w:rPr>
            </w:pPr>
            <w:r w:rsidRPr="000F273D">
              <w:rPr>
                <w:i/>
                <w:sz w:val="22"/>
                <w:szCs w:val="22"/>
              </w:rPr>
              <w:t>bežné výdavky</w:t>
            </w:r>
          </w:p>
        </w:tc>
        <w:tc>
          <w:tcPr>
            <w:tcW w:w="2069" w:type="dxa"/>
            <w:tcBorders>
              <w:right w:val="single" w:sz="4" w:space="0" w:color="auto"/>
            </w:tcBorders>
            <w:noWrap/>
            <w:vAlign w:val="center"/>
          </w:tcPr>
          <w:p w14:paraId="0B79BD66" w14:textId="18E21703" w:rsidR="000F273D" w:rsidRPr="00C86880" w:rsidRDefault="00C86880" w:rsidP="00762F07">
            <w:pPr>
              <w:tabs>
                <w:tab w:val="left" w:pos="4821"/>
                <w:tab w:val="left" w:pos="5033"/>
              </w:tabs>
              <w:ind w:right="113" w:firstLine="682"/>
              <w:jc w:val="right"/>
              <w:rPr>
                <w:i/>
                <w:sz w:val="22"/>
                <w:szCs w:val="22"/>
              </w:rPr>
            </w:pPr>
            <w:r w:rsidRPr="00C86880">
              <w:rPr>
                <w:i/>
                <w:sz w:val="22"/>
                <w:szCs w:val="22"/>
              </w:rPr>
              <w:t>10 138 199</w:t>
            </w:r>
          </w:p>
        </w:tc>
      </w:tr>
      <w:tr w:rsidR="000F273D" w:rsidRPr="000F273D" w14:paraId="0AD253AA" w14:textId="77777777" w:rsidTr="006F2ADD">
        <w:trPr>
          <w:trHeight w:val="270"/>
          <w:jc w:val="right"/>
        </w:trPr>
        <w:tc>
          <w:tcPr>
            <w:tcW w:w="6941" w:type="dxa"/>
            <w:tcBorders>
              <w:left w:val="single" w:sz="4" w:space="0" w:color="auto"/>
              <w:bottom w:val="single" w:sz="4" w:space="0" w:color="auto"/>
            </w:tcBorders>
            <w:noWrap/>
            <w:vAlign w:val="bottom"/>
          </w:tcPr>
          <w:p w14:paraId="0447A7C2" w14:textId="4ABA71D6" w:rsidR="000F273D" w:rsidRPr="000F273D" w:rsidRDefault="000F273D" w:rsidP="00994B4E">
            <w:pPr>
              <w:ind w:left="719"/>
              <w:rPr>
                <w:i/>
                <w:szCs w:val="22"/>
              </w:rPr>
            </w:pPr>
            <w:r w:rsidRPr="000F273D">
              <w:rPr>
                <w:i/>
                <w:sz w:val="22"/>
                <w:szCs w:val="22"/>
              </w:rPr>
              <w:t>kapitálové výdavky</w:t>
            </w:r>
          </w:p>
        </w:tc>
        <w:tc>
          <w:tcPr>
            <w:tcW w:w="2069" w:type="dxa"/>
            <w:tcBorders>
              <w:bottom w:val="single" w:sz="4" w:space="0" w:color="auto"/>
              <w:right w:val="single" w:sz="4" w:space="0" w:color="auto"/>
            </w:tcBorders>
            <w:noWrap/>
            <w:vAlign w:val="center"/>
          </w:tcPr>
          <w:p w14:paraId="4BFB82B6" w14:textId="6D1CCD99" w:rsidR="000F273D" w:rsidRPr="00C86880" w:rsidRDefault="00C86880" w:rsidP="00762F07">
            <w:pPr>
              <w:tabs>
                <w:tab w:val="left" w:pos="4821"/>
                <w:tab w:val="left" w:pos="5033"/>
              </w:tabs>
              <w:ind w:right="113" w:firstLine="682"/>
              <w:jc w:val="right"/>
              <w:rPr>
                <w:i/>
                <w:sz w:val="22"/>
                <w:szCs w:val="22"/>
              </w:rPr>
            </w:pPr>
            <w:r w:rsidRPr="00C86880">
              <w:rPr>
                <w:i/>
                <w:sz w:val="22"/>
                <w:szCs w:val="22"/>
              </w:rPr>
              <w:t xml:space="preserve">429 773  </w:t>
            </w:r>
          </w:p>
        </w:tc>
      </w:tr>
    </w:tbl>
    <w:p w14:paraId="5917506C" w14:textId="77777777" w:rsidR="000F273D" w:rsidRPr="001343D8" w:rsidRDefault="000F273D" w:rsidP="001343D8">
      <w:pPr>
        <w:autoSpaceDE w:val="0"/>
        <w:autoSpaceDN w:val="0"/>
        <w:adjustRightInd w:val="0"/>
        <w:jc w:val="both"/>
      </w:pPr>
    </w:p>
    <w:p w14:paraId="6E75145A" w14:textId="77777777" w:rsidR="000F273D" w:rsidRPr="001343D8" w:rsidRDefault="000F273D" w:rsidP="001343D8">
      <w:pPr>
        <w:jc w:val="both"/>
        <w:rPr>
          <w:b/>
          <w:bCs/>
          <w:i/>
          <w:iCs/>
        </w:rPr>
      </w:pPr>
      <w:r w:rsidRPr="001343D8">
        <w:rPr>
          <w:b/>
          <w:bCs/>
          <w:i/>
          <w:iCs/>
        </w:rPr>
        <w:t>Bežné výdavky</w:t>
      </w:r>
    </w:p>
    <w:p w14:paraId="3972809C" w14:textId="1BE83941" w:rsidR="00C86880" w:rsidRPr="00882A49" w:rsidRDefault="00C86880" w:rsidP="001343D8">
      <w:pPr>
        <w:autoSpaceDE w:val="0"/>
        <w:autoSpaceDN w:val="0"/>
        <w:adjustRightInd w:val="0"/>
        <w:jc w:val="both"/>
      </w:pPr>
      <w:r w:rsidRPr="00882A49">
        <w:t>V oblasti čerpania bežných výdavkov má výrazný podiel čerpanie na zahraničné transfery v celkovej sume 976 613 eur. Tieto finančné prostriedky predstavujú úhradu príspevkov za členstvo v medzinárodných organizáciách. Pravidelné príspevky predstavujú dva bežné zahraničné transfery pre MAAE, a to riadny členský príspevok v sume 650 258 eur a príspevok do Fondu technickej spolupráce v sume 146 020 eur. ÚJD SR v roku 2024 uhradil aj príspevok SR do CTBTO v sume 65 000 eur. Ďalej boli uhradené aj príspevky SR do OECD/NEA - do programu PAR</w:t>
      </w:r>
      <w:r w:rsidR="00625FE7">
        <w:t>T</w:t>
      </w:r>
      <w:r w:rsidRPr="00882A49">
        <w:t xml:space="preserve"> II v sume 57 076 eur, príspevok do OECD/NEA/DATABANK - do programu PAR</w:t>
      </w:r>
      <w:r w:rsidR="00625FE7">
        <w:t>T</w:t>
      </w:r>
      <w:r w:rsidRPr="00882A49">
        <w:t xml:space="preserve"> II v sume 13 074 eur. V rámci príspevkov na programy vedecko-technickej spolupráce sa uhradil príspevok na program v OECD/NEA </w:t>
      </w:r>
      <w:proofErr w:type="spellStart"/>
      <w:r w:rsidRPr="00882A49">
        <w:t>project</w:t>
      </w:r>
      <w:proofErr w:type="spellEnd"/>
      <w:r w:rsidRPr="00882A49">
        <w:t xml:space="preserve"> PKL3 (</w:t>
      </w:r>
      <w:proofErr w:type="spellStart"/>
      <w:r w:rsidRPr="00882A49">
        <w:t>Themis</w:t>
      </w:r>
      <w:proofErr w:type="spellEnd"/>
      <w:r w:rsidRPr="00882A49">
        <w:t>) v sume 7 214 eur a príspevok na Implementačnú dohodu US NRC a  UJD SR - (účasť v programe CSARP) v sume 37 971 eur, kde členovia využívajú výsledky výskumných a vývojových programov pri zvyšovaní bezpečnosti a spoľahlivosti JZ.</w:t>
      </w:r>
    </w:p>
    <w:p w14:paraId="2048AC57" w14:textId="77777777" w:rsidR="00F23AC6" w:rsidRPr="00882A49" w:rsidRDefault="00F23AC6" w:rsidP="001343D8">
      <w:pPr>
        <w:autoSpaceDE w:val="0"/>
        <w:autoSpaceDN w:val="0"/>
        <w:adjustRightInd w:val="0"/>
        <w:jc w:val="both"/>
      </w:pPr>
    </w:p>
    <w:p w14:paraId="2B95D601" w14:textId="36801D40" w:rsidR="000F273D" w:rsidRPr="00882A49" w:rsidRDefault="000F273D" w:rsidP="00B540EF">
      <w:pPr>
        <w:tabs>
          <w:tab w:val="left" w:pos="0"/>
        </w:tabs>
        <w:autoSpaceDE w:val="0"/>
        <w:autoSpaceDN w:val="0"/>
        <w:adjustRightInd w:val="0"/>
        <w:jc w:val="both"/>
        <w:rPr>
          <w:sz w:val="22"/>
          <w:szCs w:val="22"/>
        </w:rPr>
      </w:pPr>
      <w:r w:rsidRPr="00882A49">
        <w:rPr>
          <w:sz w:val="22"/>
          <w:szCs w:val="22"/>
        </w:rPr>
        <w:t xml:space="preserve">Tab. </w:t>
      </w:r>
      <w:r w:rsidR="00552BE7">
        <w:rPr>
          <w:sz w:val="22"/>
          <w:szCs w:val="22"/>
        </w:rPr>
        <w:t>9</w:t>
      </w:r>
      <w:r w:rsidRPr="00882A49">
        <w:rPr>
          <w:sz w:val="22"/>
          <w:szCs w:val="22"/>
        </w:rPr>
        <w:t xml:space="preserve"> Zahraničné transfery do medzinárodných organizácií</w:t>
      </w:r>
      <w:r w:rsidR="00267D3C" w:rsidRPr="00882A49">
        <w:rPr>
          <w:sz w:val="22"/>
          <w:szCs w:val="22"/>
        </w:rPr>
        <w:t xml:space="preserve"> v roku 202</w:t>
      </w:r>
      <w:r w:rsidR="00C86880" w:rsidRPr="00882A49">
        <w:rPr>
          <w:sz w:val="22"/>
          <w:szCs w:val="22"/>
        </w:rPr>
        <w:t>4</w:t>
      </w:r>
      <w:r w:rsidR="00607CDC" w:rsidRPr="00607CDC">
        <w:rPr>
          <w:rStyle w:val="Odkaznapoznmkupodiarou"/>
          <w:sz w:val="22"/>
          <w:szCs w:val="22"/>
        </w:rPr>
        <w:footnoteReference w:customMarkFollows="1" w:id="1"/>
        <w:sym w:font="Symbol" w:char="F02A"/>
      </w:r>
    </w:p>
    <w:tbl>
      <w:tblPr>
        <w:tblW w:w="498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9"/>
        <w:gridCol w:w="2092"/>
      </w:tblGrid>
      <w:tr w:rsidR="000F273D" w:rsidRPr="000F273D" w14:paraId="76EB6E1E" w14:textId="77777777" w:rsidTr="005D4EBA">
        <w:trPr>
          <w:trHeight w:val="288"/>
        </w:trPr>
        <w:tc>
          <w:tcPr>
            <w:tcW w:w="3842" w:type="pct"/>
            <w:shd w:val="clear" w:color="auto" w:fill="D9D9D9" w:themeFill="background1" w:themeFillShade="D9"/>
            <w:vAlign w:val="center"/>
          </w:tcPr>
          <w:p w14:paraId="2E3FB86F" w14:textId="77777777" w:rsidR="000F273D" w:rsidRPr="00882A49" w:rsidRDefault="000F273D" w:rsidP="000F273D">
            <w:pPr>
              <w:spacing w:after="120"/>
              <w:jc w:val="center"/>
              <w:rPr>
                <w:b/>
                <w:szCs w:val="24"/>
              </w:rPr>
            </w:pPr>
            <w:r w:rsidRPr="00882A49">
              <w:rPr>
                <w:b/>
                <w:szCs w:val="24"/>
              </w:rPr>
              <w:t>Finančné príspevky do medzinárodných organizácií</w:t>
            </w:r>
          </w:p>
        </w:tc>
        <w:tc>
          <w:tcPr>
            <w:tcW w:w="1158" w:type="pct"/>
            <w:shd w:val="clear" w:color="auto" w:fill="D9D9D9" w:themeFill="background1" w:themeFillShade="D9"/>
            <w:vAlign w:val="center"/>
          </w:tcPr>
          <w:p w14:paraId="5D934C85" w14:textId="6CB4151D" w:rsidR="000F273D" w:rsidRPr="000F273D" w:rsidRDefault="000F273D" w:rsidP="000F273D">
            <w:pPr>
              <w:spacing w:after="120"/>
              <w:ind w:left="27"/>
              <w:jc w:val="center"/>
              <w:rPr>
                <w:b/>
                <w:szCs w:val="24"/>
              </w:rPr>
            </w:pPr>
            <w:r w:rsidRPr="00882A49">
              <w:rPr>
                <w:b/>
                <w:szCs w:val="24"/>
              </w:rPr>
              <w:t>Suma (v eurách)</w:t>
            </w:r>
          </w:p>
        </w:tc>
      </w:tr>
      <w:tr w:rsidR="000F273D" w:rsidRPr="001343D8" w14:paraId="32A5FB39" w14:textId="77777777" w:rsidTr="005D4EBA">
        <w:trPr>
          <w:trHeight w:val="263"/>
        </w:trPr>
        <w:tc>
          <w:tcPr>
            <w:tcW w:w="3842" w:type="pct"/>
            <w:vAlign w:val="center"/>
          </w:tcPr>
          <w:p w14:paraId="40EC7301" w14:textId="77777777" w:rsidR="000F273D" w:rsidRPr="001343D8" w:rsidRDefault="000F273D" w:rsidP="001343D8">
            <w:pPr>
              <w:rPr>
                <w:sz w:val="22"/>
                <w:szCs w:val="22"/>
              </w:rPr>
            </w:pPr>
            <w:r w:rsidRPr="001343D8">
              <w:rPr>
                <w:sz w:val="22"/>
                <w:szCs w:val="22"/>
              </w:rPr>
              <w:t>MAAE - členský príspevok</w:t>
            </w:r>
          </w:p>
        </w:tc>
        <w:tc>
          <w:tcPr>
            <w:tcW w:w="1158" w:type="pct"/>
            <w:vAlign w:val="center"/>
          </w:tcPr>
          <w:p w14:paraId="4A04BBD0" w14:textId="0E932B3A" w:rsidR="000F273D" w:rsidRPr="001343D8" w:rsidRDefault="00C86880" w:rsidP="00077CE6">
            <w:pPr>
              <w:jc w:val="right"/>
              <w:rPr>
                <w:sz w:val="22"/>
                <w:szCs w:val="22"/>
              </w:rPr>
            </w:pPr>
            <w:r w:rsidRPr="00C86880">
              <w:rPr>
                <w:sz w:val="22"/>
                <w:szCs w:val="22"/>
              </w:rPr>
              <w:t>650 258</w:t>
            </w:r>
          </w:p>
        </w:tc>
      </w:tr>
      <w:tr w:rsidR="000F273D" w:rsidRPr="001343D8" w14:paraId="6B60FC10" w14:textId="77777777" w:rsidTr="005D4EBA">
        <w:trPr>
          <w:trHeight w:val="263"/>
        </w:trPr>
        <w:tc>
          <w:tcPr>
            <w:tcW w:w="3842" w:type="pct"/>
            <w:vAlign w:val="center"/>
          </w:tcPr>
          <w:p w14:paraId="24A37953" w14:textId="77777777" w:rsidR="000F273D" w:rsidRPr="001343D8" w:rsidRDefault="000F273D" w:rsidP="001343D8">
            <w:pPr>
              <w:rPr>
                <w:sz w:val="22"/>
                <w:szCs w:val="22"/>
              </w:rPr>
            </w:pPr>
            <w:r w:rsidRPr="001343D8">
              <w:rPr>
                <w:sz w:val="22"/>
                <w:szCs w:val="22"/>
              </w:rPr>
              <w:t>MAAE – fond technickej spolupráce</w:t>
            </w:r>
          </w:p>
        </w:tc>
        <w:tc>
          <w:tcPr>
            <w:tcW w:w="1158" w:type="pct"/>
            <w:vAlign w:val="center"/>
          </w:tcPr>
          <w:p w14:paraId="2E7220CC" w14:textId="3B860EF2" w:rsidR="000F273D" w:rsidRPr="001343D8" w:rsidRDefault="00C86880" w:rsidP="00077CE6">
            <w:pPr>
              <w:jc w:val="right"/>
              <w:rPr>
                <w:sz w:val="22"/>
                <w:szCs w:val="22"/>
              </w:rPr>
            </w:pPr>
            <w:r w:rsidRPr="00C86880">
              <w:rPr>
                <w:sz w:val="22"/>
                <w:szCs w:val="22"/>
              </w:rPr>
              <w:t>146 020</w:t>
            </w:r>
            <w:r w:rsidR="000F273D" w:rsidRPr="001343D8">
              <w:rPr>
                <w:sz w:val="22"/>
                <w:szCs w:val="22"/>
              </w:rPr>
              <w:t xml:space="preserve"> </w:t>
            </w:r>
          </w:p>
        </w:tc>
      </w:tr>
      <w:tr w:rsidR="000F273D" w:rsidRPr="001343D8" w14:paraId="39C52D7A" w14:textId="77777777" w:rsidTr="005D4EBA">
        <w:trPr>
          <w:trHeight w:val="263"/>
        </w:trPr>
        <w:tc>
          <w:tcPr>
            <w:tcW w:w="3842" w:type="pct"/>
            <w:vAlign w:val="center"/>
          </w:tcPr>
          <w:p w14:paraId="759865A4" w14:textId="77777777" w:rsidR="000F273D" w:rsidRPr="001343D8" w:rsidRDefault="000F273D" w:rsidP="001343D8">
            <w:pPr>
              <w:rPr>
                <w:sz w:val="22"/>
                <w:szCs w:val="22"/>
              </w:rPr>
            </w:pPr>
            <w:r w:rsidRPr="001343D8">
              <w:rPr>
                <w:sz w:val="22"/>
                <w:szCs w:val="22"/>
              </w:rPr>
              <w:t>CTBTO - členský príspevok</w:t>
            </w:r>
          </w:p>
        </w:tc>
        <w:tc>
          <w:tcPr>
            <w:tcW w:w="1158" w:type="pct"/>
            <w:vAlign w:val="center"/>
          </w:tcPr>
          <w:p w14:paraId="72802981" w14:textId="0D8CF58A" w:rsidR="000F273D" w:rsidRPr="001343D8" w:rsidRDefault="00C86880" w:rsidP="00077CE6">
            <w:pPr>
              <w:jc w:val="right"/>
              <w:rPr>
                <w:sz w:val="22"/>
                <w:szCs w:val="22"/>
              </w:rPr>
            </w:pPr>
            <w:r w:rsidRPr="00C86880">
              <w:rPr>
                <w:sz w:val="22"/>
                <w:szCs w:val="22"/>
              </w:rPr>
              <w:t>65 000</w:t>
            </w:r>
          </w:p>
        </w:tc>
      </w:tr>
      <w:tr w:rsidR="000F273D" w:rsidRPr="001343D8" w14:paraId="78996DC1" w14:textId="77777777" w:rsidTr="005D4EBA">
        <w:trPr>
          <w:trHeight w:val="265"/>
        </w:trPr>
        <w:tc>
          <w:tcPr>
            <w:tcW w:w="3842" w:type="pct"/>
            <w:vAlign w:val="center"/>
          </w:tcPr>
          <w:p w14:paraId="5C6E85A6" w14:textId="2ABA42C5" w:rsidR="000F273D" w:rsidRPr="001343D8" w:rsidRDefault="000F273D" w:rsidP="001343D8">
            <w:pPr>
              <w:rPr>
                <w:sz w:val="22"/>
                <w:szCs w:val="22"/>
              </w:rPr>
            </w:pPr>
            <w:r w:rsidRPr="001343D8">
              <w:rPr>
                <w:sz w:val="22"/>
                <w:szCs w:val="22"/>
              </w:rPr>
              <w:t>OECD/NEA - program PAR</w:t>
            </w:r>
            <w:r w:rsidR="00625FE7">
              <w:rPr>
                <w:sz w:val="22"/>
                <w:szCs w:val="22"/>
              </w:rPr>
              <w:t>R</w:t>
            </w:r>
            <w:r w:rsidRPr="001343D8">
              <w:rPr>
                <w:sz w:val="22"/>
                <w:szCs w:val="22"/>
              </w:rPr>
              <w:t xml:space="preserve"> II </w:t>
            </w:r>
          </w:p>
        </w:tc>
        <w:tc>
          <w:tcPr>
            <w:tcW w:w="1158" w:type="pct"/>
            <w:vAlign w:val="center"/>
          </w:tcPr>
          <w:p w14:paraId="170A1377" w14:textId="0BE63C1E" w:rsidR="000F273D" w:rsidRPr="001343D8" w:rsidRDefault="00C86880" w:rsidP="00077CE6">
            <w:pPr>
              <w:jc w:val="right"/>
              <w:rPr>
                <w:sz w:val="22"/>
                <w:szCs w:val="22"/>
              </w:rPr>
            </w:pPr>
            <w:r w:rsidRPr="00C86880">
              <w:rPr>
                <w:sz w:val="22"/>
                <w:szCs w:val="22"/>
              </w:rPr>
              <w:t>57 076</w:t>
            </w:r>
          </w:p>
        </w:tc>
      </w:tr>
      <w:tr w:rsidR="000F273D" w:rsidRPr="001343D8" w14:paraId="48E0ACDD" w14:textId="77777777" w:rsidTr="005D4EBA">
        <w:trPr>
          <w:trHeight w:val="263"/>
        </w:trPr>
        <w:tc>
          <w:tcPr>
            <w:tcW w:w="3842" w:type="pct"/>
            <w:vAlign w:val="center"/>
          </w:tcPr>
          <w:p w14:paraId="311487CA" w14:textId="0C9EE9FB" w:rsidR="000F273D" w:rsidRPr="001343D8" w:rsidRDefault="000F273D" w:rsidP="001343D8">
            <w:pPr>
              <w:rPr>
                <w:sz w:val="22"/>
                <w:szCs w:val="22"/>
              </w:rPr>
            </w:pPr>
            <w:r w:rsidRPr="001343D8">
              <w:rPr>
                <w:sz w:val="22"/>
                <w:szCs w:val="22"/>
              </w:rPr>
              <w:t xml:space="preserve">OECD/NEA - </w:t>
            </w:r>
            <w:proofErr w:type="spellStart"/>
            <w:r w:rsidRPr="001343D8">
              <w:rPr>
                <w:sz w:val="22"/>
                <w:szCs w:val="22"/>
              </w:rPr>
              <w:t>Databank</w:t>
            </w:r>
            <w:proofErr w:type="spellEnd"/>
            <w:r w:rsidRPr="001343D8">
              <w:rPr>
                <w:sz w:val="22"/>
                <w:szCs w:val="22"/>
              </w:rPr>
              <w:t xml:space="preserve"> - program PAR</w:t>
            </w:r>
            <w:r w:rsidR="00625FE7">
              <w:rPr>
                <w:sz w:val="22"/>
                <w:szCs w:val="22"/>
              </w:rPr>
              <w:t>T</w:t>
            </w:r>
            <w:r w:rsidRPr="001343D8">
              <w:rPr>
                <w:sz w:val="22"/>
                <w:szCs w:val="22"/>
              </w:rPr>
              <w:t xml:space="preserve"> II</w:t>
            </w:r>
          </w:p>
        </w:tc>
        <w:tc>
          <w:tcPr>
            <w:tcW w:w="1158" w:type="pct"/>
            <w:vAlign w:val="center"/>
          </w:tcPr>
          <w:p w14:paraId="7BAA21D4" w14:textId="681B2D99" w:rsidR="000F273D" w:rsidRPr="001343D8" w:rsidRDefault="00C86880" w:rsidP="00077CE6">
            <w:pPr>
              <w:jc w:val="right"/>
              <w:rPr>
                <w:sz w:val="22"/>
                <w:szCs w:val="22"/>
              </w:rPr>
            </w:pPr>
            <w:r w:rsidRPr="00C86880">
              <w:rPr>
                <w:sz w:val="22"/>
                <w:szCs w:val="22"/>
              </w:rPr>
              <w:t xml:space="preserve">13 074 </w:t>
            </w:r>
            <w:r w:rsidR="000F273D" w:rsidRPr="001343D8">
              <w:rPr>
                <w:sz w:val="22"/>
                <w:szCs w:val="22"/>
              </w:rPr>
              <w:t xml:space="preserve"> </w:t>
            </w:r>
          </w:p>
        </w:tc>
      </w:tr>
      <w:tr w:rsidR="000F273D" w:rsidRPr="001343D8" w14:paraId="3F0C50D6" w14:textId="77777777" w:rsidTr="005D4EBA">
        <w:trPr>
          <w:trHeight w:val="263"/>
        </w:trPr>
        <w:tc>
          <w:tcPr>
            <w:tcW w:w="3842" w:type="pct"/>
            <w:vAlign w:val="center"/>
          </w:tcPr>
          <w:p w14:paraId="6E547505" w14:textId="77777777" w:rsidR="000F273D" w:rsidRPr="001343D8" w:rsidRDefault="000F273D" w:rsidP="001343D8">
            <w:pPr>
              <w:rPr>
                <w:sz w:val="22"/>
                <w:szCs w:val="22"/>
              </w:rPr>
            </w:pPr>
            <w:r w:rsidRPr="001343D8">
              <w:rPr>
                <w:sz w:val="22"/>
                <w:szCs w:val="22"/>
              </w:rPr>
              <w:t xml:space="preserve">OECD/NEA – projekt PKL3 </w:t>
            </w:r>
            <w:proofErr w:type="spellStart"/>
            <w:r w:rsidRPr="001343D8">
              <w:rPr>
                <w:sz w:val="22"/>
                <w:szCs w:val="22"/>
              </w:rPr>
              <w:t>Themis</w:t>
            </w:r>
            <w:proofErr w:type="spellEnd"/>
          </w:p>
        </w:tc>
        <w:tc>
          <w:tcPr>
            <w:tcW w:w="1158" w:type="pct"/>
            <w:vAlign w:val="center"/>
          </w:tcPr>
          <w:p w14:paraId="391A3FBF" w14:textId="12DB4CB8" w:rsidR="000F273D" w:rsidRPr="001343D8" w:rsidRDefault="00C86880" w:rsidP="00077CE6">
            <w:pPr>
              <w:jc w:val="right"/>
              <w:rPr>
                <w:sz w:val="22"/>
                <w:szCs w:val="22"/>
              </w:rPr>
            </w:pPr>
            <w:r w:rsidRPr="00C86880">
              <w:rPr>
                <w:sz w:val="22"/>
                <w:szCs w:val="22"/>
              </w:rPr>
              <w:t>7 214</w:t>
            </w:r>
          </w:p>
        </w:tc>
      </w:tr>
      <w:tr w:rsidR="00C86880" w:rsidRPr="001343D8" w14:paraId="3E091F1F" w14:textId="77777777" w:rsidTr="005D4EBA">
        <w:trPr>
          <w:trHeight w:val="263"/>
        </w:trPr>
        <w:tc>
          <w:tcPr>
            <w:tcW w:w="3842" w:type="pct"/>
            <w:vAlign w:val="center"/>
          </w:tcPr>
          <w:p w14:paraId="7403BC39" w14:textId="06E2B9A1" w:rsidR="00C86880" w:rsidRPr="001343D8" w:rsidRDefault="00C86880" w:rsidP="001343D8">
            <w:pPr>
              <w:rPr>
                <w:sz w:val="22"/>
                <w:szCs w:val="22"/>
              </w:rPr>
            </w:pPr>
            <w:r w:rsidRPr="00C86880">
              <w:rPr>
                <w:sz w:val="22"/>
                <w:szCs w:val="22"/>
              </w:rPr>
              <w:t>Implementačná dohoda US NRC a UJD SR  (účasť v programe CSARP)</w:t>
            </w:r>
          </w:p>
        </w:tc>
        <w:tc>
          <w:tcPr>
            <w:tcW w:w="1158" w:type="pct"/>
            <w:vAlign w:val="center"/>
          </w:tcPr>
          <w:p w14:paraId="4E58C1A1" w14:textId="4482ED9C" w:rsidR="00C86880" w:rsidRPr="001343D8" w:rsidRDefault="00C86880" w:rsidP="00077CE6">
            <w:pPr>
              <w:jc w:val="right"/>
              <w:rPr>
                <w:sz w:val="22"/>
                <w:szCs w:val="22"/>
              </w:rPr>
            </w:pPr>
            <w:r w:rsidRPr="00C86880">
              <w:rPr>
                <w:sz w:val="22"/>
                <w:szCs w:val="22"/>
              </w:rPr>
              <w:t>37 971</w:t>
            </w:r>
          </w:p>
        </w:tc>
      </w:tr>
      <w:tr w:rsidR="000F273D" w:rsidRPr="001343D8" w14:paraId="7FF6B9E9" w14:textId="77777777" w:rsidTr="005D4EBA">
        <w:trPr>
          <w:trHeight w:val="263"/>
        </w:trPr>
        <w:tc>
          <w:tcPr>
            <w:tcW w:w="3842" w:type="pct"/>
            <w:shd w:val="clear" w:color="auto" w:fill="FFFFFF" w:themeFill="background1"/>
            <w:vAlign w:val="center"/>
          </w:tcPr>
          <w:p w14:paraId="56860266" w14:textId="77777777" w:rsidR="000F273D" w:rsidRPr="001343D8" w:rsidRDefault="000F273D" w:rsidP="000F273D">
            <w:pPr>
              <w:rPr>
                <w:b/>
                <w:bCs/>
                <w:sz w:val="22"/>
                <w:szCs w:val="22"/>
              </w:rPr>
            </w:pPr>
            <w:r w:rsidRPr="001343D8">
              <w:rPr>
                <w:b/>
                <w:bCs/>
                <w:sz w:val="22"/>
                <w:szCs w:val="22"/>
              </w:rPr>
              <w:t>Spolu</w:t>
            </w:r>
          </w:p>
        </w:tc>
        <w:tc>
          <w:tcPr>
            <w:tcW w:w="1158" w:type="pct"/>
            <w:vAlign w:val="center"/>
          </w:tcPr>
          <w:p w14:paraId="6E16E908" w14:textId="183DBDB4" w:rsidR="000F273D" w:rsidRPr="001343D8" w:rsidRDefault="00C86880" w:rsidP="00077CE6">
            <w:pPr>
              <w:jc w:val="right"/>
              <w:rPr>
                <w:b/>
                <w:bCs/>
                <w:sz w:val="22"/>
                <w:szCs w:val="22"/>
              </w:rPr>
            </w:pPr>
            <w:r w:rsidRPr="00C86880">
              <w:rPr>
                <w:b/>
                <w:bCs/>
                <w:sz w:val="22"/>
                <w:szCs w:val="22"/>
              </w:rPr>
              <w:t>976 613</w:t>
            </w:r>
          </w:p>
        </w:tc>
      </w:tr>
    </w:tbl>
    <w:p w14:paraId="14228CFC" w14:textId="77777777" w:rsidR="00F23AC6" w:rsidRDefault="00F23AC6" w:rsidP="00F23AC6">
      <w:pPr>
        <w:widowControl w:val="0"/>
        <w:autoSpaceDE w:val="0"/>
        <w:autoSpaceDN w:val="0"/>
        <w:adjustRightInd w:val="0"/>
        <w:jc w:val="both"/>
      </w:pPr>
    </w:p>
    <w:p w14:paraId="76DFBCDD" w14:textId="77777777" w:rsidR="00C86880" w:rsidRPr="00882A49" w:rsidRDefault="00C86880" w:rsidP="00C86880">
      <w:pPr>
        <w:jc w:val="both"/>
      </w:pPr>
      <w:r w:rsidRPr="00882A49">
        <w:t>Tuzemské transfery predstavujú sumu 204 890 eur a boli použité na úhradu členského príspevku neziskovej organizácii SNUS (Slovenská  nukleárna spoločnosť), na náhradu príjmov zamestnancom pri dočasnej pracovnej neschopnosti, na finančný príspevok na stravovanie, na odstupné, na odchodné a na príplatky a príspevky (príplatok k nemocenskému).</w:t>
      </w:r>
    </w:p>
    <w:p w14:paraId="005D6A91" w14:textId="77777777" w:rsidR="00C86880" w:rsidRPr="00882A49" w:rsidRDefault="00C86880" w:rsidP="00C86880">
      <w:pPr>
        <w:jc w:val="both"/>
      </w:pPr>
      <w:r w:rsidRPr="00882A49">
        <w:t>Nevyhnutnou podporou pri rozhodovacej, licenčnej a inšpekčnej činnosti ÚJD SR sú expertízy, posudky a analýzy, na ktoré boli použité v roku 2024 výdavky v sume  728 609 eur.</w:t>
      </w:r>
    </w:p>
    <w:p w14:paraId="6351359D" w14:textId="1ACDEEF5" w:rsidR="00C86880" w:rsidRPr="00882A49" w:rsidRDefault="00C86880" w:rsidP="00C86880">
      <w:pPr>
        <w:jc w:val="both"/>
      </w:pPr>
      <w:r w:rsidRPr="00882A49">
        <w:lastRenderedPageBreak/>
        <w:t>Na mzdové výdavky pre 122 zamestnancov sa čerpalo 4 976 914 eur a na odvody na zdravotné poistenie a sociálne zabezpečenie boli vynaložené výdavky v sume  1 971 199 eur.</w:t>
      </w:r>
    </w:p>
    <w:p w14:paraId="7118ABD4" w14:textId="77777777" w:rsidR="00B14389" w:rsidRPr="00882A49" w:rsidRDefault="00B14389" w:rsidP="00F23AC6">
      <w:pPr>
        <w:jc w:val="both"/>
        <w:rPr>
          <w:iCs/>
          <w:noProof/>
          <w:szCs w:val="18"/>
        </w:rPr>
      </w:pPr>
    </w:p>
    <w:p w14:paraId="160A1BFA" w14:textId="48D0E6D9" w:rsidR="000F273D" w:rsidRPr="00882A49" w:rsidRDefault="000F273D" w:rsidP="00F23AC6">
      <w:pPr>
        <w:jc w:val="both"/>
        <w:rPr>
          <w:iCs/>
          <w:noProof/>
          <w:sz w:val="22"/>
          <w:szCs w:val="22"/>
        </w:rPr>
      </w:pPr>
      <w:r w:rsidRPr="00882A49">
        <w:rPr>
          <w:iCs/>
          <w:noProof/>
          <w:sz w:val="22"/>
          <w:szCs w:val="22"/>
        </w:rPr>
        <w:t xml:space="preserve">Tab. </w:t>
      </w:r>
      <w:r w:rsidR="00552BE7">
        <w:rPr>
          <w:iCs/>
          <w:noProof/>
          <w:sz w:val="22"/>
          <w:szCs w:val="22"/>
        </w:rPr>
        <w:t>10</w:t>
      </w:r>
      <w:r w:rsidRPr="00882A49">
        <w:rPr>
          <w:iCs/>
          <w:noProof/>
          <w:sz w:val="22"/>
          <w:szCs w:val="22"/>
        </w:rPr>
        <w:t xml:space="preserve"> Bežné výdavky (</w:t>
      </w:r>
      <w:r w:rsidR="00586936" w:rsidRPr="00882A49">
        <w:rPr>
          <w:iCs/>
          <w:noProof/>
          <w:sz w:val="22"/>
          <w:szCs w:val="22"/>
        </w:rPr>
        <w:t>výdavkový účet 1</w:t>
      </w:r>
      <w:r w:rsidRPr="00882A49">
        <w:rPr>
          <w:iCs/>
          <w:noProof/>
          <w:sz w:val="22"/>
          <w:szCs w:val="22"/>
        </w:rPr>
        <w:t>)</w:t>
      </w:r>
      <w:r w:rsidR="00267D3C" w:rsidRPr="00882A49">
        <w:rPr>
          <w:iCs/>
          <w:noProof/>
          <w:sz w:val="22"/>
          <w:szCs w:val="22"/>
        </w:rPr>
        <w:t xml:space="preserve"> v roku 202</w:t>
      </w:r>
      <w:r w:rsidR="00586936" w:rsidRPr="00882A49">
        <w:rPr>
          <w:iCs/>
          <w:noProof/>
          <w:sz w:val="22"/>
          <w:szCs w:val="22"/>
        </w:rPr>
        <w:t>4</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5"/>
        <w:gridCol w:w="2407"/>
      </w:tblGrid>
      <w:tr w:rsidR="000F273D" w:rsidRPr="00882A49" w14:paraId="32D81B0D" w14:textId="77777777" w:rsidTr="0036514D">
        <w:trPr>
          <w:trHeight w:val="198"/>
        </w:trPr>
        <w:tc>
          <w:tcPr>
            <w:tcW w:w="3672" w:type="pct"/>
            <w:shd w:val="clear" w:color="auto" w:fill="D9D9D9" w:themeFill="background1" w:themeFillShade="D9"/>
            <w:noWrap/>
            <w:vAlign w:val="center"/>
          </w:tcPr>
          <w:p w14:paraId="1CE0007E" w14:textId="77777777" w:rsidR="000F273D" w:rsidRPr="00882A49" w:rsidRDefault="000F273D" w:rsidP="000F273D">
            <w:pPr>
              <w:spacing w:after="120"/>
              <w:jc w:val="center"/>
              <w:rPr>
                <w:b/>
                <w:bCs/>
                <w:sz w:val="22"/>
                <w:szCs w:val="22"/>
              </w:rPr>
            </w:pPr>
            <w:r w:rsidRPr="00882A49">
              <w:rPr>
                <w:b/>
                <w:bCs/>
                <w:sz w:val="22"/>
                <w:szCs w:val="22"/>
              </w:rPr>
              <w:t>Bežné výdavky</w:t>
            </w:r>
          </w:p>
        </w:tc>
        <w:tc>
          <w:tcPr>
            <w:tcW w:w="1328" w:type="pct"/>
            <w:shd w:val="clear" w:color="auto" w:fill="D9D9D9" w:themeFill="background1" w:themeFillShade="D9"/>
            <w:noWrap/>
            <w:vAlign w:val="center"/>
          </w:tcPr>
          <w:p w14:paraId="587F9DDD" w14:textId="635B5C0F" w:rsidR="000F273D" w:rsidRPr="00882A49" w:rsidRDefault="000F273D" w:rsidP="000F273D">
            <w:pPr>
              <w:spacing w:after="120"/>
              <w:jc w:val="center"/>
              <w:rPr>
                <w:b/>
                <w:bCs/>
                <w:sz w:val="22"/>
                <w:szCs w:val="22"/>
              </w:rPr>
            </w:pPr>
            <w:r w:rsidRPr="00882A49">
              <w:rPr>
                <w:b/>
                <w:bCs/>
                <w:sz w:val="22"/>
                <w:szCs w:val="22"/>
              </w:rPr>
              <w:t>Suma (v eurách)</w:t>
            </w:r>
          </w:p>
        </w:tc>
      </w:tr>
      <w:tr w:rsidR="000F273D" w:rsidRPr="00882A49" w14:paraId="77CAA761" w14:textId="77777777" w:rsidTr="0036514D">
        <w:trPr>
          <w:trHeight w:val="266"/>
        </w:trPr>
        <w:tc>
          <w:tcPr>
            <w:tcW w:w="3672" w:type="pct"/>
            <w:noWrap/>
            <w:vAlign w:val="bottom"/>
          </w:tcPr>
          <w:p w14:paraId="27928D8D" w14:textId="77777777" w:rsidR="000F273D" w:rsidRPr="00882A49" w:rsidRDefault="000F273D" w:rsidP="001343D8">
            <w:pPr>
              <w:rPr>
                <w:sz w:val="22"/>
                <w:szCs w:val="22"/>
              </w:rPr>
            </w:pPr>
            <w:r w:rsidRPr="00882A49">
              <w:rPr>
                <w:sz w:val="22"/>
                <w:szCs w:val="22"/>
              </w:rPr>
              <w:t>zahraničné transfery</w:t>
            </w:r>
          </w:p>
        </w:tc>
        <w:tc>
          <w:tcPr>
            <w:tcW w:w="1328" w:type="pct"/>
            <w:noWrap/>
            <w:vAlign w:val="bottom"/>
          </w:tcPr>
          <w:p w14:paraId="3C4D2D2B" w14:textId="7F69926F" w:rsidR="000F273D" w:rsidRPr="00882A49" w:rsidRDefault="00586936" w:rsidP="00077CE6">
            <w:pPr>
              <w:jc w:val="right"/>
              <w:rPr>
                <w:sz w:val="22"/>
                <w:szCs w:val="22"/>
              </w:rPr>
            </w:pPr>
            <w:r w:rsidRPr="00882A49">
              <w:rPr>
                <w:sz w:val="22"/>
                <w:szCs w:val="22"/>
              </w:rPr>
              <w:t>976 613</w:t>
            </w:r>
            <w:r w:rsidR="000F273D" w:rsidRPr="00882A49">
              <w:rPr>
                <w:sz w:val="22"/>
                <w:szCs w:val="22"/>
              </w:rPr>
              <w:t xml:space="preserve"> </w:t>
            </w:r>
          </w:p>
        </w:tc>
      </w:tr>
      <w:tr w:rsidR="000F273D" w:rsidRPr="00882A49" w14:paraId="1383B9B0" w14:textId="77777777" w:rsidTr="0036514D">
        <w:trPr>
          <w:trHeight w:val="266"/>
        </w:trPr>
        <w:tc>
          <w:tcPr>
            <w:tcW w:w="3672" w:type="pct"/>
            <w:noWrap/>
            <w:vAlign w:val="bottom"/>
          </w:tcPr>
          <w:p w14:paraId="34842F7F" w14:textId="77777777" w:rsidR="000F273D" w:rsidRPr="00882A49" w:rsidRDefault="000F273D" w:rsidP="001343D8">
            <w:pPr>
              <w:rPr>
                <w:sz w:val="22"/>
                <w:szCs w:val="22"/>
              </w:rPr>
            </w:pPr>
            <w:r w:rsidRPr="00882A49">
              <w:rPr>
                <w:sz w:val="22"/>
                <w:szCs w:val="22"/>
              </w:rPr>
              <w:t>expertízy, posudky, analýzy</w:t>
            </w:r>
          </w:p>
        </w:tc>
        <w:tc>
          <w:tcPr>
            <w:tcW w:w="1328" w:type="pct"/>
            <w:noWrap/>
            <w:vAlign w:val="bottom"/>
          </w:tcPr>
          <w:p w14:paraId="4E1EED55" w14:textId="6024ACBA" w:rsidR="000F273D" w:rsidRPr="00882A49" w:rsidRDefault="00586936" w:rsidP="00077CE6">
            <w:pPr>
              <w:jc w:val="right"/>
              <w:rPr>
                <w:sz w:val="22"/>
                <w:szCs w:val="22"/>
              </w:rPr>
            </w:pPr>
            <w:r w:rsidRPr="00882A49">
              <w:rPr>
                <w:sz w:val="22"/>
                <w:szCs w:val="22"/>
              </w:rPr>
              <w:t>728 609</w:t>
            </w:r>
            <w:r w:rsidR="000F273D" w:rsidRPr="00882A49">
              <w:rPr>
                <w:sz w:val="22"/>
                <w:szCs w:val="22"/>
              </w:rPr>
              <w:t xml:space="preserve"> </w:t>
            </w:r>
          </w:p>
        </w:tc>
      </w:tr>
      <w:tr w:rsidR="000F273D" w:rsidRPr="00882A49" w14:paraId="44551529" w14:textId="77777777" w:rsidTr="0036514D">
        <w:trPr>
          <w:trHeight w:val="266"/>
        </w:trPr>
        <w:tc>
          <w:tcPr>
            <w:tcW w:w="3672" w:type="pct"/>
            <w:noWrap/>
            <w:vAlign w:val="bottom"/>
          </w:tcPr>
          <w:p w14:paraId="3F774651" w14:textId="42E775E3" w:rsidR="000F273D" w:rsidRPr="00882A49" w:rsidRDefault="000F273D" w:rsidP="001343D8">
            <w:pPr>
              <w:rPr>
                <w:sz w:val="22"/>
                <w:szCs w:val="22"/>
              </w:rPr>
            </w:pPr>
            <w:r w:rsidRPr="00882A49">
              <w:rPr>
                <w:sz w:val="22"/>
                <w:szCs w:val="22"/>
              </w:rPr>
              <w:t>mzdy (pre 1</w:t>
            </w:r>
            <w:r w:rsidR="00B465C3" w:rsidRPr="00882A49">
              <w:rPr>
                <w:sz w:val="22"/>
                <w:szCs w:val="22"/>
              </w:rPr>
              <w:t>2</w:t>
            </w:r>
            <w:r w:rsidR="00586936" w:rsidRPr="00882A49">
              <w:rPr>
                <w:sz w:val="22"/>
                <w:szCs w:val="22"/>
              </w:rPr>
              <w:t>2</w:t>
            </w:r>
            <w:r w:rsidRPr="00882A49">
              <w:rPr>
                <w:sz w:val="22"/>
                <w:szCs w:val="22"/>
              </w:rPr>
              <w:t xml:space="preserve"> zamestnancov)</w:t>
            </w:r>
          </w:p>
        </w:tc>
        <w:tc>
          <w:tcPr>
            <w:tcW w:w="1328" w:type="pct"/>
            <w:noWrap/>
            <w:vAlign w:val="bottom"/>
          </w:tcPr>
          <w:p w14:paraId="5DD15FCD" w14:textId="2469C171" w:rsidR="000F273D" w:rsidRPr="00882A49" w:rsidRDefault="00586936" w:rsidP="00077CE6">
            <w:pPr>
              <w:jc w:val="right"/>
              <w:rPr>
                <w:sz w:val="22"/>
                <w:szCs w:val="22"/>
              </w:rPr>
            </w:pPr>
            <w:r w:rsidRPr="00882A49">
              <w:rPr>
                <w:sz w:val="22"/>
                <w:szCs w:val="22"/>
              </w:rPr>
              <w:t>4 976 914</w:t>
            </w:r>
          </w:p>
        </w:tc>
      </w:tr>
      <w:tr w:rsidR="000F273D" w:rsidRPr="00882A49" w14:paraId="6ED485C1" w14:textId="77777777" w:rsidTr="0036514D">
        <w:trPr>
          <w:trHeight w:val="266"/>
        </w:trPr>
        <w:tc>
          <w:tcPr>
            <w:tcW w:w="3672" w:type="pct"/>
            <w:noWrap/>
            <w:vAlign w:val="bottom"/>
          </w:tcPr>
          <w:p w14:paraId="0F19AFFF" w14:textId="77777777" w:rsidR="000F273D" w:rsidRPr="00882A49" w:rsidRDefault="000F273D" w:rsidP="001343D8">
            <w:pPr>
              <w:rPr>
                <w:sz w:val="22"/>
                <w:szCs w:val="22"/>
              </w:rPr>
            </w:pPr>
            <w:r w:rsidRPr="00882A49">
              <w:rPr>
                <w:sz w:val="22"/>
                <w:szCs w:val="22"/>
              </w:rPr>
              <w:t>zákonné poistenie zamestnancov</w:t>
            </w:r>
          </w:p>
        </w:tc>
        <w:tc>
          <w:tcPr>
            <w:tcW w:w="1328" w:type="pct"/>
            <w:noWrap/>
            <w:vAlign w:val="bottom"/>
          </w:tcPr>
          <w:p w14:paraId="678184E7" w14:textId="18B5F8DC" w:rsidR="000F273D" w:rsidRPr="00882A49" w:rsidRDefault="00586936" w:rsidP="00077CE6">
            <w:pPr>
              <w:jc w:val="right"/>
              <w:rPr>
                <w:sz w:val="22"/>
                <w:szCs w:val="22"/>
              </w:rPr>
            </w:pPr>
            <w:r w:rsidRPr="00882A49">
              <w:rPr>
                <w:sz w:val="22"/>
                <w:szCs w:val="22"/>
              </w:rPr>
              <w:t>1 971 199</w:t>
            </w:r>
          </w:p>
        </w:tc>
      </w:tr>
      <w:tr w:rsidR="000F273D" w:rsidRPr="00882A49" w14:paraId="55DC7C9E" w14:textId="77777777" w:rsidTr="0036514D">
        <w:trPr>
          <w:trHeight w:val="266"/>
        </w:trPr>
        <w:tc>
          <w:tcPr>
            <w:tcW w:w="3672" w:type="pct"/>
            <w:noWrap/>
            <w:vAlign w:val="bottom"/>
          </w:tcPr>
          <w:p w14:paraId="6A1C3645" w14:textId="77777777" w:rsidR="000F273D" w:rsidRPr="00882A49" w:rsidRDefault="000F273D" w:rsidP="005C0697">
            <w:pPr>
              <w:ind w:left="-144" w:firstLine="144"/>
              <w:rPr>
                <w:sz w:val="22"/>
                <w:szCs w:val="22"/>
              </w:rPr>
            </w:pPr>
            <w:r w:rsidRPr="00882A49">
              <w:rPr>
                <w:sz w:val="22"/>
                <w:szCs w:val="22"/>
              </w:rPr>
              <w:t xml:space="preserve">tuzemské transfery </w:t>
            </w:r>
          </w:p>
        </w:tc>
        <w:tc>
          <w:tcPr>
            <w:tcW w:w="1328" w:type="pct"/>
            <w:noWrap/>
            <w:vAlign w:val="bottom"/>
          </w:tcPr>
          <w:p w14:paraId="575AEA54" w14:textId="41681336" w:rsidR="000F273D" w:rsidRPr="00882A49" w:rsidRDefault="00586936" w:rsidP="00586936">
            <w:pPr>
              <w:jc w:val="right"/>
              <w:rPr>
                <w:sz w:val="22"/>
                <w:szCs w:val="22"/>
              </w:rPr>
            </w:pPr>
            <w:r w:rsidRPr="00882A49">
              <w:rPr>
                <w:sz w:val="22"/>
                <w:szCs w:val="22"/>
              </w:rPr>
              <w:t>204 890</w:t>
            </w:r>
          </w:p>
        </w:tc>
      </w:tr>
      <w:tr w:rsidR="000F273D" w:rsidRPr="00882A49" w14:paraId="05AA7B29" w14:textId="77777777" w:rsidTr="0036514D">
        <w:trPr>
          <w:trHeight w:val="266"/>
        </w:trPr>
        <w:tc>
          <w:tcPr>
            <w:tcW w:w="3672" w:type="pct"/>
            <w:noWrap/>
            <w:vAlign w:val="bottom"/>
          </w:tcPr>
          <w:p w14:paraId="06A5AD04" w14:textId="77777777" w:rsidR="000F273D" w:rsidRPr="00882A49" w:rsidRDefault="000F273D" w:rsidP="001343D8">
            <w:pPr>
              <w:rPr>
                <w:sz w:val="22"/>
                <w:szCs w:val="22"/>
              </w:rPr>
            </w:pPr>
            <w:r w:rsidRPr="00882A49">
              <w:rPr>
                <w:sz w:val="22"/>
                <w:szCs w:val="22"/>
              </w:rPr>
              <w:t>tovary a služby</w:t>
            </w:r>
          </w:p>
        </w:tc>
        <w:tc>
          <w:tcPr>
            <w:tcW w:w="1328" w:type="pct"/>
            <w:noWrap/>
            <w:vAlign w:val="bottom"/>
          </w:tcPr>
          <w:p w14:paraId="1CEB3059" w14:textId="29523C59" w:rsidR="000F273D" w:rsidRPr="00882A49" w:rsidRDefault="00586936" w:rsidP="00077CE6">
            <w:pPr>
              <w:jc w:val="right"/>
              <w:rPr>
                <w:sz w:val="22"/>
                <w:szCs w:val="22"/>
              </w:rPr>
            </w:pPr>
            <w:r w:rsidRPr="00882A49">
              <w:rPr>
                <w:sz w:val="22"/>
                <w:szCs w:val="22"/>
              </w:rPr>
              <w:t xml:space="preserve">1 243 916 </w:t>
            </w:r>
            <w:r w:rsidR="000F273D" w:rsidRPr="00882A49">
              <w:rPr>
                <w:sz w:val="22"/>
                <w:szCs w:val="22"/>
              </w:rPr>
              <w:t xml:space="preserve"> </w:t>
            </w:r>
          </w:p>
        </w:tc>
      </w:tr>
      <w:tr w:rsidR="000F273D" w:rsidRPr="00882A49" w14:paraId="76A5F85D" w14:textId="77777777" w:rsidTr="0036514D">
        <w:trPr>
          <w:trHeight w:val="263"/>
        </w:trPr>
        <w:tc>
          <w:tcPr>
            <w:tcW w:w="3672" w:type="pct"/>
            <w:shd w:val="clear" w:color="auto" w:fill="FFFFFF" w:themeFill="background1"/>
          </w:tcPr>
          <w:p w14:paraId="7843898A" w14:textId="77777777" w:rsidR="000F273D" w:rsidRPr="00882A49" w:rsidRDefault="000F273D" w:rsidP="001343D8">
            <w:pPr>
              <w:rPr>
                <w:b/>
                <w:bCs/>
                <w:sz w:val="22"/>
                <w:szCs w:val="22"/>
              </w:rPr>
            </w:pPr>
            <w:r w:rsidRPr="00882A49">
              <w:rPr>
                <w:b/>
                <w:bCs/>
                <w:sz w:val="22"/>
                <w:szCs w:val="22"/>
              </w:rPr>
              <w:t>Spolu</w:t>
            </w:r>
          </w:p>
        </w:tc>
        <w:tc>
          <w:tcPr>
            <w:tcW w:w="1328" w:type="pct"/>
            <w:shd w:val="clear" w:color="auto" w:fill="FFFFFF" w:themeFill="background1"/>
          </w:tcPr>
          <w:p w14:paraId="5200756F" w14:textId="5383C4D2" w:rsidR="000F273D" w:rsidRPr="00882A49" w:rsidRDefault="00586936" w:rsidP="00994B4E">
            <w:pPr>
              <w:jc w:val="right"/>
              <w:rPr>
                <w:b/>
                <w:bCs/>
                <w:sz w:val="22"/>
                <w:szCs w:val="22"/>
              </w:rPr>
            </w:pPr>
            <w:r w:rsidRPr="00882A49">
              <w:rPr>
                <w:b/>
                <w:bCs/>
                <w:sz w:val="22"/>
                <w:szCs w:val="22"/>
              </w:rPr>
              <w:t xml:space="preserve">                 10 102 141</w:t>
            </w:r>
          </w:p>
        </w:tc>
      </w:tr>
    </w:tbl>
    <w:p w14:paraId="2CCBDC00" w14:textId="77777777" w:rsidR="000F273D" w:rsidRPr="00882A49" w:rsidRDefault="000F273D" w:rsidP="000F273D">
      <w:pPr>
        <w:jc w:val="both"/>
        <w:rPr>
          <w:szCs w:val="18"/>
        </w:rPr>
      </w:pPr>
    </w:p>
    <w:p w14:paraId="2220208D" w14:textId="6F0ACBB1" w:rsidR="00586936" w:rsidRPr="00882A49" w:rsidRDefault="00586936" w:rsidP="00586936">
      <w:pPr>
        <w:jc w:val="both"/>
        <w:rPr>
          <w:szCs w:val="18"/>
        </w:rPr>
      </w:pPr>
      <w:r w:rsidRPr="00882A49">
        <w:rPr>
          <w:szCs w:val="18"/>
        </w:rPr>
        <w:t>Na obstaranie tovarov a služieb nevyhnutných na  prevádzku  ÚJD SR boli vynaložené finančné prostriedky v sume 1 243 916 eur. Základné druhové členenie týchto výdavkov vyplýva z ekonomickej rozpočtovej klasifikácie výdavkov a ich čerpanie bolo nasledovné:</w:t>
      </w:r>
    </w:p>
    <w:p w14:paraId="254AE028" w14:textId="77777777" w:rsidR="000F273D" w:rsidRPr="00882A49" w:rsidRDefault="000F273D" w:rsidP="000F273D">
      <w:pPr>
        <w:jc w:val="both"/>
        <w:rPr>
          <w:szCs w:val="18"/>
        </w:rPr>
      </w:pPr>
    </w:p>
    <w:p w14:paraId="669E8633" w14:textId="72DF9E38" w:rsidR="000F273D" w:rsidRPr="00882A49" w:rsidRDefault="000F273D" w:rsidP="00D04D3E">
      <w:pPr>
        <w:jc w:val="both"/>
        <w:rPr>
          <w:sz w:val="22"/>
          <w:szCs w:val="22"/>
        </w:rPr>
      </w:pPr>
      <w:r w:rsidRPr="00882A49">
        <w:rPr>
          <w:sz w:val="22"/>
          <w:szCs w:val="22"/>
        </w:rPr>
        <w:t xml:space="preserve">Tab. </w:t>
      </w:r>
      <w:r w:rsidR="00552BE7">
        <w:rPr>
          <w:sz w:val="22"/>
          <w:szCs w:val="22"/>
        </w:rPr>
        <w:t>11</w:t>
      </w:r>
      <w:r w:rsidRPr="00882A49">
        <w:rPr>
          <w:sz w:val="22"/>
          <w:szCs w:val="22"/>
        </w:rPr>
        <w:t xml:space="preserve"> Čerpanie výdavkov na obstaranie tovarov a služieb v roku 202</w:t>
      </w:r>
      <w:r w:rsidR="00586936" w:rsidRPr="00882A49">
        <w:rPr>
          <w:sz w:val="22"/>
          <w:szCs w:val="22"/>
        </w:rPr>
        <w:t>4</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2438"/>
      </w:tblGrid>
      <w:tr w:rsidR="000F273D" w:rsidRPr="00882A49" w14:paraId="64F61D9A" w14:textId="77777777" w:rsidTr="0036514D">
        <w:trPr>
          <w:trHeight w:val="273"/>
        </w:trPr>
        <w:tc>
          <w:tcPr>
            <w:tcW w:w="6634" w:type="dxa"/>
            <w:shd w:val="clear" w:color="auto" w:fill="D9D9D9" w:themeFill="background1" w:themeFillShade="D9"/>
            <w:vAlign w:val="center"/>
          </w:tcPr>
          <w:p w14:paraId="6A8F3295" w14:textId="77777777" w:rsidR="000F273D" w:rsidRPr="00882A49" w:rsidRDefault="000F273D" w:rsidP="000F273D">
            <w:pPr>
              <w:jc w:val="center"/>
              <w:rPr>
                <w:b/>
                <w:sz w:val="22"/>
                <w:szCs w:val="22"/>
              </w:rPr>
            </w:pPr>
            <w:r w:rsidRPr="00882A49">
              <w:rPr>
                <w:b/>
                <w:sz w:val="22"/>
                <w:szCs w:val="22"/>
              </w:rPr>
              <w:t>Položka</w:t>
            </w:r>
          </w:p>
        </w:tc>
        <w:tc>
          <w:tcPr>
            <w:tcW w:w="2438" w:type="dxa"/>
            <w:shd w:val="clear" w:color="auto" w:fill="D9D9D9" w:themeFill="background1" w:themeFillShade="D9"/>
            <w:vAlign w:val="center"/>
          </w:tcPr>
          <w:p w14:paraId="12947917" w14:textId="77777777" w:rsidR="000F273D" w:rsidRPr="00882A49" w:rsidRDefault="000F273D" w:rsidP="000F273D">
            <w:pPr>
              <w:jc w:val="center"/>
              <w:rPr>
                <w:b/>
                <w:sz w:val="22"/>
                <w:szCs w:val="22"/>
              </w:rPr>
            </w:pPr>
            <w:r w:rsidRPr="00882A49">
              <w:rPr>
                <w:b/>
                <w:sz w:val="22"/>
                <w:szCs w:val="22"/>
              </w:rPr>
              <w:t>Suma (v eurách)</w:t>
            </w:r>
          </w:p>
        </w:tc>
      </w:tr>
      <w:tr w:rsidR="000F273D" w:rsidRPr="00882A49" w14:paraId="2788C144" w14:textId="77777777" w:rsidTr="0036514D">
        <w:tc>
          <w:tcPr>
            <w:tcW w:w="6634" w:type="dxa"/>
          </w:tcPr>
          <w:p w14:paraId="50DA8A44" w14:textId="77777777" w:rsidR="000F273D" w:rsidRPr="00882A49" w:rsidRDefault="000F273D" w:rsidP="000F273D">
            <w:pPr>
              <w:rPr>
                <w:sz w:val="22"/>
                <w:szCs w:val="22"/>
              </w:rPr>
            </w:pPr>
            <w:bookmarkStart w:id="66" w:name="_Hlk380439313"/>
            <w:r w:rsidRPr="00882A49">
              <w:rPr>
                <w:sz w:val="22"/>
                <w:szCs w:val="22"/>
              </w:rPr>
              <w:t>cestovné výdavky</w:t>
            </w:r>
          </w:p>
        </w:tc>
        <w:tc>
          <w:tcPr>
            <w:tcW w:w="2438" w:type="dxa"/>
          </w:tcPr>
          <w:p w14:paraId="6AF72D10" w14:textId="3BF76C23" w:rsidR="000F273D" w:rsidRPr="00882A49" w:rsidRDefault="00586936" w:rsidP="00825126">
            <w:pPr>
              <w:jc w:val="right"/>
              <w:rPr>
                <w:sz w:val="22"/>
                <w:szCs w:val="22"/>
              </w:rPr>
            </w:pPr>
            <w:r w:rsidRPr="00882A49">
              <w:rPr>
                <w:sz w:val="22"/>
                <w:szCs w:val="22"/>
              </w:rPr>
              <w:t>152 738</w:t>
            </w:r>
          </w:p>
        </w:tc>
      </w:tr>
      <w:tr w:rsidR="000F273D" w:rsidRPr="00825126" w14:paraId="6297E6A6" w14:textId="77777777" w:rsidTr="0036514D">
        <w:tc>
          <w:tcPr>
            <w:tcW w:w="6634" w:type="dxa"/>
          </w:tcPr>
          <w:p w14:paraId="446B0A52" w14:textId="1B043FC7" w:rsidR="000F273D" w:rsidRPr="00882A49" w:rsidRDefault="00586936" w:rsidP="000F273D">
            <w:pPr>
              <w:rPr>
                <w:sz w:val="22"/>
                <w:szCs w:val="22"/>
              </w:rPr>
            </w:pPr>
            <w:r w:rsidRPr="00882A49">
              <w:rPr>
                <w:sz w:val="22"/>
                <w:szCs w:val="22"/>
              </w:rPr>
              <w:t>energie, voda a komunikácie</w:t>
            </w:r>
          </w:p>
        </w:tc>
        <w:tc>
          <w:tcPr>
            <w:tcW w:w="2438" w:type="dxa"/>
          </w:tcPr>
          <w:p w14:paraId="5977C39B" w14:textId="1B87A11A" w:rsidR="000F273D" w:rsidRPr="00825126" w:rsidRDefault="00586936" w:rsidP="00825126">
            <w:pPr>
              <w:jc w:val="right"/>
              <w:rPr>
                <w:sz w:val="22"/>
                <w:szCs w:val="22"/>
              </w:rPr>
            </w:pPr>
            <w:r w:rsidRPr="00882A49">
              <w:rPr>
                <w:sz w:val="22"/>
                <w:szCs w:val="22"/>
              </w:rPr>
              <w:t>91 890</w:t>
            </w:r>
          </w:p>
        </w:tc>
      </w:tr>
      <w:tr w:rsidR="000F273D" w:rsidRPr="00825126" w14:paraId="4549B740" w14:textId="77777777" w:rsidTr="0036514D">
        <w:tc>
          <w:tcPr>
            <w:tcW w:w="6634" w:type="dxa"/>
          </w:tcPr>
          <w:p w14:paraId="78786A3C" w14:textId="77777777" w:rsidR="000F273D" w:rsidRPr="00825126" w:rsidRDefault="000F273D" w:rsidP="000F273D">
            <w:pPr>
              <w:rPr>
                <w:sz w:val="22"/>
                <w:szCs w:val="22"/>
              </w:rPr>
            </w:pPr>
            <w:r w:rsidRPr="00825126">
              <w:rPr>
                <w:sz w:val="22"/>
                <w:szCs w:val="22"/>
              </w:rPr>
              <w:t xml:space="preserve">materiál </w:t>
            </w:r>
          </w:p>
        </w:tc>
        <w:tc>
          <w:tcPr>
            <w:tcW w:w="2438" w:type="dxa"/>
          </w:tcPr>
          <w:p w14:paraId="3E906A45" w14:textId="5EFE02A6" w:rsidR="000F273D" w:rsidRPr="00825126" w:rsidRDefault="00586936" w:rsidP="00825126">
            <w:pPr>
              <w:jc w:val="right"/>
              <w:rPr>
                <w:sz w:val="22"/>
                <w:szCs w:val="22"/>
              </w:rPr>
            </w:pPr>
            <w:r w:rsidRPr="00586936">
              <w:rPr>
                <w:sz w:val="22"/>
                <w:szCs w:val="22"/>
              </w:rPr>
              <w:t>160 600</w:t>
            </w:r>
          </w:p>
        </w:tc>
      </w:tr>
      <w:tr w:rsidR="000F273D" w:rsidRPr="00825126" w14:paraId="58E525E4" w14:textId="77777777" w:rsidTr="0036514D">
        <w:tc>
          <w:tcPr>
            <w:tcW w:w="6634" w:type="dxa"/>
          </w:tcPr>
          <w:p w14:paraId="3807F874" w14:textId="77777777" w:rsidR="000F273D" w:rsidRPr="00825126" w:rsidRDefault="000F273D" w:rsidP="000F273D">
            <w:pPr>
              <w:rPr>
                <w:sz w:val="22"/>
                <w:szCs w:val="22"/>
              </w:rPr>
            </w:pPr>
            <w:r w:rsidRPr="00825126">
              <w:rPr>
                <w:sz w:val="22"/>
                <w:szCs w:val="22"/>
              </w:rPr>
              <w:t>autodoprava</w:t>
            </w:r>
          </w:p>
        </w:tc>
        <w:tc>
          <w:tcPr>
            <w:tcW w:w="2438" w:type="dxa"/>
          </w:tcPr>
          <w:p w14:paraId="24D34AB1" w14:textId="7256830A" w:rsidR="000F273D" w:rsidRPr="00825126" w:rsidRDefault="00586936" w:rsidP="00825126">
            <w:pPr>
              <w:jc w:val="right"/>
              <w:rPr>
                <w:sz w:val="22"/>
                <w:szCs w:val="22"/>
              </w:rPr>
            </w:pPr>
            <w:r w:rsidRPr="00586936">
              <w:rPr>
                <w:sz w:val="22"/>
                <w:szCs w:val="22"/>
              </w:rPr>
              <w:t>45 723</w:t>
            </w:r>
          </w:p>
        </w:tc>
      </w:tr>
      <w:tr w:rsidR="000F273D" w:rsidRPr="00825126" w14:paraId="069D89DD" w14:textId="77777777" w:rsidTr="0036514D">
        <w:tc>
          <w:tcPr>
            <w:tcW w:w="6634" w:type="dxa"/>
          </w:tcPr>
          <w:p w14:paraId="69EB8181" w14:textId="77777777" w:rsidR="000F273D" w:rsidRPr="00825126" w:rsidRDefault="000F273D" w:rsidP="000F273D">
            <w:pPr>
              <w:rPr>
                <w:sz w:val="22"/>
                <w:szCs w:val="22"/>
              </w:rPr>
            </w:pPr>
            <w:r w:rsidRPr="00825126">
              <w:rPr>
                <w:sz w:val="22"/>
                <w:szCs w:val="22"/>
              </w:rPr>
              <w:t>rutinná a štandardná údržba budovy a prevádzkových zariadení</w:t>
            </w:r>
          </w:p>
        </w:tc>
        <w:tc>
          <w:tcPr>
            <w:tcW w:w="2438" w:type="dxa"/>
          </w:tcPr>
          <w:p w14:paraId="0AD41E5D" w14:textId="4E94F833" w:rsidR="000F273D" w:rsidRPr="00825126" w:rsidRDefault="00586936" w:rsidP="00825126">
            <w:pPr>
              <w:jc w:val="right"/>
              <w:rPr>
                <w:sz w:val="22"/>
                <w:szCs w:val="22"/>
              </w:rPr>
            </w:pPr>
            <w:r w:rsidRPr="00586936">
              <w:rPr>
                <w:sz w:val="22"/>
                <w:szCs w:val="22"/>
              </w:rPr>
              <w:t>108 438</w:t>
            </w:r>
          </w:p>
        </w:tc>
      </w:tr>
      <w:tr w:rsidR="000F273D" w:rsidRPr="00825126" w14:paraId="6B18C387" w14:textId="77777777" w:rsidTr="0036514D">
        <w:tc>
          <w:tcPr>
            <w:tcW w:w="6634" w:type="dxa"/>
          </w:tcPr>
          <w:p w14:paraId="64BE9FFA" w14:textId="77777777" w:rsidR="000F273D" w:rsidRPr="00825126" w:rsidRDefault="000F273D" w:rsidP="000F273D">
            <w:pPr>
              <w:rPr>
                <w:sz w:val="22"/>
                <w:szCs w:val="22"/>
              </w:rPr>
            </w:pPr>
            <w:r w:rsidRPr="00825126">
              <w:rPr>
                <w:sz w:val="22"/>
                <w:szCs w:val="22"/>
              </w:rPr>
              <w:t>nájomné za prenájom kancelárskych priestorov, garáže, rokovacích miestností a zariadení</w:t>
            </w:r>
          </w:p>
        </w:tc>
        <w:tc>
          <w:tcPr>
            <w:tcW w:w="2438" w:type="dxa"/>
            <w:vAlign w:val="center"/>
          </w:tcPr>
          <w:p w14:paraId="000C189C" w14:textId="5CB7902A" w:rsidR="000F273D" w:rsidRPr="00825126" w:rsidRDefault="00586936" w:rsidP="00825126">
            <w:pPr>
              <w:jc w:val="right"/>
              <w:rPr>
                <w:sz w:val="22"/>
                <w:szCs w:val="22"/>
              </w:rPr>
            </w:pPr>
            <w:r w:rsidRPr="00586936">
              <w:rPr>
                <w:sz w:val="22"/>
                <w:szCs w:val="22"/>
              </w:rPr>
              <w:t>79 204</w:t>
            </w:r>
          </w:p>
        </w:tc>
      </w:tr>
      <w:tr w:rsidR="000F273D" w:rsidRPr="00825126" w14:paraId="5F3EE95B" w14:textId="77777777" w:rsidTr="005829DC">
        <w:tc>
          <w:tcPr>
            <w:tcW w:w="6634" w:type="dxa"/>
          </w:tcPr>
          <w:p w14:paraId="30120E5A" w14:textId="77777777" w:rsidR="000F273D" w:rsidRPr="00825126" w:rsidRDefault="000F273D" w:rsidP="000F273D">
            <w:pPr>
              <w:rPr>
                <w:sz w:val="22"/>
                <w:szCs w:val="22"/>
              </w:rPr>
            </w:pPr>
            <w:r w:rsidRPr="00825126">
              <w:rPr>
                <w:sz w:val="22"/>
                <w:szCs w:val="22"/>
              </w:rPr>
              <w:t>služby (tlačiarenské, upratovacie, prekladateľské, informačné, revízie zariadení, školenia, inzercia, stravovanie, poplatky banke, prídel do Sociálneho fondu, náhrady – rekreácie, reprezentačné a iné)</w:t>
            </w:r>
          </w:p>
        </w:tc>
        <w:tc>
          <w:tcPr>
            <w:tcW w:w="2438" w:type="dxa"/>
            <w:shd w:val="clear" w:color="auto" w:fill="auto"/>
            <w:vAlign w:val="center"/>
          </w:tcPr>
          <w:p w14:paraId="3FBD60FF" w14:textId="04883143" w:rsidR="000F273D" w:rsidRPr="005829DC" w:rsidRDefault="00586936" w:rsidP="00825126">
            <w:pPr>
              <w:jc w:val="right"/>
              <w:rPr>
                <w:sz w:val="22"/>
                <w:szCs w:val="22"/>
              </w:rPr>
            </w:pPr>
            <w:r w:rsidRPr="00586936">
              <w:rPr>
                <w:sz w:val="22"/>
                <w:szCs w:val="22"/>
              </w:rPr>
              <w:t>605 323</w:t>
            </w:r>
          </w:p>
        </w:tc>
      </w:tr>
      <w:bookmarkEnd w:id="66"/>
      <w:tr w:rsidR="000F273D" w:rsidRPr="00825126" w14:paraId="11837AB9" w14:textId="77777777" w:rsidTr="005829DC">
        <w:trPr>
          <w:trHeight w:val="279"/>
        </w:trPr>
        <w:tc>
          <w:tcPr>
            <w:tcW w:w="6634" w:type="dxa"/>
            <w:shd w:val="clear" w:color="auto" w:fill="FFFFFF" w:themeFill="background1"/>
            <w:vAlign w:val="center"/>
          </w:tcPr>
          <w:p w14:paraId="0B8B3648" w14:textId="77777777" w:rsidR="000F273D" w:rsidRPr="00825126" w:rsidRDefault="000F273D" w:rsidP="000F273D">
            <w:pPr>
              <w:rPr>
                <w:b/>
                <w:bCs/>
                <w:sz w:val="22"/>
                <w:szCs w:val="22"/>
              </w:rPr>
            </w:pPr>
            <w:r w:rsidRPr="00825126">
              <w:rPr>
                <w:b/>
                <w:bCs/>
                <w:sz w:val="22"/>
                <w:szCs w:val="22"/>
              </w:rPr>
              <w:t>Spolu</w:t>
            </w:r>
          </w:p>
        </w:tc>
        <w:tc>
          <w:tcPr>
            <w:tcW w:w="2438" w:type="dxa"/>
            <w:shd w:val="clear" w:color="auto" w:fill="auto"/>
            <w:vAlign w:val="center"/>
          </w:tcPr>
          <w:p w14:paraId="76AE230C" w14:textId="571A0ED7" w:rsidR="000F273D" w:rsidRPr="005829DC" w:rsidRDefault="00586936" w:rsidP="00825126">
            <w:pPr>
              <w:jc w:val="right"/>
              <w:rPr>
                <w:b/>
                <w:bCs/>
                <w:sz w:val="22"/>
                <w:szCs w:val="22"/>
              </w:rPr>
            </w:pPr>
            <w:r w:rsidRPr="00586936">
              <w:rPr>
                <w:b/>
                <w:bCs/>
                <w:sz w:val="22"/>
                <w:szCs w:val="22"/>
              </w:rPr>
              <w:t>1 243 916</w:t>
            </w:r>
          </w:p>
        </w:tc>
      </w:tr>
    </w:tbl>
    <w:p w14:paraId="0461D8B1" w14:textId="2265905F" w:rsidR="00AF3821" w:rsidRDefault="00AF3821" w:rsidP="000F273D">
      <w:pPr>
        <w:jc w:val="both"/>
        <w:rPr>
          <w:b/>
          <w:i/>
          <w:szCs w:val="18"/>
        </w:rPr>
      </w:pPr>
    </w:p>
    <w:p w14:paraId="2D6054F8" w14:textId="62651A27" w:rsidR="00586936" w:rsidRPr="00882A49" w:rsidRDefault="00586936" w:rsidP="000F273D">
      <w:pPr>
        <w:jc w:val="both"/>
        <w:rPr>
          <w:bCs/>
          <w:iCs/>
          <w:szCs w:val="18"/>
        </w:rPr>
      </w:pPr>
      <w:r w:rsidRPr="00882A49">
        <w:rPr>
          <w:bCs/>
          <w:iCs/>
          <w:szCs w:val="18"/>
        </w:rPr>
        <w:t xml:space="preserve">ÚJD SR v roku 2024 prijal prostriedky EÚ a prostriedky na </w:t>
      </w:r>
      <w:r w:rsidRPr="006448F0">
        <w:rPr>
          <w:bCs/>
          <w:iCs/>
          <w:szCs w:val="18"/>
        </w:rPr>
        <w:t xml:space="preserve">spolufinancovanie zo </w:t>
      </w:r>
      <w:r w:rsidR="006448F0">
        <w:rPr>
          <w:bCs/>
          <w:iCs/>
          <w:szCs w:val="18"/>
        </w:rPr>
        <w:t>štátneho rozpočtu (ďalej len „ŠR“)</w:t>
      </w:r>
      <w:r w:rsidRPr="00882A49">
        <w:rPr>
          <w:bCs/>
          <w:iCs/>
          <w:szCs w:val="18"/>
        </w:rPr>
        <w:t xml:space="preserve"> v celkovej sume 27 821 eur, ktoré predstavovali refundáciu bežných výdavkov (</w:t>
      </w:r>
      <w:r w:rsidR="00552BE7">
        <w:rPr>
          <w:bCs/>
          <w:iCs/>
          <w:szCs w:val="18"/>
        </w:rPr>
        <w:t>ďalej len „</w:t>
      </w:r>
      <w:r w:rsidRPr="00882A49">
        <w:rPr>
          <w:bCs/>
          <w:iCs/>
          <w:szCs w:val="18"/>
        </w:rPr>
        <w:t>BV</w:t>
      </w:r>
      <w:r w:rsidR="00552BE7">
        <w:rPr>
          <w:bCs/>
          <w:iCs/>
          <w:szCs w:val="18"/>
        </w:rPr>
        <w:t>“</w:t>
      </w:r>
      <w:r w:rsidRPr="00882A49">
        <w:rPr>
          <w:bCs/>
          <w:iCs/>
          <w:szCs w:val="18"/>
        </w:rPr>
        <w:t>) z roku 2023 a boli zrefundované na výdavky spojené s prevádzkou budovy v sume 27 821 eur.  Išlo o nenávratný finančný príspevok (zdroje - Európskeho fondu regionálneho rozvoja), ktorý úrad čerpal v priebehu roka 2023 na finančné zabezpečenie projektu č. 311071AHX1 Úrad jadrového dozoru Slovenskej republiky „Zvýšenie úrovne informačnej a kybernetickej bezpečnosti ÚJD SR“.</w:t>
      </w:r>
    </w:p>
    <w:p w14:paraId="21FDF942" w14:textId="77777777" w:rsidR="008E2049" w:rsidRPr="00882A49" w:rsidRDefault="008E2049" w:rsidP="000F273D">
      <w:pPr>
        <w:jc w:val="both"/>
        <w:rPr>
          <w:bCs/>
          <w:iCs/>
          <w:szCs w:val="18"/>
        </w:rPr>
      </w:pPr>
    </w:p>
    <w:p w14:paraId="3E5ACA60" w14:textId="39488034" w:rsidR="00586936" w:rsidRPr="00882A49" w:rsidRDefault="008E2049" w:rsidP="000F273D">
      <w:pPr>
        <w:jc w:val="both"/>
        <w:rPr>
          <w:bCs/>
          <w:iCs/>
          <w:sz w:val="22"/>
          <w:szCs w:val="22"/>
        </w:rPr>
      </w:pPr>
      <w:r w:rsidRPr="00882A49">
        <w:rPr>
          <w:bCs/>
          <w:iCs/>
          <w:sz w:val="22"/>
          <w:szCs w:val="22"/>
        </w:rPr>
        <w:t>Tab. 1</w:t>
      </w:r>
      <w:r w:rsidR="00D13F98">
        <w:rPr>
          <w:bCs/>
          <w:iCs/>
          <w:sz w:val="22"/>
          <w:szCs w:val="22"/>
        </w:rPr>
        <w:t>2</w:t>
      </w:r>
      <w:r w:rsidRPr="00882A49">
        <w:rPr>
          <w:bCs/>
          <w:iCs/>
          <w:sz w:val="22"/>
          <w:szCs w:val="22"/>
        </w:rPr>
        <w:t xml:space="preserve"> Čerpanie BV v roku 2024 (výdavkový účet 2 – nenávratný finančný príspevok)</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2438"/>
      </w:tblGrid>
      <w:tr w:rsidR="008E2049" w:rsidRPr="00882A49" w14:paraId="63817AF2" w14:textId="77777777" w:rsidTr="00AF6844">
        <w:trPr>
          <w:trHeight w:val="273"/>
        </w:trPr>
        <w:tc>
          <w:tcPr>
            <w:tcW w:w="6634" w:type="dxa"/>
            <w:shd w:val="clear" w:color="auto" w:fill="D9D9D9" w:themeFill="background1" w:themeFillShade="D9"/>
            <w:vAlign w:val="center"/>
          </w:tcPr>
          <w:p w14:paraId="465DE66A" w14:textId="77777777" w:rsidR="008E2049" w:rsidRPr="00882A49" w:rsidRDefault="008E2049" w:rsidP="00AF6844">
            <w:pPr>
              <w:jc w:val="center"/>
              <w:rPr>
                <w:b/>
                <w:sz w:val="22"/>
                <w:szCs w:val="22"/>
              </w:rPr>
            </w:pPr>
            <w:r w:rsidRPr="00882A49">
              <w:rPr>
                <w:b/>
                <w:sz w:val="22"/>
                <w:szCs w:val="22"/>
              </w:rPr>
              <w:t>Položka</w:t>
            </w:r>
          </w:p>
        </w:tc>
        <w:tc>
          <w:tcPr>
            <w:tcW w:w="2438" w:type="dxa"/>
            <w:shd w:val="clear" w:color="auto" w:fill="D9D9D9" w:themeFill="background1" w:themeFillShade="D9"/>
            <w:vAlign w:val="center"/>
          </w:tcPr>
          <w:p w14:paraId="1B5D4089" w14:textId="77777777" w:rsidR="008E2049" w:rsidRPr="00882A49" w:rsidRDefault="008E2049" w:rsidP="00AF6844">
            <w:pPr>
              <w:jc w:val="center"/>
              <w:rPr>
                <w:b/>
                <w:sz w:val="22"/>
                <w:szCs w:val="22"/>
              </w:rPr>
            </w:pPr>
            <w:r w:rsidRPr="00882A49">
              <w:rPr>
                <w:b/>
                <w:sz w:val="22"/>
                <w:szCs w:val="22"/>
              </w:rPr>
              <w:t>Suma (v eurách)</w:t>
            </w:r>
          </w:p>
        </w:tc>
      </w:tr>
      <w:tr w:rsidR="008E2049" w:rsidRPr="00882A49" w14:paraId="6BB99B18" w14:textId="77777777" w:rsidTr="00AF6844">
        <w:tc>
          <w:tcPr>
            <w:tcW w:w="6634" w:type="dxa"/>
          </w:tcPr>
          <w:p w14:paraId="79567213" w14:textId="53813DEF" w:rsidR="008E2049" w:rsidRPr="00882A49" w:rsidRDefault="008E2049" w:rsidP="00AF6844">
            <w:pPr>
              <w:rPr>
                <w:sz w:val="22"/>
                <w:szCs w:val="22"/>
              </w:rPr>
            </w:pPr>
            <w:r w:rsidRPr="00882A49">
              <w:rPr>
                <w:sz w:val="22"/>
                <w:szCs w:val="22"/>
              </w:rPr>
              <w:t xml:space="preserve">platby </w:t>
            </w:r>
            <w:r w:rsidRPr="0042622D">
              <w:rPr>
                <w:sz w:val="22"/>
                <w:szCs w:val="22"/>
              </w:rPr>
              <w:t>štátnej RO</w:t>
            </w:r>
            <w:r w:rsidRPr="00882A49">
              <w:rPr>
                <w:sz w:val="22"/>
                <w:szCs w:val="22"/>
              </w:rPr>
              <w:t xml:space="preserve"> na projekty EÚ</w:t>
            </w:r>
          </w:p>
        </w:tc>
        <w:tc>
          <w:tcPr>
            <w:tcW w:w="2438" w:type="dxa"/>
          </w:tcPr>
          <w:p w14:paraId="04632CC8" w14:textId="60513BD4" w:rsidR="008E2049" w:rsidRPr="00882A49" w:rsidRDefault="008E2049" w:rsidP="00AF6844">
            <w:pPr>
              <w:jc w:val="right"/>
              <w:rPr>
                <w:sz w:val="22"/>
                <w:szCs w:val="22"/>
              </w:rPr>
            </w:pPr>
            <w:r w:rsidRPr="00882A49">
              <w:rPr>
                <w:sz w:val="22"/>
                <w:szCs w:val="22"/>
              </w:rPr>
              <w:t>27 821</w:t>
            </w:r>
          </w:p>
        </w:tc>
      </w:tr>
      <w:tr w:rsidR="008E2049" w:rsidRPr="00882A49" w14:paraId="221AB02D" w14:textId="77777777" w:rsidTr="00AF6844">
        <w:trPr>
          <w:trHeight w:val="279"/>
        </w:trPr>
        <w:tc>
          <w:tcPr>
            <w:tcW w:w="6634" w:type="dxa"/>
            <w:shd w:val="clear" w:color="auto" w:fill="FFFFFF" w:themeFill="background1"/>
            <w:vAlign w:val="center"/>
          </w:tcPr>
          <w:p w14:paraId="6BCB327E" w14:textId="77777777" w:rsidR="008E2049" w:rsidRPr="00882A49" w:rsidRDefault="008E2049" w:rsidP="00AF6844">
            <w:pPr>
              <w:rPr>
                <w:b/>
                <w:bCs/>
                <w:sz w:val="22"/>
                <w:szCs w:val="22"/>
              </w:rPr>
            </w:pPr>
            <w:r w:rsidRPr="00882A49">
              <w:rPr>
                <w:b/>
                <w:bCs/>
                <w:sz w:val="22"/>
                <w:szCs w:val="22"/>
              </w:rPr>
              <w:t>Spolu</w:t>
            </w:r>
          </w:p>
        </w:tc>
        <w:tc>
          <w:tcPr>
            <w:tcW w:w="2438" w:type="dxa"/>
            <w:shd w:val="clear" w:color="auto" w:fill="auto"/>
            <w:vAlign w:val="center"/>
          </w:tcPr>
          <w:p w14:paraId="6D5CF472" w14:textId="6D0D83CA" w:rsidR="008E2049" w:rsidRPr="00882A49" w:rsidRDefault="008E2049" w:rsidP="00AF6844">
            <w:pPr>
              <w:jc w:val="right"/>
              <w:rPr>
                <w:b/>
                <w:bCs/>
                <w:sz w:val="22"/>
                <w:szCs w:val="22"/>
              </w:rPr>
            </w:pPr>
            <w:r w:rsidRPr="00882A49">
              <w:rPr>
                <w:b/>
                <w:bCs/>
                <w:sz w:val="22"/>
                <w:szCs w:val="22"/>
              </w:rPr>
              <w:t>27 821</w:t>
            </w:r>
          </w:p>
        </w:tc>
      </w:tr>
    </w:tbl>
    <w:p w14:paraId="64F88E69" w14:textId="77777777" w:rsidR="008E2049" w:rsidRPr="00882A49" w:rsidRDefault="008E2049" w:rsidP="000F273D">
      <w:pPr>
        <w:jc w:val="both"/>
        <w:rPr>
          <w:bCs/>
          <w:iCs/>
          <w:szCs w:val="18"/>
        </w:rPr>
      </w:pPr>
    </w:p>
    <w:p w14:paraId="523639B5" w14:textId="7DAA2BDE" w:rsidR="000F273D" w:rsidRPr="00882A49" w:rsidRDefault="000F273D" w:rsidP="000F273D">
      <w:pPr>
        <w:jc w:val="both"/>
        <w:rPr>
          <w:b/>
          <w:i/>
          <w:szCs w:val="18"/>
        </w:rPr>
      </w:pPr>
      <w:r w:rsidRPr="00882A49">
        <w:rPr>
          <w:b/>
          <w:i/>
          <w:szCs w:val="18"/>
        </w:rPr>
        <w:t>Kapitálové výdavky</w:t>
      </w:r>
    </w:p>
    <w:p w14:paraId="1C519804" w14:textId="6838187A" w:rsidR="00A522BF" w:rsidRPr="00882A49" w:rsidRDefault="00A522BF" w:rsidP="000F273D">
      <w:pPr>
        <w:spacing w:before="240"/>
        <w:jc w:val="both"/>
        <w:rPr>
          <w:szCs w:val="18"/>
        </w:rPr>
      </w:pPr>
      <w:r w:rsidRPr="00882A49">
        <w:rPr>
          <w:szCs w:val="18"/>
        </w:rPr>
        <w:t>V rámci kategórie kapitálových výdavkov ÚJD SR použil rozpočtové prostriedky v celkovej sume 429 773 eur na obstaranie kapitálových aktív nasledovne:</w:t>
      </w:r>
    </w:p>
    <w:p w14:paraId="05CAB1ED" w14:textId="77777777" w:rsidR="000F273D" w:rsidRPr="00882A49" w:rsidRDefault="000F273D" w:rsidP="000F273D">
      <w:pPr>
        <w:jc w:val="both"/>
        <w:rPr>
          <w:szCs w:val="18"/>
        </w:rPr>
      </w:pPr>
    </w:p>
    <w:p w14:paraId="6583E769" w14:textId="77777777" w:rsidR="00AB39BB" w:rsidRDefault="00AB39BB">
      <w:pPr>
        <w:spacing w:after="200" w:line="276" w:lineRule="auto"/>
        <w:rPr>
          <w:sz w:val="22"/>
          <w:szCs w:val="22"/>
        </w:rPr>
      </w:pPr>
      <w:r>
        <w:rPr>
          <w:sz w:val="22"/>
          <w:szCs w:val="22"/>
        </w:rPr>
        <w:br w:type="page"/>
      </w:r>
    </w:p>
    <w:p w14:paraId="4C1881BA" w14:textId="1150D83A" w:rsidR="000F273D" w:rsidRPr="00882A49" w:rsidRDefault="000F273D" w:rsidP="00D04D3E">
      <w:pPr>
        <w:jc w:val="both"/>
        <w:rPr>
          <w:sz w:val="22"/>
          <w:szCs w:val="22"/>
        </w:rPr>
      </w:pPr>
      <w:r w:rsidRPr="00882A49">
        <w:rPr>
          <w:sz w:val="22"/>
          <w:szCs w:val="22"/>
        </w:rPr>
        <w:lastRenderedPageBreak/>
        <w:t xml:space="preserve">Tab. </w:t>
      </w:r>
      <w:r w:rsidR="002A1E40" w:rsidRPr="00882A49">
        <w:rPr>
          <w:sz w:val="22"/>
          <w:szCs w:val="22"/>
        </w:rPr>
        <w:t>1</w:t>
      </w:r>
      <w:r w:rsidR="00D13F98">
        <w:rPr>
          <w:sz w:val="22"/>
          <w:szCs w:val="22"/>
        </w:rPr>
        <w:t>3</w:t>
      </w:r>
      <w:r w:rsidRPr="00882A49">
        <w:rPr>
          <w:sz w:val="22"/>
          <w:szCs w:val="22"/>
        </w:rPr>
        <w:t xml:space="preserve"> Čerpanie kapitálových výdavkov v roku 202</w:t>
      </w:r>
      <w:r w:rsidR="00A522BF" w:rsidRPr="00882A49">
        <w:rPr>
          <w:sz w:val="22"/>
          <w:szCs w:val="22"/>
        </w:rPr>
        <w:t>4</w:t>
      </w:r>
      <w:r w:rsidRPr="00882A49">
        <w:rPr>
          <w:sz w:val="22"/>
          <w:szCs w:val="22"/>
        </w:rPr>
        <w:t xml:space="preserve"> (výdavkový účet 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2438"/>
      </w:tblGrid>
      <w:tr w:rsidR="000F273D" w:rsidRPr="00882A49" w14:paraId="260FC2C5" w14:textId="77777777" w:rsidTr="0036514D">
        <w:trPr>
          <w:trHeight w:val="310"/>
        </w:trPr>
        <w:tc>
          <w:tcPr>
            <w:tcW w:w="6634" w:type="dxa"/>
            <w:shd w:val="clear" w:color="auto" w:fill="D9D9D9" w:themeFill="background1" w:themeFillShade="D9"/>
          </w:tcPr>
          <w:p w14:paraId="633591FD" w14:textId="77777777" w:rsidR="000F273D" w:rsidRPr="00882A49" w:rsidRDefault="000F273D" w:rsidP="000F273D">
            <w:pPr>
              <w:jc w:val="center"/>
              <w:rPr>
                <w:b/>
                <w:sz w:val="22"/>
                <w:szCs w:val="22"/>
              </w:rPr>
            </w:pPr>
            <w:r w:rsidRPr="00882A49">
              <w:rPr>
                <w:b/>
                <w:sz w:val="22"/>
                <w:szCs w:val="22"/>
              </w:rPr>
              <w:t>Položka</w:t>
            </w:r>
          </w:p>
        </w:tc>
        <w:tc>
          <w:tcPr>
            <w:tcW w:w="2438" w:type="dxa"/>
            <w:shd w:val="clear" w:color="auto" w:fill="D9D9D9" w:themeFill="background1" w:themeFillShade="D9"/>
          </w:tcPr>
          <w:p w14:paraId="192E7373" w14:textId="77777777" w:rsidR="000F273D" w:rsidRPr="00882A49" w:rsidRDefault="000F273D" w:rsidP="000F273D">
            <w:pPr>
              <w:ind w:left="-1667"/>
              <w:jc w:val="right"/>
              <w:rPr>
                <w:b/>
                <w:sz w:val="22"/>
                <w:szCs w:val="22"/>
              </w:rPr>
            </w:pPr>
            <w:r w:rsidRPr="00882A49">
              <w:rPr>
                <w:b/>
                <w:sz w:val="22"/>
                <w:szCs w:val="22"/>
              </w:rPr>
              <w:t>Suma (v eurách)</w:t>
            </w:r>
          </w:p>
        </w:tc>
      </w:tr>
      <w:tr w:rsidR="00A522BF" w:rsidRPr="00882A49" w14:paraId="4539E4BB" w14:textId="77777777" w:rsidTr="0036514D">
        <w:tc>
          <w:tcPr>
            <w:tcW w:w="6634" w:type="dxa"/>
            <w:shd w:val="clear" w:color="auto" w:fill="FFFFFF"/>
          </w:tcPr>
          <w:p w14:paraId="45AFB7B0" w14:textId="5135F076" w:rsidR="00A522BF" w:rsidRPr="00882A49" w:rsidRDefault="00A522BF" w:rsidP="00A522BF">
            <w:pPr>
              <w:rPr>
                <w:sz w:val="22"/>
                <w:szCs w:val="22"/>
              </w:rPr>
            </w:pPr>
            <w:r w:rsidRPr="00882A49">
              <w:rPr>
                <w:sz w:val="22"/>
                <w:szCs w:val="22"/>
              </w:rPr>
              <w:t>nákup klimatizačných zariadení</w:t>
            </w:r>
          </w:p>
        </w:tc>
        <w:tc>
          <w:tcPr>
            <w:tcW w:w="2438" w:type="dxa"/>
            <w:shd w:val="clear" w:color="auto" w:fill="FFFFFF"/>
          </w:tcPr>
          <w:p w14:paraId="0126B6A7" w14:textId="1FF63237" w:rsidR="00A522BF" w:rsidRPr="00882A49" w:rsidRDefault="00A522BF" w:rsidP="00A522BF">
            <w:pPr>
              <w:jc w:val="right"/>
              <w:rPr>
                <w:sz w:val="22"/>
                <w:szCs w:val="22"/>
              </w:rPr>
            </w:pPr>
            <w:r w:rsidRPr="00882A49">
              <w:rPr>
                <w:sz w:val="22"/>
                <w:szCs w:val="22"/>
              </w:rPr>
              <w:t>11 022</w:t>
            </w:r>
          </w:p>
        </w:tc>
      </w:tr>
      <w:tr w:rsidR="00A522BF" w:rsidRPr="00882A49" w14:paraId="7C393FF6" w14:textId="77777777" w:rsidTr="0036514D">
        <w:tc>
          <w:tcPr>
            <w:tcW w:w="6634" w:type="dxa"/>
            <w:shd w:val="clear" w:color="auto" w:fill="FFFFFF"/>
          </w:tcPr>
          <w:p w14:paraId="116BABC5" w14:textId="19DC9A5F" w:rsidR="00A522BF" w:rsidRPr="00882A49" w:rsidRDefault="00A522BF" w:rsidP="00A522BF">
            <w:pPr>
              <w:rPr>
                <w:sz w:val="22"/>
                <w:szCs w:val="22"/>
              </w:rPr>
            </w:pPr>
            <w:r w:rsidRPr="00882A49">
              <w:rPr>
                <w:sz w:val="22"/>
                <w:szCs w:val="22"/>
              </w:rPr>
              <w:t>nákup fotoaparátu</w:t>
            </w:r>
          </w:p>
        </w:tc>
        <w:tc>
          <w:tcPr>
            <w:tcW w:w="2438" w:type="dxa"/>
            <w:shd w:val="clear" w:color="auto" w:fill="FFFFFF"/>
          </w:tcPr>
          <w:p w14:paraId="6AA94E99" w14:textId="42F13588" w:rsidR="00A522BF" w:rsidRPr="00882A49" w:rsidRDefault="00A522BF" w:rsidP="00A522BF">
            <w:pPr>
              <w:jc w:val="right"/>
              <w:rPr>
                <w:sz w:val="22"/>
                <w:szCs w:val="22"/>
              </w:rPr>
            </w:pPr>
            <w:r w:rsidRPr="00882A49">
              <w:rPr>
                <w:sz w:val="22"/>
                <w:szCs w:val="22"/>
              </w:rPr>
              <w:t>4 598</w:t>
            </w:r>
          </w:p>
        </w:tc>
      </w:tr>
      <w:tr w:rsidR="00A522BF" w:rsidRPr="00882A49" w14:paraId="72A79A3C" w14:textId="77777777" w:rsidTr="0036514D">
        <w:tc>
          <w:tcPr>
            <w:tcW w:w="6634" w:type="dxa"/>
            <w:shd w:val="clear" w:color="auto" w:fill="FFFFFF"/>
          </w:tcPr>
          <w:p w14:paraId="54DB01F7" w14:textId="28A2A320" w:rsidR="00A522BF" w:rsidRPr="00882A49" w:rsidRDefault="00A522BF" w:rsidP="00A522BF">
            <w:pPr>
              <w:rPr>
                <w:sz w:val="22"/>
                <w:szCs w:val="22"/>
              </w:rPr>
            </w:pPr>
            <w:r w:rsidRPr="00882A49">
              <w:rPr>
                <w:sz w:val="22"/>
                <w:szCs w:val="22"/>
              </w:rPr>
              <w:t>nákup (</w:t>
            </w:r>
            <w:proofErr w:type="spellStart"/>
            <w:r w:rsidRPr="00882A49">
              <w:rPr>
                <w:sz w:val="22"/>
                <w:szCs w:val="22"/>
              </w:rPr>
              <w:t>elektrorozvody</w:t>
            </w:r>
            <w:proofErr w:type="spellEnd"/>
            <w:r w:rsidRPr="00882A49">
              <w:rPr>
                <w:sz w:val="22"/>
                <w:szCs w:val="22"/>
              </w:rPr>
              <w:t>)</w:t>
            </w:r>
          </w:p>
        </w:tc>
        <w:tc>
          <w:tcPr>
            <w:tcW w:w="2438" w:type="dxa"/>
            <w:shd w:val="clear" w:color="auto" w:fill="FFFFFF"/>
          </w:tcPr>
          <w:p w14:paraId="70E740A3" w14:textId="3A9F7C2C" w:rsidR="00A522BF" w:rsidRPr="00882A49" w:rsidRDefault="00A522BF" w:rsidP="00A522BF">
            <w:pPr>
              <w:jc w:val="right"/>
              <w:rPr>
                <w:sz w:val="22"/>
                <w:szCs w:val="22"/>
              </w:rPr>
            </w:pPr>
            <w:r w:rsidRPr="00882A49">
              <w:rPr>
                <w:sz w:val="22"/>
                <w:szCs w:val="22"/>
              </w:rPr>
              <w:t>27 574</w:t>
            </w:r>
          </w:p>
        </w:tc>
      </w:tr>
      <w:tr w:rsidR="00A522BF" w:rsidRPr="00882A49" w14:paraId="6BF95722" w14:textId="77777777" w:rsidTr="0036514D">
        <w:tc>
          <w:tcPr>
            <w:tcW w:w="6634" w:type="dxa"/>
            <w:shd w:val="clear" w:color="auto" w:fill="FFFFFF"/>
          </w:tcPr>
          <w:p w14:paraId="5B7D4BD5" w14:textId="60BACEE5" w:rsidR="00A522BF" w:rsidRPr="00882A49" w:rsidRDefault="00A522BF" w:rsidP="00A522BF">
            <w:pPr>
              <w:rPr>
                <w:sz w:val="22"/>
                <w:szCs w:val="22"/>
              </w:rPr>
            </w:pPr>
            <w:r w:rsidRPr="00882A49">
              <w:rPr>
                <w:sz w:val="22"/>
                <w:szCs w:val="22"/>
              </w:rPr>
              <w:t>nákup služobných automobilov</w:t>
            </w:r>
          </w:p>
        </w:tc>
        <w:tc>
          <w:tcPr>
            <w:tcW w:w="2438" w:type="dxa"/>
            <w:shd w:val="clear" w:color="auto" w:fill="FFFFFF"/>
          </w:tcPr>
          <w:p w14:paraId="70D30F28" w14:textId="136B6EB1" w:rsidR="00A522BF" w:rsidRPr="00882A49" w:rsidRDefault="00A522BF" w:rsidP="00A522BF">
            <w:pPr>
              <w:jc w:val="right"/>
              <w:rPr>
                <w:sz w:val="22"/>
                <w:szCs w:val="22"/>
              </w:rPr>
            </w:pPr>
            <w:r w:rsidRPr="00882A49">
              <w:rPr>
                <w:sz w:val="22"/>
                <w:szCs w:val="22"/>
              </w:rPr>
              <w:t>74 300</w:t>
            </w:r>
          </w:p>
        </w:tc>
      </w:tr>
      <w:tr w:rsidR="00A522BF" w:rsidRPr="00882A49" w14:paraId="6F76CA99" w14:textId="77777777" w:rsidTr="0036514D">
        <w:tc>
          <w:tcPr>
            <w:tcW w:w="6634" w:type="dxa"/>
            <w:shd w:val="clear" w:color="auto" w:fill="FFFFFF"/>
          </w:tcPr>
          <w:p w14:paraId="5908BF63" w14:textId="77777777" w:rsidR="00A522BF" w:rsidRPr="00882A49" w:rsidRDefault="00A522BF" w:rsidP="00A522BF">
            <w:pPr>
              <w:rPr>
                <w:sz w:val="22"/>
                <w:szCs w:val="22"/>
              </w:rPr>
            </w:pPr>
            <w:r w:rsidRPr="00882A49">
              <w:rPr>
                <w:sz w:val="22"/>
                <w:szCs w:val="22"/>
              </w:rPr>
              <w:t>nákup licencií k SW</w:t>
            </w:r>
          </w:p>
        </w:tc>
        <w:tc>
          <w:tcPr>
            <w:tcW w:w="2438" w:type="dxa"/>
            <w:shd w:val="clear" w:color="auto" w:fill="FFFFFF"/>
          </w:tcPr>
          <w:p w14:paraId="3FA31C05" w14:textId="1B823373" w:rsidR="00A522BF" w:rsidRPr="00882A49" w:rsidRDefault="00A522BF" w:rsidP="00A522BF">
            <w:pPr>
              <w:jc w:val="right"/>
              <w:rPr>
                <w:sz w:val="22"/>
                <w:szCs w:val="22"/>
              </w:rPr>
            </w:pPr>
            <w:r w:rsidRPr="00882A49">
              <w:rPr>
                <w:sz w:val="22"/>
                <w:szCs w:val="22"/>
              </w:rPr>
              <w:t>33 911</w:t>
            </w:r>
          </w:p>
        </w:tc>
      </w:tr>
      <w:tr w:rsidR="00A522BF" w:rsidRPr="00882A49" w14:paraId="710F0543" w14:textId="77777777" w:rsidTr="0036514D">
        <w:tc>
          <w:tcPr>
            <w:tcW w:w="6634" w:type="dxa"/>
            <w:shd w:val="clear" w:color="auto" w:fill="FFFFFF"/>
          </w:tcPr>
          <w:p w14:paraId="3B47472B" w14:textId="11DCD30C" w:rsidR="00A522BF" w:rsidRPr="00882A49" w:rsidRDefault="00A522BF" w:rsidP="00A522BF">
            <w:pPr>
              <w:rPr>
                <w:sz w:val="22"/>
                <w:szCs w:val="22"/>
              </w:rPr>
            </w:pPr>
            <w:r w:rsidRPr="00882A49">
              <w:rPr>
                <w:sz w:val="22"/>
                <w:szCs w:val="22"/>
              </w:rPr>
              <w:t>rekonštrukcia SW (registratúrneho IS, webové sídlo)</w:t>
            </w:r>
          </w:p>
        </w:tc>
        <w:tc>
          <w:tcPr>
            <w:tcW w:w="2438" w:type="dxa"/>
            <w:shd w:val="clear" w:color="auto" w:fill="FFFFFF"/>
          </w:tcPr>
          <w:p w14:paraId="38821291" w14:textId="6CFC90A0" w:rsidR="00A522BF" w:rsidRPr="00882A49" w:rsidRDefault="00A522BF" w:rsidP="00A522BF">
            <w:pPr>
              <w:jc w:val="right"/>
              <w:rPr>
                <w:sz w:val="22"/>
                <w:szCs w:val="22"/>
              </w:rPr>
            </w:pPr>
            <w:r w:rsidRPr="00882A49">
              <w:rPr>
                <w:sz w:val="22"/>
                <w:szCs w:val="22"/>
              </w:rPr>
              <w:t>35 278</w:t>
            </w:r>
          </w:p>
        </w:tc>
      </w:tr>
      <w:tr w:rsidR="00A522BF" w:rsidRPr="00882A49" w14:paraId="20BD1D69" w14:textId="77777777" w:rsidTr="0036514D">
        <w:tc>
          <w:tcPr>
            <w:tcW w:w="6634" w:type="dxa"/>
            <w:shd w:val="clear" w:color="auto" w:fill="FFFFFF"/>
          </w:tcPr>
          <w:p w14:paraId="1E6A08E6" w14:textId="6B9AD04F" w:rsidR="00A522BF" w:rsidRPr="00882A49" w:rsidRDefault="00A522BF" w:rsidP="00A522BF">
            <w:pPr>
              <w:rPr>
                <w:sz w:val="22"/>
                <w:szCs w:val="22"/>
              </w:rPr>
            </w:pPr>
            <w:r w:rsidRPr="00882A49">
              <w:rPr>
                <w:sz w:val="22"/>
                <w:szCs w:val="22"/>
              </w:rPr>
              <w:t>nákup SW (dodanie architektúry a dizajnu IS na vizualizáciu)</w:t>
            </w:r>
          </w:p>
        </w:tc>
        <w:tc>
          <w:tcPr>
            <w:tcW w:w="2438" w:type="dxa"/>
            <w:shd w:val="clear" w:color="auto" w:fill="FFFFFF"/>
          </w:tcPr>
          <w:p w14:paraId="64E42DC7" w14:textId="30453FC4" w:rsidR="00A522BF" w:rsidRPr="00882A49" w:rsidRDefault="00A522BF" w:rsidP="00A522BF">
            <w:pPr>
              <w:jc w:val="right"/>
              <w:rPr>
                <w:sz w:val="22"/>
                <w:szCs w:val="22"/>
              </w:rPr>
            </w:pPr>
            <w:r w:rsidRPr="00882A49">
              <w:rPr>
                <w:sz w:val="22"/>
                <w:szCs w:val="22"/>
              </w:rPr>
              <w:t>48 048</w:t>
            </w:r>
          </w:p>
        </w:tc>
      </w:tr>
      <w:tr w:rsidR="00A522BF" w:rsidRPr="00882A49" w14:paraId="5AA93FB7" w14:textId="77777777" w:rsidTr="0036514D">
        <w:tc>
          <w:tcPr>
            <w:tcW w:w="6634" w:type="dxa"/>
            <w:shd w:val="clear" w:color="auto" w:fill="FFFFFF"/>
          </w:tcPr>
          <w:p w14:paraId="6849CB35" w14:textId="26126164" w:rsidR="00A522BF" w:rsidRPr="00882A49" w:rsidRDefault="00A522BF" w:rsidP="00A522BF">
            <w:pPr>
              <w:rPr>
                <w:sz w:val="22"/>
                <w:szCs w:val="22"/>
              </w:rPr>
            </w:pPr>
            <w:r w:rsidRPr="00882A49">
              <w:rPr>
                <w:sz w:val="22"/>
                <w:szCs w:val="22"/>
              </w:rPr>
              <w:t>rekonštrukcia SW (IS v CHO, havarijný portál)</w:t>
            </w:r>
          </w:p>
        </w:tc>
        <w:tc>
          <w:tcPr>
            <w:tcW w:w="2438" w:type="dxa"/>
            <w:shd w:val="clear" w:color="auto" w:fill="FFFFFF"/>
          </w:tcPr>
          <w:p w14:paraId="7205916F" w14:textId="6BABFC92" w:rsidR="00A522BF" w:rsidRPr="00882A49" w:rsidRDefault="00A522BF" w:rsidP="00A522BF">
            <w:pPr>
              <w:jc w:val="right"/>
              <w:rPr>
                <w:sz w:val="22"/>
                <w:szCs w:val="22"/>
              </w:rPr>
            </w:pPr>
            <w:r w:rsidRPr="00882A49">
              <w:rPr>
                <w:sz w:val="22"/>
                <w:szCs w:val="22"/>
              </w:rPr>
              <w:t>86 592</w:t>
            </w:r>
          </w:p>
        </w:tc>
      </w:tr>
      <w:tr w:rsidR="00A522BF" w:rsidRPr="00882A49" w14:paraId="37E9A588" w14:textId="77777777" w:rsidTr="0036514D">
        <w:tc>
          <w:tcPr>
            <w:tcW w:w="6634" w:type="dxa"/>
            <w:shd w:val="clear" w:color="auto" w:fill="FFFFFF"/>
          </w:tcPr>
          <w:p w14:paraId="3D5FDE92" w14:textId="7DEB3CB2" w:rsidR="00A522BF" w:rsidRPr="00882A49" w:rsidRDefault="00A522BF" w:rsidP="00A522BF">
            <w:pPr>
              <w:rPr>
                <w:sz w:val="22"/>
                <w:szCs w:val="22"/>
              </w:rPr>
            </w:pPr>
            <w:r w:rsidRPr="00882A49">
              <w:rPr>
                <w:sz w:val="22"/>
                <w:szCs w:val="22"/>
              </w:rPr>
              <w:t>nákup výpočtovej techniky (notebooky)</w:t>
            </w:r>
          </w:p>
        </w:tc>
        <w:tc>
          <w:tcPr>
            <w:tcW w:w="2438" w:type="dxa"/>
            <w:shd w:val="clear" w:color="auto" w:fill="FFFFFF"/>
          </w:tcPr>
          <w:p w14:paraId="21EA6321" w14:textId="400559FC" w:rsidR="00A522BF" w:rsidRPr="00882A49" w:rsidRDefault="00A522BF" w:rsidP="00A522BF">
            <w:pPr>
              <w:jc w:val="right"/>
              <w:rPr>
                <w:sz w:val="22"/>
                <w:szCs w:val="22"/>
              </w:rPr>
            </w:pPr>
            <w:r w:rsidRPr="00882A49">
              <w:rPr>
                <w:sz w:val="22"/>
                <w:szCs w:val="22"/>
              </w:rPr>
              <w:t>6 350</w:t>
            </w:r>
          </w:p>
        </w:tc>
      </w:tr>
      <w:tr w:rsidR="00A522BF" w:rsidRPr="00882A49" w14:paraId="09FC2675" w14:textId="77777777" w:rsidTr="0036514D">
        <w:tc>
          <w:tcPr>
            <w:tcW w:w="6634" w:type="dxa"/>
            <w:shd w:val="clear" w:color="auto" w:fill="FFFFFF"/>
          </w:tcPr>
          <w:p w14:paraId="29FE3B01" w14:textId="369A52CE" w:rsidR="00A522BF" w:rsidRPr="00882A49" w:rsidRDefault="00A522BF" w:rsidP="00A522BF">
            <w:pPr>
              <w:rPr>
                <w:sz w:val="22"/>
                <w:szCs w:val="22"/>
              </w:rPr>
            </w:pPr>
            <w:bookmarkStart w:id="67" w:name="_Hlk380440747"/>
            <w:r w:rsidRPr="00882A49">
              <w:rPr>
                <w:sz w:val="22"/>
                <w:szCs w:val="22"/>
              </w:rPr>
              <w:t>komunikačná infraštruktúra (servery)</w:t>
            </w:r>
          </w:p>
        </w:tc>
        <w:tc>
          <w:tcPr>
            <w:tcW w:w="2438" w:type="dxa"/>
            <w:shd w:val="clear" w:color="auto" w:fill="FFFFFF"/>
          </w:tcPr>
          <w:p w14:paraId="192A61F1" w14:textId="50C91036" w:rsidR="00A522BF" w:rsidRPr="00882A49" w:rsidRDefault="00A522BF" w:rsidP="00A522BF">
            <w:pPr>
              <w:jc w:val="center"/>
              <w:rPr>
                <w:sz w:val="22"/>
                <w:szCs w:val="22"/>
              </w:rPr>
            </w:pPr>
            <w:r w:rsidRPr="00882A49">
              <w:rPr>
                <w:sz w:val="22"/>
                <w:szCs w:val="22"/>
              </w:rPr>
              <w:t xml:space="preserve">                             35 980</w:t>
            </w:r>
          </w:p>
        </w:tc>
      </w:tr>
      <w:tr w:rsidR="00A522BF" w:rsidRPr="00882A49" w14:paraId="6DCE1595" w14:textId="77777777" w:rsidTr="0036514D">
        <w:tc>
          <w:tcPr>
            <w:tcW w:w="6634" w:type="dxa"/>
            <w:shd w:val="clear" w:color="auto" w:fill="FFFFFF"/>
          </w:tcPr>
          <w:p w14:paraId="28F57A8E" w14:textId="5AEAF325" w:rsidR="00A522BF" w:rsidRPr="00882A49" w:rsidRDefault="00A522BF" w:rsidP="00A522BF">
            <w:pPr>
              <w:rPr>
                <w:sz w:val="22"/>
                <w:szCs w:val="22"/>
              </w:rPr>
            </w:pPr>
            <w:r w:rsidRPr="00882A49">
              <w:rPr>
                <w:sz w:val="22"/>
                <w:szCs w:val="22"/>
              </w:rPr>
              <w:t>komunikačná infraštruktúra (firewall)</w:t>
            </w:r>
          </w:p>
        </w:tc>
        <w:tc>
          <w:tcPr>
            <w:tcW w:w="2438" w:type="dxa"/>
            <w:shd w:val="clear" w:color="auto" w:fill="FFFFFF"/>
          </w:tcPr>
          <w:p w14:paraId="6C6B5CA5" w14:textId="64D04965" w:rsidR="00A522BF" w:rsidRPr="00882A49" w:rsidRDefault="00A522BF" w:rsidP="00A522BF">
            <w:pPr>
              <w:jc w:val="center"/>
              <w:rPr>
                <w:sz w:val="22"/>
                <w:szCs w:val="22"/>
              </w:rPr>
            </w:pPr>
            <w:r w:rsidRPr="00882A49">
              <w:rPr>
                <w:sz w:val="22"/>
                <w:szCs w:val="22"/>
              </w:rPr>
              <w:t xml:space="preserve">                             12 888</w:t>
            </w:r>
          </w:p>
        </w:tc>
      </w:tr>
      <w:tr w:rsidR="00A522BF" w:rsidRPr="00882A49" w14:paraId="0A021BD8" w14:textId="77777777" w:rsidTr="0036514D">
        <w:tc>
          <w:tcPr>
            <w:tcW w:w="6634" w:type="dxa"/>
            <w:shd w:val="clear" w:color="auto" w:fill="FFFFFF"/>
          </w:tcPr>
          <w:p w14:paraId="295C0A0E" w14:textId="77777777" w:rsidR="00A522BF" w:rsidRPr="00882A49" w:rsidRDefault="00A522BF" w:rsidP="00A522BF">
            <w:pPr>
              <w:rPr>
                <w:sz w:val="22"/>
                <w:szCs w:val="22"/>
              </w:rPr>
            </w:pPr>
            <w:r w:rsidRPr="00882A49">
              <w:rPr>
                <w:sz w:val="22"/>
                <w:szCs w:val="22"/>
              </w:rPr>
              <w:t>nákup SW (Administratívny IS - licencie)</w:t>
            </w:r>
          </w:p>
        </w:tc>
        <w:tc>
          <w:tcPr>
            <w:tcW w:w="2438" w:type="dxa"/>
            <w:shd w:val="clear" w:color="auto" w:fill="FFFFFF"/>
          </w:tcPr>
          <w:p w14:paraId="4AFA93BA" w14:textId="52AB1D7B" w:rsidR="00A522BF" w:rsidRPr="00882A49" w:rsidRDefault="00A522BF" w:rsidP="00A522BF">
            <w:pPr>
              <w:jc w:val="right"/>
              <w:rPr>
                <w:sz w:val="22"/>
                <w:szCs w:val="22"/>
              </w:rPr>
            </w:pPr>
            <w:r w:rsidRPr="00882A49">
              <w:rPr>
                <w:sz w:val="22"/>
                <w:szCs w:val="22"/>
              </w:rPr>
              <w:t>32 400</w:t>
            </w:r>
          </w:p>
        </w:tc>
      </w:tr>
      <w:tr w:rsidR="00A522BF" w:rsidRPr="00882A49" w14:paraId="0AE5C949" w14:textId="77777777" w:rsidTr="0036514D">
        <w:tc>
          <w:tcPr>
            <w:tcW w:w="6634" w:type="dxa"/>
            <w:shd w:val="clear" w:color="auto" w:fill="FFFFFF"/>
          </w:tcPr>
          <w:p w14:paraId="0DF2D5B5" w14:textId="77777777" w:rsidR="00A522BF" w:rsidRPr="00882A49" w:rsidRDefault="00A522BF" w:rsidP="00A522BF">
            <w:pPr>
              <w:rPr>
                <w:sz w:val="22"/>
                <w:szCs w:val="22"/>
              </w:rPr>
            </w:pPr>
            <w:r w:rsidRPr="00882A49">
              <w:rPr>
                <w:sz w:val="22"/>
                <w:szCs w:val="22"/>
              </w:rPr>
              <w:t>rekonštrukcia SW (upgrade Administratívneho IS)</w:t>
            </w:r>
          </w:p>
        </w:tc>
        <w:tc>
          <w:tcPr>
            <w:tcW w:w="2438" w:type="dxa"/>
            <w:shd w:val="clear" w:color="auto" w:fill="FFFFFF"/>
          </w:tcPr>
          <w:p w14:paraId="37FD48FC" w14:textId="0996DAE4" w:rsidR="00A522BF" w:rsidRPr="00882A49" w:rsidRDefault="00A522BF" w:rsidP="00A522BF">
            <w:pPr>
              <w:jc w:val="right"/>
              <w:rPr>
                <w:sz w:val="22"/>
                <w:szCs w:val="22"/>
              </w:rPr>
            </w:pPr>
            <w:r w:rsidRPr="00882A49">
              <w:rPr>
                <w:sz w:val="22"/>
                <w:szCs w:val="22"/>
              </w:rPr>
              <w:t>20 832</w:t>
            </w:r>
          </w:p>
        </w:tc>
      </w:tr>
      <w:bookmarkEnd w:id="67"/>
      <w:tr w:rsidR="000F273D" w:rsidRPr="00882A49" w14:paraId="0EF8B915" w14:textId="77777777" w:rsidTr="0036514D">
        <w:trPr>
          <w:trHeight w:val="202"/>
        </w:trPr>
        <w:tc>
          <w:tcPr>
            <w:tcW w:w="6634" w:type="dxa"/>
            <w:shd w:val="clear" w:color="auto" w:fill="FFFFFF" w:themeFill="background1"/>
          </w:tcPr>
          <w:p w14:paraId="2C67B1EA" w14:textId="77777777" w:rsidR="000F273D" w:rsidRPr="00882A49" w:rsidRDefault="000F273D" w:rsidP="000F273D">
            <w:pPr>
              <w:rPr>
                <w:b/>
                <w:bCs/>
                <w:sz w:val="22"/>
                <w:szCs w:val="22"/>
              </w:rPr>
            </w:pPr>
            <w:r w:rsidRPr="00882A49">
              <w:rPr>
                <w:b/>
                <w:bCs/>
                <w:sz w:val="22"/>
                <w:szCs w:val="22"/>
              </w:rPr>
              <w:t>Spolu</w:t>
            </w:r>
          </w:p>
        </w:tc>
        <w:tc>
          <w:tcPr>
            <w:tcW w:w="2438" w:type="dxa"/>
            <w:shd w:val="clear" w:color="auto" w:fill="FFFFFF" w:themeFill="background1"/>
          </w:tcPr>
          <w:p w14:paraId="212120EC" w14:textId="280D9CEA" w:rsidR="000F273D" w:rsidRPr="00882A49" w:rsidRDefault="00A522BF" w:rsidP="0008096D">
            <w:pPr>
              <w:jc w:val="right"/>
              <w:rPr>
                <w:b/>
                <w:bCs/>
                <w:sz w:val="22"/>
                <w:szCs w:val="22"/>
              </w:rPr>
            </w:pPr>
            <w:r w:rsidRPr="00882A49">
              <w:rPr>
                <w:b/>
                <w:bCs/>
                <w:sz w:val="22"/>
                <w:szCs w:val="22"/>
              </w:rPr>
              <w:t>429 773</w:t>
            </w:r>
          </w:p>
        </w:tc>
      </w:tr>
    </w:tbl>
    <w:p w14:paraId="76E108B5" w14:textId="77777777" w:rsidR="000F273D" w:rsidRPr="00882A49" w:rsidRDefault="000F273D" w:rsidP="000F273D">
      <w:pPr>
        <w:jc w:val="both"/>
        <w:rPr>
          <w:b/>
          <w:i/>
          <w:szCs w:val="18"/>
        </w:rPr>
      </w:pPr>
    </w:p>
    <w:p w14:paraId="1CB4B2E6" w14:textId="77777777" w:rsidR="000F273D" w:rsidRPr="00882A49" w:rsidRDefault="000F273D" w:rsidP="000F273D">
      <w:pPr>
        <w:jc w:val="both"/>
        <w:rPr>
          <w:szCs w:val="18"/>
        </w:rPr>
      </w:pPr>
      <w:r w:rsidRPr="00882A49">
        <w:rPr>
          <w:b/>
          <w:i/>
          <w:szCs w:val="18"/>
        </w:rPr>
        <w:t>Rozpočtové prostriedky zo samostatného účtu Dary a granty</w:t>
      </w:r>
    </w:p>
    <w:p w14:paraId="0B4C67C2" w14:textId="27D49D89" w:rsidR="00A522BF" w:rsidRPr="00882A49" w:rsidRDefault="00A522BF" w:rsidP="000F273D">
      <w:pPr>
        <w:spacing w:before="240"/>
        <w:jc w:val="both"/>
        <w:rPr>
          <w:szCs w:val="18"/>
        </w:rPr>
      </w:pPr>
      <w:r w:rsidRPr="00882A49">
        <w:rPr>
          <w:szCs w:val="18"/>
        </w:rPr>
        <w:t>Čerpania výdavkov zo samostatného účtu Dary a granty v roku 2024 dosiahlo sumu 8 237 eur. Čerpané prostriedky zahraničných grantov tvorili prostriedky z projektu SARNET a RISKAUDIT U3.01., ktoré pokryli výdavky súvisiace s pracovnými cestami a pracovnými stretnutiami skupiny WENRA RHWG a s pracovnými stretnutiami s reprezentantami tureckého dozoru ohľadom projektu EÚ INSC TR3.01/22.</w:t>
      </w:r>
    </w:p>
    <w:p w14:paraId="3CB0F080" w14:textId="77777777" w:rsidR="000F273D" w:rsidRPr="00882A49" w:rsidRDefault="000F273D" w:rsidP="000F273D">
      <w:pPr>
        <w:jc w:val="both"/>
        <w:rPr>
          <w:szCs w:val="18"/>
        </w:rPr>
      </w:pPr>
    </w:p>
    <w:p w14:paraId="6B072455" w14:textId="166714FE" w:rsidR="000F273D" w:rsidRPr="00882A49" w:rsidRDefault="000F273D" w:rsidP="00D04D3E">
      <w:pPr>
        <w:jc w:val="both"/>
        <w:rPr>
          <w:sz w:val="22"/>
          <w:szCs w:val="22"/>
        </w:rPr>
      </w:pPr>
      <w:r w:rsidRPr="00882A49">
        <w:rPr>
          <w:sz w:val="22"/>
          <w:szCs w:val="22"/>
        </w:rPr>
        <w:t xml:space="preserve">Tab. </w:t>
      </w:r>
      <w:r w:rsidR="002A1E40" w:rsidRPr="00882A49">
        <w:rPr>
          <w:sz w:val="22"/>
          <w:szCs w:val="22"/>
        </w:rPr>
        <w:t>1</w:t>
      </w:r>
      <w:r w:rsidR="00D13F98">
        <w:rPr>
          <w:sz w:val="22"/>
          <w:szCs w:val="22"/>
        </w:rPr>
        <w:t>4</w:t>
      </w:r>
      <w:r w:rsidRPr="00882A49">
        <w:rPr>
          <w:sz w:val="22"/>
          <w:szCs w:val="22"/>
        </w:rPr>
        <w:t xml:space="preserve"> Čerpanie finančných prostriedkov v roku 202</w:t>
      </w:r>
      <w:r w:rsidR="00A522BF" w:rsidRPr="00882A49">
        <w:rPr>
          <w:sz w:val="22"/>
          <w:szCs w:val="22"/>
        </w:rPr>
        <w:t>4</w:t>
      </w:r>
      <w:r w:rsidRPr="00882A49">
        <w:rPr>
          <w:sz w:val="22"/>
          <w:szCs w:val="22"/>
        </w:rPr>
        <w:t xml:space="preserve"> (v eurác</w:t>
      </w:r>
      <w:r w:rsidR="00D04D3E" w:rsidRPr="00882A49">
        <w:rPr>
          <w:sz w:val="22"/>
          <w:szCs w:val="22"/>
        </w:rPr>
        <w:t>h)</w:t>
      </w:r>
    </w:p>
    <w:tbl>
      <w:tblPr>
        <w:tblW w:w="494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848"/>
        <w:gridCol w:w="1705"/>
        <w:gridCol w:w="1701"/>
        <w:gridCol w:w="1690"/>
      </w:tblGrid>
      <w:tr w:rsidR="000F273D" w:rsidRPr="000F273D" w14:paraId="3BB36F08" w14:textId="77777777" w:rsidTr="00321B2C">
        <w:trPr>
          <w:trHeight w:val="396"/>
        </w:trPr>
        <w:tc>
          <w:tcPr>
            <w:tcW w:w="1122" w:type="pct"/>
            <w:shd w:val="clear" w:color="auto" w:fill="D9D9D9" w:themeFill="background1" w:themeFillShade="D9"/>
          </w:tcPr>
          <w:p w14:paraId="0C09B5D0" w14:textId="77777777" w:rsidR="000F273D" w:rsidRPr="00882A49" w:rsidRDefault="000F273D" w:rsidP="000F273D">
            <w:pPr>
              <w:jc w:val="both"/>
              <w:rPr>
                <w:sz w:val="22"/>
                <w:szCs w:val="22"/>
              </w:rPr>
            </w:pPr>
            <w:bookmarkStart w:id="68" w:name="OLE_LINK41"/>
            <w:bookmarkStart w:id="69" w:name="OLE_LINK42"/>
            <w:bookmarkStart w:id="70" w:name="OLE_LINK43"/>
          </w:p>
        </w:tc>
        <w:tc>
          <w:tcPr>
            <w:tcW w:w="1032" w:type="pct"/>
            <w:shd w:val="clear" w:color="auto" w:fill="D9D9D9" w:themeFill="background1" w:themeFillShade="D9"/>
            <w:vAlign w:val="center"/>
          </w:tcPr>
          <w:p w14:paraId="6B909373" w14:textId="77777777" w:rsidR="000F273D" w:rsidRPr="00882A49" w:rsidRDefault="000F273D" w:rsidP="000F273D">
            <w:pPr>
              <w:jc w:val="center"/>
              <w:rPr>
                <w:b/>
                <w:sz w:val="22"/>
                <w:szCs w:val="22"/>
              </w:rPr>
            </w:pPr>
            <w:r w:rsidRPr="00882A49">
              <w:rPr>
                <w:b/>
                <w:sz w:val="22"/>
                <w:szCs w:val="22"/>
              </w:rPr>
              <w:t xml:space="preserve">Výdavkový </w:t>
            </w:r>
          </w:p>
          <w:p w14:paraId="24758709" w14:textId="77777777" w:rsidR="000F273D" w:rsidRPr="00882A49" w:rsidRDefault="000F273D" w:rsidP="000F273D">
            <w:pPr>
              <w:jc w:val="center"/>
              <w:rPr>
                <w:b/>
                <w:sz w:val="22"/>
                <w:szCs w:val="22"/>
              </w:rPr>
            </w:pPr>
            <w:r w:rsidRPr="00882A49">
              <w:rPr>
                <w:b/>
                <w:sz w:val="22"/>
                <w:szCs w:val="22"/>
              </w:rPr>
              <w:t>účet 1 (prostriedky ŠR)</w:t>
            </w:r>
          </w:p>
        </w:tc>
        <w:tc>
          <w:tcPr>
            <w:tcW w:w="952" w:type="pct"/>
            <w:shd w:val="clear" w:color="auto" w:fill="D9D9D9" w:themeFill="background1" w:themeFillShade="D9"/>
          </w:tcPr>
          <w:p w14:paraId="4BCA193E" w14:textId="77777777" w:rsidR="000F273D" w:rsidRPr="00882A49" w:rsidRDefault="000F273D" w:rsidP="000F273D">
            <w:pPr>
              <w:jc w:val="center"/>
              <w:rPr>
                <w:b/>
                <w:sz w:val="22"/>
                <w:szCs w:val="22"/>
              </w:rPr>
            </w:pPr>
            <w:r w:rsidRPr="00882A49">
              <w:rPr>
                <w:b/>
                <w:sz w:val="22"/>
                <w:szCs w:val="22"/>
              </w:rPr>
              <w:t>Výdavkový</w:t>
            </w:r>
          </w:p>
          <w:p w14:paraId="23374979" w14:textId="77777777" w:rsidR="000F273D" w:rsidRPr="00882A49" w:rsidRDefault="000F273D" w:rsidP="000F273D">
            <w:pPr>
              <w:jc w:val="center"/>
              <w:rPr>
                <w:b/>
                <w:sz w:val="22"/>
                <w:szCs w:val="22"/>
              </w:rPr>
            </w:pPr>
            <w:r w:rsidRPr="00882A49">
              <w:rPr>
                <w:b/>
                <w:sz w:val="22"/>
                <w:szCs w:val="22"/>
              </w:rPr>
              <w:t xml:space="preserve"> účet 2 </w:t>
            </w:r>
          </w:p>
          <w:p w14:paraId="1B0A7AA8" w14:textId="77777777" w:rsidR="000F273D" w:rsidRPr="00882A49" w:rsidRDefault="000F273D" w:rsidP="000F273D">
            <w:pPr>
              <w:jc w:val="center"/>
              <w:rPr>
                <w:b/>
                <w:sz w:val="22"/>
                <w:szCs w:val="22"/>
              </w:rPr>
            </w:pPr>
            <w:r w:rsidRPr="00882A49">
              <w:rPr>
                <w:b/>
                <w:sz w:val="22"/>
                <w:szCs w:val="22"/>
              </w:rPr>
              <w:t>(EÚ zdroje)</w:t>
            </w:r>
          </w:p>
        </w:tc>
        <w:tc>
          <w:tcPr>
            <w:tcW w:w="950" w:type="pct"/>
            <w:shd w:val="clear" w:color="auto" w:fill="D9D9D9" w:themeFill="background1" w:themeFillShade="D9"/>
            <w:vAlign w:val="center"/>
          </w:tcPr>
          <w:p w14:paraId="7C102E62" w14:textId="77777777" w:rsidR="000F273D" w:rsidRPr="00882A49" w:rsidRDefault="000F273D" w:rsidP="000F273D">
            <w:pPr>
              <w:jc w:val="center"/>
              <w:rPr>
                <w:b/>
                <w:sz w:val="22"/>
                <w:szCs w:val="22"/>
              </w:rPr>
            </w:pPr>
            <w:r w:rsidRPr="00882A49">
              <w:rPr>
                <w:b/>
                <w:sz w:val="22"/>
                <w:szCs w:val="22"/>
              </w:rPr>
              <w:t>Účet Dary a granty</w:t>
            </w:r>
          </w:p>
        </w:tc>
        <w:tc>
          <w:tcPr>
            <w:tcW w:w="944" w:type="pct"/>
            <w:shd w:val="clear" w:color="auto" w:fill="D9D9D9" w:themeFill="background1" w:themeFillShade="D9"/>
            <w:vAlign w:val="center"/>
          </w:tcPr>
          <w:p w14:paraId="13D05E04" w14:textId="77777777" w:rsidR="000F273D" w:rsidRPr="006F17C5" w:rsidRDefault="000F273D" w:rsidP="000F273D">
            <w:pPr>
              <w:jc w:val="center"/>
              <w:rPr>
                <w:b/>
                <w:sz w:val="22"/>
                <w:szCs w:val="22"/>
              </w:rPr>
            </w:pPr>
            <w:r w:rsidRPr="00882A49">
              <w:rPr>
                <w:b/>
                <w:sz w:val="22"/>
                <w:szCs w:val="22"/>
              </w:rPr>
              <w:t>Spolu</w:t>
            </w:r>
          </w:p>
        </w:tc>
      </w:tr>
      <w:tr w:rsidR="00A522BF" w:rsidRPr="00A522BF" w14:paraId="2E75E9A9" w14:textId="77777777" w:rsidTr="00AF6844">
        <w:trPr>
          <w:trHeight w:val="248"/>
        </w:trPr>
        <w:tc>
          <w:tcPr>
            <w:tcW w:w="1122" w:type="pct"/>
            <w:vAlign w:val="center"/>
          </w:tcPr>
          <w:p w14:paraId="6DB76CDB" w14:textId="77777777" w:rsidR="00A522BF" w:rsidRPr="00A522BF" w:rsidRDefault="00A522BF" w:rsidP="00A522BF">
            <w:pPr>
              <w:rPr>
                <w:sz w:val="22"/>
                <w:szCs w:val="22"/>
              </w:rPr>
            </w:pPr>
            <w:bookmarkStart w:id="71" w:name="_Hlk380441021"/>
            <w:bookmarkStart w:id="72" w:name="_Hlk380441059"/>
            <w:r w:rsidRPr="00A522BF">
              <w:rPr>
                <w:sz w:val="22"/>
                <w:szCs w:val="22"/>
              </w:rPr>
              <w:t>Bežné výdavky</w:t>
            </w:r>
          </w:p>
        </w:tc>
        <w:tc>
          <w:tcPr>
            <w:tcW w:w="1032" w:type="pct"/>
          </w:tcPr>
          <w:p w14:paraId="30D7FD6E" w14:textId="756877AA" w:rsidR="00A522BF" w:rsidRPr="00A522BF" w:rsidRDefault="00A522BF" w:rsidP="00A522BF">
            <w:pPr>
              <w:jc w:val="right"/>
              <w:rPr>
                <w:sz w:val="22"/>
                <w:szCs w:val="22"/>
              </w:rPr>
            </w:pPr>
            <w:r w:rsidRPr="00A522BF">
              <w:rPr>
                <w:sz w:val="22"/>
                <w:szCs w:val="22"/>
              </w:rPr>
              <w:t>10 102 141</w:t>
            </w:r>
          </w:p>
        </w:tc>
        <w:tc>
          <w:tcPr>
            <w:tcW w:w="952" w:type="pct"/>
          </w:tcPr>
          <w:p w14:paraId="69221FC7" w14:textId="43C3BB08" w:rsidR="00A522BF" w:rsidRPr="00A522BF" w:rsidRDefault="00A522BF" w:rsidP="00A522BF">
            <w:pPr>
              <w:jc w:val="right"/>
              <w:rPr>
                <w:sz w:val="22"/>
                <w:szCs w:val="22"/>
              </w:rPr>
            </w:pPr>
            <w:r w:rsidRPr="00A522BF">
              <w:rPr>
                <w:sz w:val="22"/>
                <w:szCs w:val="22"/>
              </w:rPr>
              <w:t>27 821</w:t>
            </w:r>
          </w:p>
        </w:tc>
        <w:tc>
          <w:tcPr>
            <w:tcW w:w="950" w:type="pct"/>
          </w:tcPr>
          <w:p w14:paraId="5D2A05AF" w14:textId="46EAE890" w:rsidR="00A522BF" w:rsidRPr="00A522BF" w:rsidRDefault="00A522BF" w:rsidP="00A522BF">
            <w:pPr>
              <w:jc w:val="right"/>
              <w:rPr>
                <w:sz w:val="22"/>
                <w:szCs w:val="22"/>
              </w:rPr>
            </w:pPr>
            <w:r w:rsidRPr="00A522BF">
              <w:rPr>
                <w:sz w:val="22"/>
                <w:szCs w:val="22"/>
              </w:rPr>
              <w:t>8 237</w:t>
            </w:r>
          </w:p>
        </w:tc>
        <w:tc>
          <w:tcPr>
            <w:tcW w:w="944" w:type="pct"/>
          </w:tcPr>
          <w:p w14:paraId="3028F619" w14:textId="3CE8C12B" w:rsidR="00A522BF" w:rsidRPr="00A522BF" w:rsidRDefault="00A522BF" w:rsidP="00A522BF">
            <w:pPr>
              <w:jc w:val="right"/>
              <w:rPr>
                <w:sz w:val="22"/>
                <w:szCs w:val="22"/>
              </w:rPr>
            </w:pPr>
            <w:r w:rsidRPr="00A522BF">
              <w:rPr>
                <w:sz w:val="22"/>
                <w:szCs w:val="22"/>
              </w:rPr>
              <w:t>10 138 199</w:t>
            </w:r>
          </w:p>
        </w:tc>
      </w:tr>
      <w:bookmarkEnd w:id="71"/>
      <w:tr w:rsidR="00A522BF" w:rsidRPr="00A522BF" w14:paraId="3B8173D8" w14:textId="77777777" w:rsidTr="00AF6844">
        <w:trPr>
          <w:trHeight w:val="84"/>
        </w:trPr>
        <w:tc>
          <w:tcPr>
            <w:tcW w:w="1122" w:type="pct"/>
            <w:vAlign w:val="center"/>
          </w:tcPr>
          <w:p w14:paraId="7C91C44B" w14:textId="77777777" w:rsidR="00A522BF" w:rsidRPr="00A522BF" w:rsidRDefault="00A522BF" w:rsidP="00A522BF">
            <w:pPr>
              <w:rPr>
                <w:sz w:val="22"/>
                <w:szCs w:val="22"/>
              </w:rPr>
            </w:pPr>
            <w:r w:rsidRPr="00A522BF">
              <w:rPr>
                <w:sz w:val="22"/>
                <w:szCs w:val="22"/>
              </w:rPr>
              <w:t>Kapitálové výdavky</w:t>
            </w:r>
          </w:p>
        </w:tc>
        <w:tc>
          <w:tcPr>
            <w:tcW w:w="1032" w:type="pct"/>
          </w:tcPr>
          <w:p w14:paraId="7F247185" w14:textId="738E2A6B" w:rsidR="00A522BF" w:rsidRPr="00A522BF" w:rsidRDefault="00A522BF" w:rsidP="00A522BF">
            <w:pPr>
              <w:jc w:val="right"/>
              <w:rPr>
                <w:sz w:val="22"/>
                <w:szCs w:val="22"/>
              </w:rPr>
            </w:pPr>
            <w:r w:rsidRPr="00A522BF">
              <w:rPr>
                <w:sz w:val="22"/>
                <w:szCs w:val="22"/>
              </w:rPr>
              <w:t xml:space="preserve">   429 773</w:t>
            </w:r>
          </w:p>
        </w:tc>
        <w:tc>
          <w:tcPr>
            <w:tcW w:w="952" w:type="pct"/>
          </w:tcPr>
          <w:p w14:paraId="3423FA52" w14:textId="472BB4CB" w:rsidR="00A522BF" w:rsidRPr="00A522BF" w:rsidRDefault="00A522BF" w:rsidP="00A522BF">
            <w:pPr>
              <w:jc w:val="right"/>
              <w:rPr>
                <w:sz w:val="22"/>
                <w:szCs w:val="22"/>
              </w:rPr>
            </w:pPr>
          </w:p>
        </w:tc>
        <w:tc>
          <w:tcPr>
            <w:tcW w:w="950" w:type="pct"/>
          </w:tcPr>
          <w:p w14:paraId="6346F121" w14:textId="2FFE502B" w:rsidR="00A522BF" w:rsidRPr="00A522BF" w:rsidRDefault="00A522BF" w:rsidP="00A522BF">
            <w:pPr>
              <w:jc w:val="right"/>
              <w:rPr>
                <w:sz w:val="22"/>
                <w:szCs w:val="22"/>
              </w:rPr>
            </w:pPr>
            <w:r w:rsidRPr="00A522BF">
              <w:rPr>
                <w:sz w:val="22"/>
                <w:szCs w:val="22"/>
              </w:rPr>
              <w:t>-</w:t>
            </w:r>
          </w:p>
        </w:tc>
        <w:tc>
          <w:tcPr>
            <w:tcW w:w="944" w:type="pct"/>
          </w:tcPr>
          <w:p w14:paraId="339D7AEC" w14:textId="4A5660DB" w:rsidR="00A522BF" w:rsidRPr="00A522BF" w:rsidRDefault="00A522BF" w:rsidP="00A522BF">
            <w:pPr>
              <w:jc w:val="right"/>
              <w:rPr>
                <w:sz w:val="22"/>
                <w:szCs w:val="22"/>
              </w:rPr>
            </w:pPr>
            <w:r w:rsidRPr="00A522BF">
              <w:rPr>
                <w:sz w:val="22"/>
                <w:szCs w:val="22"/>
              </w:rPr>
              <w:t>429 773</w:t>
            </w:r>
          </w:p>
        </w:tc>
      </w:tr>
      <w:bookmarkEnd w:id="72"/>
      <w:tr w:rsidR="00A522BF" w:rsidRPr="00A62618" w14:paraId="6E6A8B02" w14:textId="77777777" w:rsidTr="00AF6844">
        <w:trPr>
          <w:trHeight w:val="270"/>
        </w:trPr>
        <w:tc>
          <w:tcPr>
            <w:tcW w:w="1122" w:type="pct"/>
            <w:shd w:val="clear" w:color="auto" w:fill="FFFFFF" w:themeFill="background1"/>
            <w:vAlign w:val="center"/>
          </w:tcPr>
          <w:p w14:paraId="70460393" w14:textId="77777777" w:rsidR="00A522BF" w:rsidRPr="00A62618" w:rsidRDefault="00A522BF" w:rsidP="00A522BF">
            <w:pPr>
              <w:rPr>
                <w:b/>
                <w:bCs/>
                <w:sz w:val="22"/>
                <w:szCs w:val="22"/>
              </w:rPr>
            </w:pPr>
            <w:r w:rsidRPr="00A62618">
              <w:rPr>
                <w:b/>
                <w:bCs/>
                <w:sz w:val="22"/>
                <w:szCs w:val="22"/>
              </w:rPr>
              <w:t>Výdavky spolu</w:t>
            </w:r>
          </w:p>
        </w:tc>
        <w:tc>
          <w:tcPr>
            <w:tcW w:w="1032" w:type="pct"/>
            <w:shd w:val="clear" w:color="auto" w:fill="FFFFFF" w:themeFill="background1"/>
          </w:tcPr>
          <w:p w14:paraId="49042400" w14:textId="6ECE863A" w:rsidR="00A522BF" w:rsidRPr="00A62618" w:rsidRDefault="00A522BF" w:rsidP="00A522BF">
            <w:pPr>
              <w:jc w:val="right"/>
              <w:rPr>
                <w:b/>
                <w:bCs/>
                <w:sz w:val="22"/>
                <w:szCs w:val="22"/>
              </w:rPr>
            </w:pPr>
            <w:r w:rsidRPr="00A62618">
              <w:rPr>
                <w:b/>
                <w:bCs/>
                <w:sz w:val="22"/>
                <w:szCs w:val="22"/>
              </w:rPr>
              <w:t>10 531 914</w:t>
            </w:r>
          </w:p>
        </w:tc>
        <w:tc>
          <w:tcPr>
            <w:tcW w:w="952" w:type="pct"/>
            <w:shd w:val="clear" w:color="auto" w:fill="FFFFFF" w:themeFill="background1"/>
          </w:tcPr>
          <w:p w14:paraId="3EE5E8BF" w14:textId="040042A7" w:rsidR="00A522BF" w:rsidRPr="00A62618" w:rsidRDefault="00A522BF" w:rsidP="00A522BF">
            <w:pPr>
              <w:jc w:val="right"/>
              <w:rPr>
                <w:b/>
                <w:bCs/>
                <w:sz w:val="22"/>
                <w:szCs w:val="22"/>
              </w:rPr>
            </w:pPr>
            <w:r w:rsidRPr="00A62618">
              <w:rPr>
                <w:b/>
                <w:bCs/>
                <w:sz w:val="22"/>
                <w:szCs w:val="22"/>
              </w:rPr>
              <w:t>27 821</w:t>
            </w:r>
          </w:p>
        </w:tc>
        <w:tc>
          <w:tcPr>
            <w:tcW w:w="950" w:type="pct"/>
            <w:shd w:val="clear" w:color="auto" w:fill="FFFFFF" w:themeFill="background1"/>
          </w:tcPr>
          <w:p w14:paraId="151EAB93" w14:textId="7DD36807" w:rsidR="00A522BF" w:rsidRPr="00A62618" w:rsidRDefault="00A522BF" w:rsidP="00A522BF">
            <w:pPr>
              <w:jc w:val="center"/>
              <w:rPr>
                <w:b/>
                <w:bCs/>
                <w:sz w:val="22"/>
                <w:szCs w:val="22"/>
              </w:rPr>
            </w:pPr>
            <w:r w:rsidRPr="00A62618">
              <w:rPr>
                <w:b/>
                <w:bCs/>
                <w:sz w:val="22"/>
                <w:szCs w:val="22"/>
              </w:rPr>
              <w:t xml:space="preserve">               8 237</w:t>
            </w:r>
          </w:p>
        </w:tc>
        <w:tc>
          <w:tcPr>
            <w:tcW w:w="944" w:type="pct"/>
            <w:shd w:val="clear" w:color="auto" w:fill="FFFFFF" w:themeFill="background1"/>
          </w:tcPr>
          <w:p w14:paraId="54A8E51E" w14:textId="26A0E679" w:rsidR="00A522BF" w:rsidRPr="00A62618" w:rsidRDefault="00A522BF" w:rsidP="00A522BF">
            <w:pPr>
              <w:jc w:val="right"/>
              <w:rPr>
                <w:b/>
                <w:bCs/>
                <w:sz w:val="22"/>
                <w:szCs w:val="22"/>
              </w:rPr>
            </w:pPr>
            <w:r w:rsidRPr="00A62618">
              <w:rPr>
                <w:b/>
                <w:bCs/>
                <w:sz w:val="22"/>
                <w:szCs w:val="22"/>
              </w:rPr>
              <w:t>10 567 972</w:t>
            </w:r>
          </w:p>
        </w:tc>
      </w:tr>
    </w:tbl>
    <w:bookmarkEnd w:id="0"/>
    <w:bookmarkEnd w:id="1"/>
    <w:bookmarkEnd w:id="2"/>
    <w:bookmarkEnd w:id="68"/>
    <w:bookmarkEnd w:id="69"/>
    <w:bookmarkEnd w:id="70"/>
    <w:p w14:paraId="1EE50BC3" w14:textId="50842073" w:rsidR="000A68E5" w:rsidRDefault="000A68E5" w:rsidP="001402AE">
      <w:pPr>
        <w:autoSpaceDE w:val="0"/>
        <w:autoSpaceDN w:val="0"/>
        <w:adjustRightInd w:val="0"/>
        <w:jc w:val="both"/>
        <w:rPr>
          <w:rFonts w:eastAsiaTheme="minorHAnsi"/>
          <w:color w:val="000000"/>
          <w:szCs w:val="24"/>
          <w:lang w:eastAsia="en-US"/>
        </w:rPr>
      </w:pPr>
      <w:r>
        <w:rPr>
          <w:rFonts w:eastAsiaTheme="minorHAnsi"/>
          <w:color w:val="000000"/>
          <w:szCs w:val="24"/>
          <w:lang w:eastAsia="en-US"/>
        </w:rPr>
        <w:br/>
      </w:r>
    </w:p>
    <w:p w14:paraId="75DA3DDC" w14:textId="107335BA" w:rsidR="00241456" w:rsidRPr="00536B6A" w:rsidRDefault="000A68E5" w:rsidP="000A68E5">
      <w:pPr>
        <w:spacing w:after="200" w:line="276" w:lineRule="auto"/>
        <w:rPr>
          <w:rFonts w:eastAsiaTheme="minorHAnsi"/>
          <w:color w:val="000000"/>
          <w:szCs w:val="24"/>
          <w:lang w:eastAsia="en-US"/>
        </w:rPr>
      </w:pPr>
      <w:r>
        <w:rPr>
          <w:rFonts w:eastAsiaTheme="minorHAnsi"/>
          <w:color w:val="000000"/>
          <w:szCs w:val="24"/>
          <w:lang w:eastAsia="en-US"/>
        </w:rPr>
        <w:br w:type="page"/>
      </w:r>
    </w:p>
    <w:p w14:paraId="5400E9D1" w14:textId="5ABF4429" w:rsidR="00155A3A" w:rsidRPr="00AF3821" w:rsidRDefault="00FE18BB" w:rsidP="00AF3821">
      <w:pPr>
        <w:pStyle w:val="Nadpis1"/>
        <w:numPr>
          <w:ilvl w:val="0"/>
          <w:numId w:val="1"/>
        </w:numPr>
      </w:pPr>
      <w:bookmarkStart w:id="73" w:name="_Toc193697674"/>
      <w:r>
        <w:rPr>
          <w:lang w:val="sk-SK"/>
        </w:rPr>
        <w:lastRenderedPageBreak/>
        <w:t>Vysvetlenie</w:t>
      </w:r>
      <w:r w:rsidR="00155A3A" w:rsidRPr="00AF3821">
        <w:t xml:space="preserve"> SKRATIEK</w:t>
      </w:r>
      <w:bookmarkEnd w:id="73"/>
    </w:p>
    <w:p w14:paraId="4216D6AF" w14:textId="77777777" w:rsidR="00155A3A" w:rsidRPr="00C13965" w:rsidRDefault="00155A3A" w:rsidP="00F16D0C">
      <w:pPr>
        <w:jc w:val="both"/>
        <w:rPr>
          <w:lang w:eastAsia="x-none"/>
        </w:rPr>
      </w:pPr>
    </w:p>
    <w:tbl>
      <w:tblPr>
        <w:tblStyle w:val="Mriekatabuky"/>
        <w:tblW w:w="10100" w:type="dxa"/>
        <w:tblLook w:val="04A0" w:firstRow="1" w:lastRow="0" w:firstColumn="1" w:lastColumn="0" w:noHBand="0" w:noVBand="1"/>
      </w:tblPr>
      <w:tblGrid>
        <w:gridCol w:w="2552"/>
        <w:gridCol w:w="7548"/>
      </w:tblGrid>
      <w:tr w:rsidR="00DF49C6" w:rsidRPr="00C13965" w14:paraId="6119A935" w14:textId="77777777" w:rsidTr="00C13A84">
        <w:tc>
          <w:tcPr>
            <w:tcW w:w="2552" w:type="dxa"/>
            <w:tcBorders>
              <w:top w:val="nil"/>
              <w:left w:val="nil"/>
              <w:bottom w:val="nil"/>
              <w:right w:val="nil"/>
            </w:tcBorders>
          </w:tcPr>
          <w:p w14:paraId="69DAB8FC" w14:textId="4DC7D742" w:rsidR="00DF49C6" w:rsidRPr="00C13965" w:rsidRDefault="00DF49C6" w:rsidP="00F16D0C">
            <w:pPr>
              <w:jc w:val="both"/>
              <w:rPr>
                <w:szCs w:val="24"/>
                <w:lang w:eastAsia="en-US"/>
              </w:rPr>
            </w:pPr>
            <w:r w:rsidRPr="00C13965">
              <w:rPr>
                <w:szCs w:val="24"/>
                <w:lang w:eastAsia="en-US"/>
              </w:rPr>
              <w:t>AO1</w:t>
            </w:r>
          </w:p>
        </w:tc>
        <w:tc>
          <w:tcPr>
            <w:tcW w:w="7548" w:type="dxa"/>
            <w:tcBorders>
              <w:top w:val="nil"/>
              <w:left w:val="nil"/>
              <w:bottom w:val="nil"/>
              <w:right w:val="nil"/>
            </w:tcBorders>
          </w:tcPr>
          <w:p w14:paraId="06F78799" w14:textId="46721431" w:rsidR="00DF49C6" w:rsidRPr="00C13965" w:rsidRDefault="005021F4" w:rsidP="00F16D0C">
            <w:pPr>
              <w:jc w:val="both"/>
              <w:rPr>
                <w:szCs w:val="24"/>
                <w:lang w:eastAsia="en-US"/>
              </w:rPr>
            </w:pPr>
            <w:r>
              <w:rPr>
                <w:szCs w:val="24"/>
                <w:lang w:eastAsia="en-US"/>
              </w:rPr>
              <w:t xml:space="preserve">automatická ochrana, </w:t>
            </w:r>
            <w:r w:rsidR="00DF49C6" w:rsidRPr="00C13965">
              <w:rPr>
                <w:szCs w:val="24"/>
                <w:lang w:eastAsia="en-US"/>
              </w:rPr>
              <w:t>rýchle odstavenie reaktora</w:t>
            </w:r>
          </w:p>
        </w:tc>
      </w:tr>
      <w:tr w:rsidR="00F65C0A" w:rsidRPr="00C13965" w14:paraId="65A61B6F" w14:textId="77777777" w:rsidTr="00C13A84">
        <w:tc>
          <w:tcPr>
            <w:tcW w:w="2552" w:type="dxa"/>
            <w:tcBorders>
              <w:top w:val="nil"/>
              <w:left w:val="nil"/>
              <w:bottom w:val="nil"/>
              <w:right w:val="nil"/>
            </w:tcBorders>
          </w:tcPr>
          <w:p w14:paraId="0EDFEADF" w14:textId="06C5BDCB" w:rsidR="00F65C0A" w:rsidRPr="00C13965" w:rsidRDefault="00F65C0A" w:rsidP="00F16D0C">
            <w:pPr>
              <w:jc w:val="both"/>
              <w:rPr>
                <w:szCs w:val="24"/>
                <w:lang w:eastAsia="en-US"/>
              </w:rPr>
            </w:pPr>
            <w:r>
              <w:rPr>
                <w:szCs w:val="24"/>
                <w:lang w:eastAsia="en-US"/>
              </w:rPr>
              <w:t>AO3</w:t>
            </w:r>
          </w:p>
        </w:tc>
        <w:tc>
          <w:tcPr>
            <w:tcW w:w="7548" w:type="dxa"/>
            <w:tcBorders>
              <w:top w:val="nil"/>
              <w:left w:val="nil"/>
              <w:bottom w:val="nil"/>
              <w:right w:val="nil"/>
            </w:tcBorders>
          </w:tcPr>
          <w:p w14:paraId="3F42182C" w14:textId="2607C36B" w:rsidR="00F65C0A" w:rsidRPr="00C13965" w:rsidRDefault="00F65C0A" w:rsidP="00F16D0C">
            <w:pPr>
              <w:jc w:val="both"/>
              <w:rPr>
                <w:szCs w:val="24"/>
                <w:lang w:eastAsia="en-US"/>
              </w:rPr>
            </w:pPr>
            <w:r w:rsidRPr="00F65C0A">
              <w:rPr>
                <w:szCs w:val="24"/>
                <w:lang w:eastAsia="en-US"/>
              </w:rPr>
              <w:t>zníženie výkonu reaktora regulačnou skupinou HRK</w:t>
            </w:r>
          </w:p>
        </w:tc>
      </w:tr>
      <w:tr w:rsidR="00803172" w:rsidRPr="00C13965" w14:paraId="3C59CF69" w14:textId="77777777" w:rsidTr="00C13A84">
        <w:tc>
          <w:tcPr>
            <w:tcW w:w="2552" w:type="dxa"/>
            <w:tcBorders>
              <w:top w:val="nil"/>
              <w:left w:val="nil"/>
              <w:bottom w:val="nil"/>
              <w:right w:val="nil"/>
            </w:tcBorders>
          </w:tcPr>
          <w:p w14:paraId="660350CF" w14:textId="4F6DDB8C" w:rsidR="00803172" w:rsidRDefault="00803172" w:rsidP="00F16D0C">
            <w:pPr>
              <w:jc w:val="both"/>
              <w:rPr>
                <w:szCs w:val="24"/>
                <w:lang w:eastAsia="en-US"/>
              </w:rPr>
            </w:pPr>
            <w:r>
              <w:rPr>
                <w:szCs w:val="24"/>
                <w:lang w:eastAsia="en-US"/>
              </w:rPr>
              <w:t>B</w:t>
            </w:r>
            <w:r>
              <w:rPr>
                <w:lang w:eastAsia="en-US"/>
              </w:rPr>
              <w:t>E PRES</w:t>
            </w:r>
          </w:p>
        </w:tc>
        <w:tc>
          <w:tcPr>
            <w:tcW w:w="7548" w:type="dxa"/>
            <w:tcBorders>
              <w:top w:val="nil"/>
              <w:left w:val="nil"/>
              <w:bottom w:val="nil"/>
              <w:right w:val="nil"/>
            </w:tcBorders>
          </w:tcPr>
          <w:p w14:paraId="28400DB0" w14:textId="7D141B91" w:rsidR="00803172" w:rsidRPr="00F65C0A" w:rsidRDefault="00803172" w:rsidP="00F16D0C">
            <w:pPr>
              <w:jc w:val="both"/>
              <w:rPr>
                <w:szCs w:val="24"/>
                <w:lang w:eastAsia="en-US"/>
              </w:rPr>
            </w:pPr>
            <w:r>
              <w:rPr>
                <w:szCs w:val="24"/>
                <w:lang w:eastAsia="en-US"/>
              </w:rPr>
              <w:t>belgické predsedníctvo Rady EÚ</w:t>
            </w:r>
          </w:p>
        </w:tc>
      </w:tr>
      <w:tr w:rsidR="00DF49C6" w:rsidRPr="00C13965" w14:paraId="134AC2BB" w14:textId="77777777" w:rsidTr="00C13A84">
        <w:tc>
          <w:tcPr>
            <w:tcW w:w="2552" w:type="dxa"/>
            <w:tcBorders>
              <w:top w:val="nil"/>
              <w:left w:val="nil"/>
              <w:bottom w:val="nil"/>
              <w:right w:val="nil"/>
            </w:tcBorders>
            <w:hideMark/>
          </w:tcPr>
          <w:p w14:paraId="76FCE1D2" w14:textId="40B661AC" w:rsidR="00DF49C6" w:rsidRPr="00C13965" w:rsidRDefault="00DF49C6" w:rsidP="00F16D0C">
            <w:pPr>
              <w:jc w:val="both"/>
              <w:rPr>
                <w:rStyle w:val="A9"/>
                <w:rFonts w:cs="Times New Roman"/>
                <w:sz w:val="24"/>
                <w:szCs w:val="24"/>
              </w:rPr>
            </w:pPr>
            <w:r>
              <w:rPr>
                <w:szCs w:val="24"/>
                <w:lang w:eastAsia="en-US"/>
              </w:rPr>
              <w:t>BN</w:t>
            </w:r>
          </w:p>
        </w:tc>
        <w:tc>
          <w:tcPr>
            <w:tcW w:w="7548" w:type="dxa"/>
            <w:tcBorders>
              <w:top w:val="nil"/>
              <w:left w:val="nil"/>
              <w:bottom w:val="nil"/>
              <w:right w:val="nil"/>
            </w:tcBorders>
            <w:hideMark/>
          </w:tcPr>
          <w:p w14:paraId="5E703FC1" w14:textId="08F27C58" w:rsidR="00DF49C6" w:rsidRPr="00C13965" w:rsidRDefault="00DF49C6" w:rsidP="00F16D0C">
            <w:pPr>
              <w:jc w:val="both"/>
              <w:rPr>
                <w:rStyle w:val="A9"/>
                <w:rFonts w:cs="Times New Roman"/>
                <w:sz w:val="24"/>
                <w:szCs w:val="24"/>
              </w:rPr>
            </w:pPr>
            <w:r>
              <w:rPr>
                <w:szCs w:val="24"/>
                <w:lang w:eastAsia="en-US"/>
              </w:rPr>
              <w:t>bezpečnostný návod</w:t>
            </w:r>
          </w:p>
        </w:tc>
      </w:tr>
      <w:tr w:rsidR="001F1710" w:rsidRPr="00C13965" w14:paraId="23FC82C9" w14:textId="77777777" w:rsidTr="00C13A84">
        <w:tc>
          <w:tcPr>
            <w:tcW w:w="2552" w:type="dxa"/>
            <w:tcBorders>
              <w:top w:val="nil"/>
              <w:left w:val="nil"/>
              <w:bottom w:val="nil"/>
              <w:right w:val="nil"/>
            </w:tcBorders>
          </w:tcPr>
          <w:p w14:paraId="3F2491CA" w14:textId="2241E0C0" w:rsidR="001F1710" w:rsidRDefault="001F1710" w:rsidP="00F16D0C">
            <w:pPr>
              <w:jc w:val="both"/>
              <w:rPr>
                <w:szCs w:val="24"/>
                <w:lang w:eastAsia="en-US"/>
              </w:rPr>
            </w:pPr>
            <w:r>
              <w:rPr>
                <w:szCs w:val="24"/>
                <w:lang w:eastAsia="en-US"/>
              </w:rPr>
              <w:t>BOR</w:t>
            </w:r>
          </w:p>
        </w:tc>
        <w:tc>
          <w:tcPr>
            <w:tcW w:w="7548" w:type="dxa"/>
            <w:tcBorders>
              <w:top w:val="nil"/>
              <w:left w:val="nil"/>
              <w:bottom w:val="nil"/>
              <w:right w:val="nil"/>
            </w:tcBorders>
          </w:tcPr>
          <w:p w14:paraId="78F9D8BB" w14:textId="4700DF2A" w:rsidR="001F1710" w:rsidRDefault="001F1710" w:rsidP="00F16D0C">
            <w:pPr>
              <w:jc w:val="both"/>
              <w:rPr>
                <w:szCs w:val="24"/>
                <w:lang w:eastAsia="en-US"/>
              </w:rPr>
            </w:pPr>
            <w:r>
              <w:rPr>
                <w:szCs w:val="24"/>
                <w:lang w:eastAsia="en-US"/>
              </w:rPr>
              <w:t>blok ochranných rúr</w:t>
            </w:r>
          </w:p>
        </w:tc>
      </w:tr>
      <w:tr w:rsidR="00DF49C6" w:rsidRPr="00C13965" w14:paraId="3D1FB427" w14:textId="77777777" w:rsidTr="00C13A84">
        <w:tc>
          <w:tcPr>
            <w:tcW w:w="2552" w:type="dxa"/>
            <w:tcBorders>
              <w:top w:val="nil"/>
              <w:left w:val="nil"/>
              <w:bottom w:val="nil"/>
              <w:right w:val="nil"/>
            </w:tcBorders>
          </w:tcPr>
          <w:p w14:paraId="56625388" w14:textId="5AE77CEE" w:rsidR="00DF49C6" w:rsidRPr="00C13965" w:rsidRDefault="00DF49C6" w:rsidP="00F16D0C">
            <w:pPr>
              <w:jc w:val="both"/>
              <w:rPr>
                <w:szCs w:val="24"/>
                <w:lang w:eastAsia="en-US"/>
              </w:rPr>
            </w:pPr>
            <w:r>
              <w:rPr>
                <w:rStyle w:val="A9"/>
                <w:rFonts w:cs="Times New Roman"/>
                <w:sz w:val="24"/>
                <w:szCs w:val="24"/>
              </w:rPr>
              <w:t>BRÚ</w:t>
            </w:r>
          </w:p>
        </w:tc>
        <w:tc>
          <w:tcPr>
            <w:tcW w:w="7548" w:type="dxa"/>
            <w:tcBorders>
              <w:top w:val="nil"/>
              <w:left w:val="nil"/>
              <w:bottom w:val="nil"/>
              <w:right w:val="nil"/>
            </w:tcBorders>
          </w:tcPr>
          <w:p w14:paraId="152B671E" w14:textId="7BA2145D" w:rsidR="00DF49C6" w:rsidRPr="00C13965" w:rsidRDefault="00DF49C6" w:rsidP="00F16D0C">
            <w:pPr>
              <w:jc w:val="both"/>
              <w:rPr>
                <w:szCs w:val="24"/>
                <w:lang w:eastAsia="en-US"/>
              </w:rPr>
            </w:pPr>
            <w:r>
              <w:rPr>
                <w:rStyle w:val="A9"/>
                <w:rFonts w:cs="Times New Roman"/>
                <w:sz w:val="24"/>
                <w:szCs w:val="24"/>
              </w:rPr>
              <w:t xml:space="preserve">bezpečnostné referenčné úrovne, angl. </w:t>
            </w:r>
            <w:proofErr w:type="spellStart"/>
            <w:r>
              <w:rPr>
                <w:rStyle w:val="A9"/>
                <w:rFonts w:cs="Times New Roman"/>
                <w:sz w:val="24"/>
                <w:szCs w:val="24"/>
              </w:rPr>
              <w:t>SRLs</w:t>
            </w:r>
            <w:proofErr w:type="spellEnd"/>
          </w:p>
        </w:tc>
      </w:tr>
      <w:tr w:rsidR="00D13F98" w:rsidRPr="00C13965" w14:paraId="53BB029B" w14:textId="77777777" w:rsidTr="00C13A84">
        <w:tc>
          <w:tcPr>
            <w:tcW w:w="2552" w:type="dxa"/>
            <w:tcBorders>
              <w:top w:val="nil"/>
              <w:left w:val="nil"/>
              <w:bottom w:val="nil"/>
              <w:right w:val="nil"/>
            </w:tcBorders>
          </w:tcPr>
          <w:p w14:paraId="149D925C" w14:textId="2103BBFE" w:rsidR="00D13F98" w:rsidRDefault="00D13F98" w:rsidP="00F16D0C">
            <w:pPr>
              <w:jc w:val="both"/>
              <w:rPr>
                <w:rStyle w:val="A9"/>
                <w:rFonts w:cs="Times New Roman"/>
                <w:sz w:val="24"/>
                <w:szCs w:val="24"/>
              </w:rPr>
            </w:pPr>
            <w:r>
              <w:rPr>
                <w:rStyle w:val="A9"/>
                <w:rFonts w:cs="Times New Roman"/>
                <w:sz w:val="24"/>
                <w:szCs w:val="24"/>
              </w:rPr>
              <w:t>BV</w:t>
            </w:r>
          </w:p>
        </w:tc>
        <w:tc>
          <w:tcPr>
            <w:tcW w:w="7548" w:type="dxa"/>
            <w:tcBorders>
              <w:top w:val="nil"/>
              <w:left w:val="nil"/>
              <w:bottom w:val="nil"/>
              <w:right w:val="nil"/>
            </w:tcBorders>
          </w:tcPr>
          <w:p w14:paraId="7C04804D" w14:textId="753FA1AE" w:rsidR="00D13F98" w:rsidRDefault="00D13F98" w:rsidP="00F16D0C">
            <w:pPr>
              <w:jc w:val="both"/>
              <w:rPr>
                <w:rStyle w:val="A9"/>
                <w:rFonts w:cs="Times New Roman"/>
                <w:sz w:val="24"/>
                <w:szCs w:val="24"/>
              </w:rPr>
            </w:pPr>
            <w:r>
              <w:rPr>
                <w:rStyle w:val="A9"/>
                <w:rFonts w:cs="Times New Roman"/>
                <w:sz w:val="24"/>
                <w:szCs w:val="24"/>
              </w:rPr>
              <w:t>bežné výdavky</w:t>
            </w:r>
          </w:p>
        </w:tc>
      </w:tr>
      <w:tr w:rsidR="00DF49C6" w:rsidRPr="00C13965" w14:paraId="2A48EE1E" w14:textId="77777777" w:rsidTr="009B7A77">
        <w:tc>
          <w:tcPr>
            <w:tcW w:w="2552" w:type="dxa"/>
            <w:tcBorders>
              <w:top w:val="nil"/>
              <w:left w:val="nil"/>
              <w:bottom w:val="nil"/>
              <w:right w:val="nil"/>
            </w:tcBorders>
          </w:tcPr>
          <w:p w14:paraId="361D3DD3" w14:textId="1881596C"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BSC RAO</w:t>
            </w:r>
          </w:p>
        </w:tc>
        <w:tc>
          <w:tcPr>
            <w:tcW w:w="7548" w:type="dxa"/>
            <w:tcBorders>
              <w:top w:val="nil"/>
              <w:left w:val="nil"/>
              <w:bottom w:val="nil"/>
              <w:right w:val="nil"/>
            </w:tcBorders>
          </w:tcPr>
          <w:p w14:paraId="1AD9A2D8" w14:textId="61E62DBE"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Bohunické spracovateľské centrum rádioaktívnych odpadov</w:t>
            </w:r>
          </w:p>
        </w:tc>
      </w:tr>
      <w:tr w:rsidR="00DF49C6" w:rsidRPr="00C13965" w14:paraId="6ABA775B" w14:textId="77777777" w:rsidTr="00C13A84">
        <w:tc>
          <w:tcPr>
            <w:tcW w:w="2552" w:type="dxa"/>
            <w:tcBorders>
              <w:top w:val="nil"/>
              <w:left w:val="nil"/>
              <w:bottom w:val="nil"/>
              <w:right w:val="nil"/>
            </w:tcBorders>
            <w:hideMark/>
          </w:tcPr>
          <w:p w14:paraId="6443B2F8" w14:textId="7FE6BA0F"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CHO</w:t>
            </w:r>
          </w:p>
        </w:tc>
        <w:tc>
          <w:tcPr>
            <w:tcW w:w="7548" w:type="dxa"/>
            <w:tcBorders>
              <w:top w:val="nil"/>
              <w:left w:val="nil"/>
              <w:bottom w:val="nil"/>
              <w:right w:val="nil"/>
            </w:tcBorders>
            <w:hideMark/>
          </w:tcPr>
          <w:p w14:paraId="1435B055" w14:textId="3CD16200"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Centrum havarijnej odozvy</w:t>
            </w:r>
          </w:p>
        </w:tc>
      </w:tr>
      <w:tr w:rsidR="00803172" w:rsidRPr="00C13965" w14:paraId="27A19226" w14:textId="77777777" w:rsidTr="00C13A84">
        <w:tc>
          <w:tcPr>
            <w:tcW w:w="2552" w:type="dxa"/>
            <w:tcBorders>
              <w:top w:val="nil"/>
              <w:left w:val="nil"/>
              <w:bottom w:val="nil"/>
              <w:right w:val="nil"/>
            </w:tcBorders>
          </w:tcPr>
          <w:p w14:paraId="28D24493" w14:textId="4C1A4D10" w:rsidR="00803172" w:rsidRPr="00C13965" w:rsidRDefault="00803172" w:rsidP="00F16D0C">
            <w:pPr>
              <w:jc w:val="both"/>
              <w:rPr>
                <w:rStyle w:val="A9"/>
                <w:rFonts w:cs="Times New Roman"/>
                <w:sz w:val="24"/>
                <w:szCs w:val="24"/>
                <w:lang w:eastAsia="en-US"/>
              </w:rPr>
            </w:pPr>
            <w:r>
              <w:rPr>
                <w:rStyle w:val="A9"/>
                <w:rFonts w:cs="Times New Roman"/>
                <w:sz w:val="24"/>
                <w:szCs w:val="24"/>
                <w:lang w:eastAsia="en-US"/>
              </w:rPr>
              <w:t>C</w:t>
            </w:r>
            <w:r>
              <w:rPr>
                <w:rStyle w:val="A9"/>
                <w:rFonts w:cs="Times New Roman"/>
                <w:sz w:val="24"/>
              </w:rPr>
              <w:t>ISSS</w:t>
            </w:r>
          </w:p>
        </w:tc>
        <w:tc>
          <w:tcPr>
            <w:tcW w:w="7548" w:type="dxa"/>
            <w:tcBorders>
              <w:top w:val="nil"/>
              <w:left w:val="nil"/>
              <w:bottom w:val="nil"/>
              <w:right w:val="nil"/>
            </w:tcBorders>
          </w:tcPr>
          <w:p w14:paraId="259D891B" w14:textId="7FF54D73" w:rsidR="00803172" w:rsidRPr="00C13965" w:rsidRDefault="00803172" w:rsidP="00F16D0C">
            <w:pPr>
              <w:jc w:val="both"/>
              <w:rPr>
                <w:rStyle w:val="A9"/>
                <w:rFonts w:cs="Times New Roman"/>
                <w:sz w:val="24"/>
                <w:szCs w:val="24"/>
                <w:lang w:eastAsia="en-US"/>
              </w:rPr>
            </w:pPr>
            <w:r w:rsidRPr="00803172">
              <w:rPr>
                <w:rStyle w:val="A9"/>
                <w:rFonts w:cs="Times New Roman"/>
                <w:sz w:val="24"/>
                <w:szCs w:val="24"/>
                <w:lang w:eastAsia="en-US"/>
              </w:rPr>
              <w:t>Centrálny informačný systém štátnej služby</w:t>
            </w:r>
          </w:p>
        </w:tc>
      </w:tr>
      <w:tr w:rsidR="00DF49C6" w:rsidRPr="00C13965" w14:paraId="2A9D63A1" w14:textId="77777777" w:rsidTr="00C13A84">
        <w:tc>
          <w:tcPr>
            <w:tcW w:w="2552" w:type="dxa"/>
            <w:tcBorders>
              <w:top w:val="nil"/>
              <w:left w:val="nil"/>
              <w:bottom w:val="nil"/>
              <w:right w:val="nil"/>
            </w:tcBorders>
            <w:hideMark/>
          </w:tcPr>
          <w:p w14:paraId="0E81CD08" w14:textId="47A6151E" w:rsidR="00DF49C6" w:rsidRPr="00C13965" w:rsidRDefault="00DF49C6" w:rsidP="00F16D0C">
            <w:pPr>
              <w:jc w:val="both"/>
              <w:rPr>
                <w:rStyle w:val="A9"/>
                <w:rFonts w:cs="Times New Roman"/>
                <w:sz w:val="24"/>
                <w:szCs w:val="24"/>
              </w:rPr>
            </w:pPr>
            <w:r w:rsidRPr="00C13965">
              <w:rPr>
                <w:szCs w:val="24"/>
                <w:lang w:eastAsia="en-US"/>
              </w:rPr>
              <w:t>CSS</w:t>
            </w:r>
          </w:p>
        </w:tc>
        <w:tc>
          <w:tcPr>
            <w:tcW w:w="7548" w:type="dxa"/>
            <w:tcBorders>
              <w:top w:val="nil"/>
              <w:left w:val="nil"/>
              <w:bottom w:val="nil"/>
              <w:right w:val="nil"/>
            </w:tcBorders>
            <w:hideMark/>
          </w:tcPr>
          <w:p w14:paraId="24A35FC2" w14:textId="0DA236E6" w:rsidR="00DF49C6" w:rsidRPr="00C13965" w:rsidRDefault="00DF49C6" w:rsidP="00F16D0C">
            <w:pPr>
              <w:jc w:val="both"/>
              <w:rPr>
                <w:rStyle w:val="A9"/>
                <w:rFonts w:cs="Times New Roman"/>
                <w:sz w:val="24"/>
                <w:szCs w:val="24"/>
              </w:rPr>
            </w:pPr>
            <w:r w:rsidRPr="00C13965">
              <w:rPr>
                <w:szCs w:val="24"/>
                <w:lang w:eastAsia="en-US"/>
              </w:rPr>
              <w:t>Komisia pre bezpečnostné štandardy MAAE</w:t>
            </w:r>
            <w:r w:rsidR="007D26CA">
              <w:rPr>
                <w:szCs w:val="24"/>
                <w:lang w:eastAsia="en-US"/>
              </w:rPr>
              <w:t>,</w:t>
            </w:r>
            <w:r w:rsidR="007D26CA">
              <w:t xml:space="preserve"> angl. </w:t>
            </w:r>
            <w:proofErr w:type="spellStart"/>
            <w:r w:rsidR="007D26CA">
              <w:t>Commission</w:t>
            </w:r>
            <w:proofErr w:type="spellEnd"/>
            <w:r w:rsidR="007D26CA">
              <w:t xml:space="preserve"> on </w:t>
            </w:r>
            <w:proofErr w:type="spellStart"/>
            <w:r w:rsidR="007D26CA">
              <w:t>Safety</w:t>
            </w:r>
            <w:proofErr w:type="spellEnd"/>
            <w:r w:rsidR="007D26CA">
              <w:t xml:space="preserve"> </w:t>
            </w:r>
            <w:proofErr w:type="spellStart"/>
            <w:r w:rsidR="007D26CA">
              <w:t>Standards</w:t>
            </w:r>
            <w:proofErr w:type="spellEnd"/>
          </w:p>
        </w:tc>
      </w:tr>
      <w:tr w:rsidR="00DF49C6" w:rsidRPr="00C13965" w14:paraId="3379D0A0" w14:textId="77777777" w:rsidTr="00C13A84">
        <w:tc>
          <w:tcPr>
            <w:tcW w:w="2552" w:type="dxa"/>
            <w:tcBorders>
              <w:top w:val="nil"/>
              <w:left w:val="nil"/>
              <w:bottom w:val="nil"/>
              <w:right w:val="nil"/>
            </w:tcBorders>
            <w:hideMark/>
          </w:tcPr>
          <w:p w14:paraId="7303DC45" w14:textId="0130A658" w:rsidR="00DF49C6" w:rsidRPr="00C13965" w:rsidRDefault="00DF49C6" w:rsidP="00F16D0C">
            <w:pPr>
              <w:jc w:val="both"/>
              <w:rPr>
                <w:rStyle w:val="A9"/>
                <w:rFonts w:cs="Times New Roman"/>
                <w:sz w:val="24"/>
                <w:szCs w:val="24"/>
              </w:rPr>
            </w:pPr>
            <w:r>
              <w:rPr>
                <w:rStyle w:val="A9"/>
                <w:rFonts w:cs="Times New Roman"/>
                <w:sz w:val="24"/>
                <w:szCs w:val="24"/>
                <w:lang w:eastAsia="en-US"/>
              </w:rPr>
              <w:t>C</w:t>
            </w:r>
            <w:r>
              <w:rPr>
                <w:rStyle w:val="A9"/>
                <w:rFonts w:cs="Times New Roman"/>
                <w:sz w:val="24"/>
                <w:szCs w:val="24"/>
              </w:rPr>
              <w:t>TBT</w:t>
            </w:r>
          </w:p>
        </w:tc>
        <w:tc>
          <w:tcPr>
            <w:tcW w:w="7548" w:type="dxa"/>
            <w:tcBorders>
              <w:top w:val="nil"/>
              <w:left w:val="nil"/>
              <w:bottom w:val="nil"/>
              <w:right w:val="nil"/>
            </w:tcBorders>
            <w:hideMark/>
          </w:tcPr>
          <w:p w14:paraId="76263986" w14:textId="33566951" w:rsidR="00DF49C6" w:rsidRPr="00C13965" w:rsidRDefault="00DF49C6" w:rsidP="00F16D0C">
            <w:pPr>
              <w:jc w:val="both"/>
              <w:rPr>
                <w:rStyle w:val="A9"/>
                <w:rFonts w:cs="Times New Roman"/>
                <w:sz w:val="24"/>
                <w:szCs w:val="24"/>
              </w:rPr>
            </w:pPr>
            <w:r>
              <w:rPr>
                <w:rStyle w:val="A9"/>
                <w:rFonts w:cs="Times New Roman"/>
                <w:sz w:val="24"/>
                <w:szCs w:val="24"/>
                <w:lang w:eastAsia="en-US"/>
              </w:rPr>
              <w:t>Z</w:t>
            </w:r>
            <w:r>
              <w:rPr>
                <w:rStyle w:val="A9"/>
                <w:rFonts w:cs="Times New Roman"/>
                <w:sz w:val="24"/>
                <w:szCs w:val="24"/>
              </w:rPr>
              <w:t>mluva o všeobecnom zákaze jadrových skúšok</w:t>
            </w:r>
            <w:r w:rsidR="007D26CA">
              <w:rPr>
                <w:rStyle w:val="A9"/>
                <w:rFonts w:cs="Times New Roman"/>
                <w:sz w:val="24"/>
                <w:szCs w:val="24"/>
              </w:rPr>
              <w:t xml:space="preserve">, angl. </w:t>
            </w:r>
            <w:proofErr w:type="spellStart"/>
            <w:r w:rsidR="007D26CA">
              <w:rPr>
                <w:rStyle w:val="A9"/>
                <w:rFonts w:cs="Times New Roman"/>
                <w:sz w:val="24"/>
                <w:szCs w:val="24"/>
              </w:rPr>
              <w:t>Comprehensive</w:t>
            </w:r>
            <w:proofErr w:type="spellEnd"/>
            <w:r w:rsidR="007D26CA">
              <w:rPr>
                <w:rStyle w:val="A9"/>
                <w:rFonts w:cs="Times New Roman"/>
                <w:sz w:val="24"/>
                <w:szCs w:val="24"/>
              </w:rPr>
              <w:t xml:space="preserve"> </w:t>
            </w:r>
            <w:proofErr w:type="spellStart"/>
            <w:r w:rsidR="007D26CA">
              <w:rPr>
                <w:rStyle w:val="A9"/>
                <w:rFonts w:cs="Times New Roman"/>
                <w:sz w:val="24"/>
                <w:szCs w:val="24"/>
              </w:rPr>
              <w:t>Nuclear</w:t>
            </w:r>
            <w:proofErr w:type="spellEnd"/>
            <w:r w:rsidR="007D26CA">
              <w:rPr>
                <w:rStyle w:val="A9"/>
                <w:rFonts w:cs="Times New Roman"/>
                <w:sz w:val="24"/>
                <w:szCs w:val="24"/>
              </w:rPr>
              <w:t xml:space="preserve">-Test-Ban </w:t>
            </w:r>
            <w:proofErr w:type="spellStart"/>
            <w:r w:rsidR="007D26CA">
              <w:rPr>
                <w:rStyle w:val="A9"/>
                <w:rFonts w:cs="Times New Roman"/>
                <w:sz w:val="24"/>
                <w:szCs w:val="24"/>
              </w:rPr>
              <w:t>Treaty</w:t>
            </w:r>
            <w:proofErr w:type="spellEnd"/>
          </w:p>
        </w:tc>
      </w:tr>
      <w:tr w:rsidR="00DF49C6" w:rsidRPr="00C13965" w14:paraId="6BA918B8" w14:textId="77777777" w:rsidTr="00C13A84">
        <w:tc>
          <w:tcPr>
            <w:tcW w:w="2552" w:type="dxa"/>
            <w:tcBorders>
              <w:top w:val="nil"/>
              <w:left w:val="nil"/>
              <w:bottom w:val="nil"/>
              <w:right w:val="nil"/>
            </w:tcBorders>
          </w:tcPr>
          <w:p w14:paraId="3C25A80A" w14:textId="2894E75B"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CTBTO</w:t>
            </w:r>
          </w:p>
        </w:tc>
        <w:tc>
          <w:tcPr>
            <w:tcW w:w="7548" w:type="dxa"/>
            <w:tcBorders>
              <w:top w:val="nil"/>
              <w:left w:val="nil"/>
              <w:bottom w:val="nil"/>
              <w:right w:val="nil"/>
            </w:tcBorders>
          </w:tcPr>
          <w:p w14:paraId="0BAC4A3F" w14:textId="5A229977"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 xml:space="preserve">Organizácia </w:t>
            </w:r>
            <w:r>
              <w:rPr>
                <w:rStyle w:val="A9"/>
                <w:rFonts w:cs="Times New Roman"/>
                <w:sz w:val="24"/>
                <w:szCs w:val="24"/>
                <w:lang w:eastAsia="en-US"/>
              </w:rPr>
              <w:t>Z</w:t>
            </w:r>
            <w:r w:rsidRPr="00C13965">
              <w:rPr>
                <w:rStyle w:val="A9"/>
                <w:rFonts w:cs="Times New Roman"/>
                <w:sz w:val="24"/>
                <w:szCs w:val="24"/>
                <w:lang w:eastAsia="en-US"/>
              </w:rPr>
              <w:t>mluvy o všeobecnom zákaze jadrových skúšok</w:t>
            </w:r>
            <w:r w:rsidR="007D26CA">
              <w:rPr>
                <w:rStyle w:val="A9"/>
                <w:rFonts w:cs="Times New Roman"/>
                <w:sz w:val="24"/>
                <w:szCs w:val="24"/>
                <w:lang w:eastAsia="en-US"/>
              </w:rPr>
              <w:t xml:space="preserve">, angl. </w:t>
            </w:r>
            <w:proofErr w:type="spellStart"/>
            <w:r w:rsidR="007D26CA">
              <w:rPr>
                <w:rStyle w:val="A9"/>
                <w:rFonts w:cs="Times New Roman"/>
                <w:sz w:val="24"/>
                <w:szCs w:val="24"/>
              </w:rPr>
              <w:t>Comprehensive</w:t>
            </w:r>
            <w:proofErr w:type="spellEnd"/>
            <w:r w:rsidR="007D26CA">
              <w:rPr>
                <w:rStyle w:val="A9"/>
                <w:rFonts w:cs="Times New Roman"/>
                <w:sz w:val="24"/>
                <w:szCs w:val="24"/>
              </w:rPr>
              <w:t xml:space="preserve"> </w:t>
            </w:r>
            <w:proofErr w:type="spellStart"/>
            <w:r w:rsidR="007D26CA">
              <w:rPr>
                <w:rStyle w:val="A9"/>
                <w:rFonts w:cs="Times New Roman"/>
                <w:sz w:val="24"/>
                <w:szCs w:val="24"/>
              </w:rPr>
              <w:t>Nuclear</w:t>
            </w:r>
            <w:proofErr w:type="spellEnd"/>
            <w:r w:rsidR="007D26CA">
              <w:rPr>
                <w:rStyle w:val="A9"/>
                <w:rFonts w:cs="Times New Roman"/>
                <w:sz w:val="24"/>
                <w:szCs w:val="24"/>
              </w:rPr>
              <w:t xml:space="preserve">-Test-Ban </w:t>
            </w:r>
            <w:proofErr w:type="spellStart"/>
            <w:r w:rsidR="007D26CA">
              <w:rPr>
                <w:rStyle w:val="A9"/>
                <w:rFonts w:cs="Times New Roman"/>
                <w:sz w:val="24"/>
                <w:szCs w:val="24"/>
              </w:rPr>
              <w:t>Treaty</w:t>
            </w:r>
            <w:proofErr w:type="spellEnd"/>
            <w:r w:rsidR="007D26CA">
              <w:rPr>
                <w:rStyle w:val="A9"/>
                <w:rFonts w:cs="Times New Roman"/>
                <w:sz w:val="24"/>
                <w:szCs w:val="24"/>
              </w:rPr>
              <w:t xml:space="preserve"> </w:t>
            </w:r>
            <w:proofErr w:type="spellStart"/>
            <w:r w:rsidR="007D26CA">
              <w:rPr>
                <w:rStyle w:val="A9"/>
                <w:rFonts w:cs="Times New Roman"/>
                <w:sz w:val="24"/>
                <w:szCs w:val="24"/>
              </w:rPr>
              <w:t>Organisation</w:t>
            </w:r>
            <w:proofErr w:type="spellEnd"/>
          </w:p>
        </w:tc>
      </w:tr>
      <w:tr w:rsidR="00DF49C6" w:rsidRPr="00C13965" w14:paraId="11A75928" w14:textId="77777777" w:rsidTr="00C13A84">
        <w:tc>
          <w:tcPr>
            <w:tcW w:w="2552" w:type="dxa"/>
            <w:tcBorders>
              <w:top w:val="nil"/>
              <w:left w:val="nil"/>
              <w:bottom w:val="nil"/>
              <w:right w:val="nil"/>
            </w:tcBorders>
            <w:hideMark/>
          </w:tcPr>
          <w:p w14:paraId="63456935" w14:textId="36D35BD4" w:rsidR="00DF49C6" w:rsidRPr="00C13965" w:rsidRDefault="00DF49C6" w:rsidP="00F16D0C">
            <w:pPr>
              <w:jc w:val="both"/>
              <w:rPr>
                <w:szCs w:val="24"/>
                <w:lang w:eastAsia="en-US"/>
              </w:rPr>
            </w:pPr>
            <w:r w:rsidRPr="00C13965">
              <w:rPr>
                <w:rStyle w:val="A9"/>
                <w:rFonts w:cs="Times New Roman"/>
                <w:sz w:val="24"/>
                <w:szCs w:val="24"/>
                <w:lang w:eastAsia="en-US"/>
              </w:rPr>
              <w:t>ČJP</w:t>
            </w:r>
          </w:p>
        </w:tc>
        <w:tc>
          <w:tcPr>
            <w:tcW w:w="7548" w:type="dxa"/>
            <w:tcBorders>
              <w:top w:val="nil"/>
              <w:left w:val="nil"/>
              <w:bottom w:val="nil"/>
              <w:right w:val="nil"/>
            </w:tcBorders>
            <w:hideMark/>
          </w:tcPr>
          <w:p w14:paraId="78E20359" w14:textId="165CEC32" w:rsidR="00DF49C6" w:rsidRPr="00C13965" w:rsidRDefault="00DF49C6" w:rsidP="00F16D0C">
            <w:pPr>
              <w:jc w:val="both"/>
              <w:rPr>
                <w:szCs w:val="24"/>
                <w:lang w:eastAsia="en-US"/>
              </w:rPr>
            </w:pPr>
            <w:r w:rsidRPr="00C13965">
              <w:rPr>
                <w:rStyle w:val="A9"/>
                <w:rFonts w:cs="Times New Roman"/>
                <w:sz w:val="24"/>
                <w:szCs w:val="24"/>
                <w:lang w:eastAsia="en-US"/>
              </w:rPr>
              <w:t>čerstvé jadrové palivo</w:t>
            </w:r>
          </w:p>
        </w:tc>
      </w:tr>
      <w:tr w:rsidR="00DF49C6" w:rsidRPr="00C13965" w14:paraId="1D219A04" w14:textId="77777777" w:rsidTr="00C13A84">
        <w:tc>
          <w:tcPr>
            <w:tcW w:w="2552" w:type="dxa"/>
            <w:tcBorders>
              <w:top w:val="nil"/>
              <w:left w:val="nil"/>
              <w:bottom w:val="nil"/>
              <w:right w:val="nil"/>
            </w:tcBorders>
            <w:hideMark/>
          </w:tcPr>
          <w:p w14:paraId="5C1415B1" w14:textId="31C99206" w:rsidR="00DF49C6" w:rsidRPr="00C13965" w:rsidRDefault="00DF49C6" w:rsidP="00F16D0C">
            <w:pPr>
              <w:jc w:val="both"/>
              <w:rPr>
                <w:szCs w:val="24"/>
                <w:lang w:eastAsia="en-US"/>
              </w:rPr>
            </w:pPr>
            <w:r w:rsidRPr="00C13965">
              <w:rPr>
                <w:rStyle w:val="A9"/>
                <w:rFonts w:cs="Times New Roman"/>
                <w:sz w:val="24"/>
                <w:szCs w:val="24"/>
                <w:lang w:eastAsia="en-US"/>
              </w:rPr>
              <w:t>DBL</w:t>
            </w:r>
          </w:p>
        </w:tc>
        <w:tc>
          <w:tcPr>
            <w:tcW w:w="7548" w:type="dxa"/>
            <w:tcBorders>
              <w:top w:val="nil"/>
              <w:left w:val="nil"/>
              <w:bottom w:val="nil"/>
              <w:right w:val="nil"/>
            </w:tcBorders>
            <w:hideMark/>
          </w:tcPr>
          <w:p w14:paraId="0991100E" w14:textId="4B4A2526" w:rsidR="00DF49C6" w:rsidRPr="00C13965" w:rsidRDefault="00DF49C6" w:rsidP="00F16D0C">
            <w:pPr>
              <w:jc w:val="both"/>
              <w:rPr>
                <w:szCs w:val="24"/>
                <w:lang w:eastAsia="en-US"/>
              </w:rPr>
            </w:pPr>
            <w:r w:rsidRPr="00C13965">
              <w:rPr>
                <w:rStyle w:val="A9"/>
                <w:rFonts w:cs="Times New Roman"/>
                <w:sz w:val="24"/>
                <w:szCs w:val="24"/>
                <w:lang w:eastAsia="en-US"/>
              </w:rPr>
              <w:t xml:space="preserve">diskontinuálna </w:t>
            </w:r>
            <w:proofErr w:type="spellStart"/>
            <w:r w:rsidRPr="00C13965">
              <w:rPr>
                <w:rStyle w:val="A9"/>
                <w:rFonts w:cs="Times New Roman"/>
                <w:sz w:val="24"/>
                <w:szCs w:val="24"/>
                <w:lang w:eastAsia="en-US"/>
              </w:rPr>
              <w:t>bitúmenačná</w:t>
            </w:r>
            <w:proofErr w:type="spellEnd"/>
            <w:r w:rsidRPr="00C13965">
              <w:rPr>
                <w:rStyle w:val="A9"/>
                <w:rFonts w:cs="Times New Roman"/>
                <w:sz w:val="24"/>
                <w:szCs w:val="24"/>
                <w:lang w:eastAsia="en-US"/>
              </w:rPr>
              <w:t xml:space="preserve"> linka</w:t>
            </w:r>
          </w:p>
        </w:tc>
      </w:tr>
      <w:tr w:rsidR="00DF49C6" w:rsidRPr="00C13965" w14:paraId="6DEBA0D6" w14:textId="77777777" w:rsidTr="00C13A84">
        <w:tc>
          <w:tcPr>
            <w:tcW w:w="2552" w:type="dxa"/>
            <w:tcBorders>
              <w:top w:val="nil"/>
              <w:left w:val="nil"/>
              <w:bottom w:val="nil"/>
              <w:right w:val="nil"/>
            </w:tcBorders>
            <w:hideMark/>
          </w:tcPr>
          <w:p w14:paraId="676675DD" w14:textId="286AC7D6" w:rsidR="00DF49C6" w:rsidRPr="00C13965" w:rsidRDefault="00DF49C6" w:rsidP="00F16D0C">
            <w:pPr>
              <w:jc w:val="both"/>
              <w:rPr>
                <w:szCs w:val="24"/>
                <w:lang w:eastAsia="en-US"/>
              </w:rPr>
            </w:pPr>
            <w:r>
              <w:rPr>
                <w:rStyle w:val="A9"/>
                <w:rFonts w:cs="Times New Roman"/>
                <w:sz w:val="24"/>
                <w:szCs w:val="24"/>
                <w:lang w:eastAsia="en-US"/>
              </w:rPr>
              <w:t>DG</w:t>
            </w:r>
          </w:p>
        </w:tc>
        <w:tc>
          <w:tcPr>
            <w:tcW w:w="7548" w:type="dxa"/>
            <w:tcBorders>
              <w:top w:val="nil"/>
              <w:left w:val="nil"/>
              <w:bottom w:val="nil"/>
              <w:right w:val="nil"/>
            </w:tcBorders>
            <w:hideMark/>
          </w:tcPr>
          <w:p w14:paraId="60C4833D" w14:textId="2E6B4B90" w:rsidR="00DF49C6" w:rsidRPr="00C13965" w:rsidRDefault="00DF49C6" w:rsidP="00F16D0C">
            <w:pPr>
              <w:jc w:val="both"/>
              <w:rPr>
                <w:szCs w:val="24"/>
                <w:lang w:eastAsia="en-US"/>
              </w:rPr>
            </w:pPr>
            <w:proofErr w:type="spellStart"/>
            <w:r>
              <w:rPr>
                <w:rStyle w:val="A9"/>
                <w:rFonts w:cs="Times New Roman"/>
                <w:sz w:val="24"/>
                <w:szCs w:val="24"/>
                <w:lang w:eastAsia="en-US"/>
              </w:rPr>
              <w:t>dieselgenerátor</w:t>
            </w:r>
            <w:proofErr w:type="spellEnd"/>
          </w:p>
        </w:tc>
      </w:tr>
      <w:tr w:rsidR="00DF49C6" w:rsidRPr="00C13965" w14:paraId="565C706B" w14:textId="77777777" w:rsidTr="00C13A84">
        <w:tc>
          <w:tcPr>
            <w:tcW w:w="2552" w:type="dxa"/>
            <w:tcBorders>
              <w:top w:val="nil"/>
              <w:left w:val="nil"/>
              <w:bottom w:val="nil"/>
              <w:right w:val="nil"/>
            </w:tcBorders>
          </w:tcPr>
          <w:p w14:paraId="7524901A" w14:textId="2D43E859" w:rsidR="00DF49C6" w:rsidRPr="00C13965" w:rsidRDefault="00DF49C6" w:rsidP="00F16D0C">
            <w:pPr>
              <w:jc w:val="both"/>
              <w:rPr>
                <w:rStyle w:val="A9"/>
                <w:rFonts w:cs="Times New Roman"/>
                <w:sz w:val="24"/>
                <w:szCs w:val="24"/>
                <w:lang w:eastAsia="en-US"/>
              </w:rPr>
            </w:pPr>
            <w:r w:rsidRPr="00C13965">
              <w:rPr>
                <w:szCs w:val="24"/>
                <w:lang w:eastAsia="en-US"/>
              </w:rPr>
              <w:t>EBO</w:t>
            </w:r>
          </w:p>
        </w:tc>
        <w:tc>
          <w:tcPr>
            <w:tcW w:w="7548" w:type="dxa"/>
            <w:tcBorders>
              <w:top w:val="nil"/>
              <w:left w:val="nil"/>
              <w:bottom w:val="nil"/>
              <w:right w:val="nil"/>
            </w:tcBorders>
          </w:tcPr>
          <w:p w14:paraId="16B91B63" w14:textId="165F3A90" w:rsidR="00DF49C6" w:rsidRPr="00C13965" w:rsidRDefault="00DF49C6" w:rsidP="00F16D0C">
            <w:pPr>
              <w:jc w:val="both"/>
              <w:rPr>
                <w:rStyle w:val="A9"/>
                <w:rFonts w:cs="Times New Roman"/>
                <w:sz w:val="24"/>
                <w:szCs w:val="24"/>
                <w:lang w:eastAsia="en-US"/>
              </w:rPr>
            </w:pPr>
            <w:r w:rsidRPr="00C13965">
              <w:t>jadrová</w:t>
            </w:r>
            <w:r w:rsidRPr="00C13965">
              <w:rPr>
                <w:rStyle w:val="A9"/>
                <w:rFonts w:cs="Times New Roman"/>
                <w:sz w:val="24"/>
                <w:szCs w:val="24"/>
                <w:lang w:eastAsia="en-US"/>
              </w:rPr>
              <w:t xml:space="preserve"> elektráreň Bohunice</w:t>
            </w:r>
          </w:p>
        </w:tc>
      </w:tr>
      <w:tr w:rsidR="00DF49C6" w:rsidRPr="00C13965" w14:paraId="034648CB" w14:textId="77777777" w:rsidTr="00C13A84">
        <w:tc>
          <w:tcPr>
            <w:tcW w:w="2552" w:type="dxa"/>
            <w:tcBorders>
              <w:top w:val="nil"/>
              <w:left w:val="nil"/>
              <w:bottom w:val="nil"/>
              <w:right w:val="nil"/>
            </w:tcBorders>
            <w:hideMark/>
          </w:tcPr>
          <w:p w14:paraId="64EB2041" w14:textId="5192A18B" w:rsidR="00DF49C6" w:rsidRPr="00C13965" w:rsidRDefault="00DF49C6" w:rsidP="00F16D0C">
            <w:pPr>
              <w:jc w:val="both"/>
              <w:rPr>
                <w:szCs w:val="24"/>
                <w:lang w:eastAsia="en-US"/>
              </w:rPr>
            </w:pPr>
            <w:r w:rsidRPr="00C13965">
              <w:rPr>
                <w:rStyle w:val="A9"/>
                <w:rFonts w:cs="Times New Roman"/>
                <w:sz w:val="24"/>
                <w:szCs w:val="24"/>
                <w:lang w:eastAsia="en-US"/>
              </w:rPr>
              <w:t>EK</w:t>
            </w:r>
            <w:r w:rsidR="00803172">
              <w:rPr>
                <w:rStyle w:val="A9"/>
                <w:rFonts w:cs="Times New Roman"/>
                <w:sz w:val="24"/>
                <w:szCs w:val="24"/>
                <w:lang w:eastAsia="en-US"/>
              </w:rPr>
              <w:t>,</w:t>
            </w:r>
            <w:r w:rsidR="00803172">
              <w:rPr>
                <w:rStyle w:val="A9"/>
                <w:rFonts w:cs="Times New Roman"/>
                <w:sz w:val="24"/>
              </w:rPr>
              <w:t xml:space="preserve"> Komisia</w:t>
            </w:r>
          </w:p>
        </w:tc>
        <w:tc>
          <w:tcPr>
            <w:tcW w:w="7548" w:type="dxa"/>
            <w:tcBorders>
              <w:top w:val="nil"/>
              <w:left w:val="nil"/>
              <w:bottom w:val="nil"/>
              <w:right w:val="nil"/>
            </w:tcBorders>
            <w:hideMark/>
          </w:tcPr>
          <w:p w14:paraId="2B414D7C" w14:textId="4A4186E8" w:rsidR="00DF49C6" w:rsidRPr="00C13965" w:rsidRDefault="00DF49C6" w:rsidP="00F16D0C">
            <w:pPr>
              <w:jc w:val="both"/>
              <w:rPr>
                <w:szCs w:val="24"/>
                <w:lang w:eastAsia="en-US"/>
              </w:rPr>
            </w:pPr>
            <w:r w:rsidRPr="00C13965">
              <w:rPr>
                <w:rStyle w:val="A9"/>
                <w:rFonts w:cs="Times New Roman"/>
                <w:sz w:val="24"/>
                <w:szCs w:val="24"/>
                <w:lang w:eastAsia="en-US"/>
              </w:rPr>
              <w:t>Európska komisia</w:t>
            </w:r>
          </w:p>
        </w:tc>
      </w:tr>
      <w:tr w:rsidR="00DF49C6" w:rsidRPr="00C13965" w14:paraId="5319ADE3" w14:textId="77777777" w:rsidTr="00C13A84">
        <w:tc>
          <w:tcPr>
            <w:tcW w:w="2552" w:type="dxa"/>
            <w:tcBorders>
              <w:top w:val="nil"/>
              <w:left w:val="nil"/>
              <w:bottom w:val="nil"/>
              <w:right w:val="nil"/>
            </w:tcBorders>
            <w:hideMark/>
          </w:tcPr>
          <w:p w14:paraId="3A6356CF" w14:textId="327766DA" w:rsidR="00DF49C6" w:rsidRPr="00C13965" w:rsidRDefault="00DF49C6" w:rsidP="00F16D0C">
            <w:pPr>
              <w:jc w:val="both"/>
              <w:rPr>
                <w:szCs w:val="24"/>
                <w:lang w:eastAsia="en-US"/>
              </w:rPr>
            </w:pPr>
            <w:r w:rsidRPr="00C13965">
              <w:rPr>
                <w:szCs w:val="24"/>
                <w:lang w:eastAsia="en-US"/>
              </w:rPr>
              <w:t>EMO</w:t>
            </w:r>
          </w:p>
        </w:tc>
        <w:tc>
          <w:tcPr>
            <w:tcW w:w="7548" w:type="dxa"/>
            <w:tcBorders>
              <w:top w:val="nil"/>
              <w:left w:val="nil"/>
              <w:bottom w:val="nil"/>
              <w:right w:val="nil"/>
            </w:tcBorders>
            <w:hideMark/>
          </w:tcPr>
          <w:p w14:paraId="10060C7C" w14:textId="19B0B0FB" w:rsidR="00DF49C6" w:rsidRPr="00C13965" w:rsidRDefault="00DF49C6" w:rsidP="00F16D0C">
            <w:pPr>
              <w:jc w:val="both"/>
              <w:rPr>
                <w:szCs w:val="24"/>
                <w:lang w:eastAsia="en-US"/>
              </w:rPr>
            </w:pPr>
            <w:r w:rsidRPr="00C13965">
              <w:t>jadrová</w:t>
            </w:r>
            <w:r w:rsidRPr="00C13965">
              <w:rPr>
                <w:rStyle w:val="A9"/>
                <w:rFonts w:cs="Times New Roman"/>
                <w:sz w:val="24"/>
                <w:szCs w:val="24"/>
                <w:lang w:eastAsia="en-US"/>
              </w:rPr>
              <w:t xml:space="preserve"> elektráreň Mochovce</w:t>
            </w:r>
          </w:p>
        </w:tc>
      </w:tr>
      <w:tr w:rsidR="00DF49C6" w:rsidRPr="00C13965" w14:paraId="7CEB4B8F" w14:textId="77777777" w:rsidTr="00C13A84">
        <w:tc>
          <w:tcPr>
            <w:tcW w:w="2552" w:type="dxa"/>
            <w:tcBorders>
              <w:top w:val="nil"/>
              <w:left w:val="nil"/>
              <w:bottom w:val="nil"/>
              <w:right w:val="nil"/>
            </w:tcBorders>
            <w:hideMark/>
          </w:tcPr>
          <w:p w14:paraId="1B30CA30" w14:textId="6663F21C"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ENSREG</w:t>
            </w:r>
          </w:p>
        </w:tc>
        <w:tc>
          <w:tcPr>
            <w:tcW w:w="7548" w:type="dxa"/>
            <w:tcBorders>
              <w:top w:val="nil"/>
              <w:left w:val="nil"/>
              <w:bottom w:val="nil"/>
              <w:right w:val="nil"/>
            </w:tcBorders>
            <w:hideMark/>
          </w:tcPr>
          <w:p w14:paraId="39C95C6B" w14:textId="218804EE"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Skupina európskych dozorov nad jadrovou bezpečnosťou</w:t>
            </w:r>
            <w:r w:rsidR="007D26CA">
              <w:rPr>
                <w:rStyle w:val="A9"/>
                <w:rFonts w:cs="Times New Roman"/>
                <w:sz w:val="24"/>
                <w:szCs w:val="24"/>
                <w:lang w:eastAsia="en-US"/>
              </w:rPr>
              <w:t xml:space="preserve">, angl. </w:t>
            </w:r>
            <w:proofErr w:type="spellStart"/>
            <w:r w:rsidR="007D26CA">
              <w:rPr>
                <w:rStyle w:val="A9"/>
                <w:rFonts w:cs="Times New Roman"/>
                <w:sz w:val="24"/>
                <w:szCs w:val="24"/>
                <w:lang w:eastAsia="en-US"/>
              </w:rPr>
              <w:t>European</w:t>
            </w:r>
            <w:proofErr w:type="spellEnd"/>
            <w:r w:rsidR="007D26CA">
              <w:rPr>
                <w:rStyle w:val="A9"/>
                <w:rFonts w:cs="Times New Roman"/>
                <w:sz w:val="24"/>
                <w:szCs w:val="24"/>
                <w:lang w:eastAsia="en-US"/>
              </w:rPr>
              <w:t xml:space="preserve"> </w:t>
            </w:r>
            <w:proofErr w:type="spellStart"/>
            <w:r w:rsidR="007D26CA">
              <w:rPr>
                <w:rStyle w:val="A9"/>
                <w:rFonts w:cs="Times New Roman"/>
                <w:sz w:val="24"/>
                <w:szCs w:val="24"/>
                <w:lang w:eastAsia="en-US"/>
              </w:rPr>
              <w:t>Nuclear</w:t>
            </w:r>
            <w:proofErr w:type="spellEnd"/>
            <w:r w:rsidR="007D26CA">
              <w:rPr>
                <w:rStyle w:val="A9"/>
                <w:rFonts w:cs="Times New Roman"/>
                <w:sz w:val="24"/>
                <w:szCs w:val="24"/>
                <w:lang w:eastAsia="en-US"/>
              </w:rPr>
              <w:t xml:space="preserve"> </w:t>
            </w:r>
            <w:proofErr w:type="spellStart"/>
            <w:r w:rsidR="007D26CA">
              <w:rPr>
                <w:rStyle w:val="A9"/>
                <w:rFonts w:cs="Times New Roman"/>
                <w:sz w:val="24"/>
                <w:szCs w:val="24"/>
                <w:lang w:eastAsia="en-US"/>
              </w:rPr>
              <w:t>Safety</w:t>
            </w:r>
            <w:proofErr w:type="spellEnd"/>
            <w:r w:rsidR="007D26CA">
              <w:rPr>
                <w:rStyle w:val="A9"/>
                <w:rFonts w:cs="Times New Roman"/>
                <w:sz w:val="24"/>
                <w:szCs w:val="24"/>
                <w:lang w:eastAsia="en-US"/>
              </w:rPr>
              <w:t xml:space="preserve"> </w:t>
            </w:r>
            <w:proofErr w:type="spellStart"/>
            <w:r w:rsidR="007D26CA">
              <w:rPr>
                <w:rStyle w:val="A9"/>
                <w:rFonts w:cs="Times New Roman"/>
                <w:sz w:val="24"/>
                <w:szCs w:val="24"/>
                <w:lang w:eastAsia="en-US"/>
              </w:rPr>
              <w:t>Regulators</w:t>
            </w:r>
            <w:proofErr w:type="spellEnd"/>
            <w:r w:rsidR="007D26CA">
              <w:rPr>
                <w:rStyle w:val="A9"/>
                <w:rFonts w:cs="Times New Roman"/>
                <w:sz w:val="24"/>
                <w:szCs w:val="24"/>
                <w:lang w:eastAsia="en-US"/>
              </w:rPr>
              <w:t xml:space="preserve"> Group</w:t>
            </w:r>
          </w:p>
        </w:tc>
      </w:tr>
      <w:tr w:rsidR="00DF49C6" w:rsidRPr="00C13965" w14:paraId="61607716" w14:textId="77777777" w:rsidTr="00C13A84">
        <w:tc>
          <w:tcPr>
            <w:tcW w:w="2552" w:type="dxa"/>
            <w:tcBorders>
              <w:top w:val="nil"/>
              <w:left w:val="nil"/>
              <w:bottom w:val="nil"/>
              <w:right w:val="nil"/>
            </w:tcBorders>
          </w:tcPr>
          <w:p w14:paraId="1894C1DC" w14:textId="5D67F295"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EÚ</w:t>
            </w:r>
          </w:p>
        </w:tc>
        <w:tc>
          <w:tcPr>
            <w:tcW w:w="7548" w:type="dxa"/>
            <w:tcBorders>
              <w:top w:val="nil"/>
              <w:left w:val="nil"/>
              <w:bottom w:val="nil"/>
              <w:right w:val="nil"/>
            </w:tcBorders>
          </w:tcPr>
          <w:p w14:paraId="1DDDCF25" w14:textId="51DA4322"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Európska únia</w:t>
            </w:r>
          </w:p>
        </w:tc>
      </w:tr>
      <w:tr w:rsidR="00DF49C6" w:rsidRPr="00C13965" w14:paraId="49EAF17A" w14:textId="77777777" w:rsidTr="00C13A84">
        <w:tc>
          <w:tcPr>
            <w:tcW w:w="2552" w:type="dxa"/>
            <w:tcBorders>
              <w:top w:val="nil"/>
              <w:left w:val="nil"/>
              <w:bottom w:val="nil"/>
              <w:right w:val="nil"/>
            </w:tcBorders>
            <w:hideMark/>
          </w:tcPr>
          <w:p w14:paraId="747775C8" w14:textId="02688B4D" w:rsidR="00DF49C6" w:rsidRPr="00C13965" w:rsidRDefault="00DF49C6" w:rsidP="00F16D0C">
            <w:pPr>
              <w:jc w:val="both"/>
              <w:rPr>
                <w:rStyle w:val="A9"/>
                <w:rFonts w:cs="Times New Roman"/>
                <w:sz w:val="24"/>
                <w:szCs w:val="24"/>
              </w:rPr>
            </w:pPr>
            <w:proofErr w:type="spellStart"/>
            <w:r w:rsidRPr="00C13965">
              <w:rPr>
                <w:rStyle w:val="A9"/>
                <w:rFonts w:cs="Times New Roman"/>
                <w:sz w:val="24"/>
                <w:szCs w:val="24"/>
                <w:lang w:eastAsia="en-US"/>
              </w:rPr>
              <w:t>Euratom</w:t>
            </w:r>
            <w:proofErr w:type="spellEnd"/>
          </w:p>
        </w:tc>
        <w:tc>
          <w:tcPr>
            <w:tcW w:w="7548" w:type="dxa"/>
            <w:tcBorders>
              <w:top w:val="nil"/>
              <w:left w:val="nil"/>
              <w:bottom w:val="nil"/>
              <w:right w:val="nil"/>
            </w:tcBorders>
            <w:hideMark/>
          </w:tcPr>
          <w:p w14:paraId="25EE8181" w14:textId="525B28B6"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Európske spoločenstvo pre atómovú energiu</w:t>
            </w:r>
          </w:p>
        </w:tc>
      </w:tr>
      <w:tr w:rsidR="00DF49C6" w:rsidRPr="00C13965" w14:paraId="7BEF6F25" w14:textId="77777777" w:rsidTr="00C13A84">
        <w:tc>
          <w:tcPr>
            <w:tcW w:w="2552" w:type="dxa"/>
            <w:tcBorders>
              <w:top w:val="nil"/>
              <w:left w:val="nil"/>
              <w:bottom w:val="nil"/>
              <w:right w:val="nil"/>
            </w:tcBorders>
            <w:hideMark/>
          </w:tcPr>
          <w:p w14:paraId="553EB753" w14:textId="3D002217"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FS KRAO</w:t>
            </w:r>
          </w:p>
        </w:tc>
        <w:tc>
          <w:tcPr>
            <w:tcW w:w="7548" w:type="dxa"/>
            <w:tcBorders>
              <w:top w:val="nil"/>
              <w:left w:val="nil"/>
              <w:bottom w:val="nil"/>
              <w:right w:val="nil"/>
            </w:tcBorders>
            <w:hideMark/>
          </w:tcPr>
          <w:p w14:paraId="620BDB78" w14:textId="33EA86F6" w:rsidR="00DF49C6" w:rsidRPr="00C13965" w:rsidRDefault="00DF49C6" w:rsidP="00F16D0C">
            <w:pPr>
              <w:jc w:val="both"/>
              <w:rPr>
                <w:rStyle w:val="A9"/>
                <w:rFonts w:cs="Times New Roman"/>
                <w:sz w:val="24"/>
                <w:szCs w:val="24"/>
              </w:rPr>
            </w:pPr>
            <w:r>
              <w:rPr>
                <w:rStyle w:val="A9"/>
                <w:rFonts w:cs="Times New Roman"/>
                <w:sz w:val="24"/>
                <w:szCs w:val="24"/>
                <w:lang w:eastAsia="en-US"/>
              </w:rPr>
              <w:t>f</w:t>
            </w:r>
            <w:r w:rsidRPr="00C13965">
              <w:rPr>
                <w:rStyle w:val="A9"/>
                <w:rFonts w:cs="Times New Roman"/>
                <w:sz w:val="24"/>
                <w:szCs w:val="24"/>
                <w:lang w:eastAsia="en-US"/>
              </w:rPr>
              <w:t>inálne spracovanie kvapalných rádioaktívnych odpadov</w:t>
            </w:r>
          </w:p>
        </w:tc>
      </w:tr>
      <w:tr w:rsidR="00DF49C6" w:rsidRPr="00C13965" w14:paraId="711C161A" w14:textId="77777777" w:rsidTr="00C13A84">
        <w:tc>
          <w:tcPr>
            <w:tcW w:w="2552" w:type="dxa"/>
            <w:tcBorders>
              <w:top w:val="nil"/>
              <w:left w:val="nil"/>
              <w:bottom w:val="nil"/>
              <w:right w:val="nil"/>
            </w:tcBorders>
          </w:tcPr>
          <w:p w14:paraId="0A6D4323" w14:textId="43166FF6" w:rsidR="00DF49C6" w:rsidRDefault="00DF49C6" w:rsidP="00F16D0C">
            <w:pPr>
              <w:jc w:val="both"/>
              <w:rPr>
                <w:rStyle w:val="A9"/>
                <w:rFonts w:cs="Times New Roman"/>
                <w:sz w:val="24"/>
                <w:szCs w:val="24"/>
                <w:lang w:eastAsia="en-US"/>
              </w:rPr>
            </w:pPr>
            <w:r>
              <w:rPr>
                <w:rStyle w:val="A9"/>
                <w:rFonts w:cs="Times New Roman"/>
                <w:sz w:val="24"/>
                <w:szCs w:val="24"/>
                <w:lang w:eastAsia="en-US"/>
              </w:rPr>
              <w:t>GO</w:t>
            </w:r>
          </w:p>
        </w:tc>
        <w:tc>
          <w:tcPr>
            <w:tcW w:w="7548" w:type="dxa"/>
            <w:tcBorders>
              <w:top w:val="nil"/>
              <w:left w:val="nil"/>
              <w:bottom w:val="nil"/>
              <w:right w:val="nil"/>
            </w:tcBorders>
          </w:tcPr>
          <w:p w14:paraId="1CB544C6" w14:textId="112E7FA3"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generálna o</w:t>
            </w:r>
            <w:r w:rsidR="00467DB2">
              <w:rPr>
                <w:rStyle w:val="A9"/>
                <w:rFonts w:cs="Times New Roman"/>
                <w:sz w:val="24"/>
                <w:szCs w:val="24"/>
                <w:lang w:eastAsia="en-US"/>
              </w:rPr>
              <w:t>prava</w:t>
            </w:r>
          </w:p>
        </w:tc>
      </w:tr>
      <w:tr w:rsidR="001F1710" w:rsidRPr="00C13965" w14:paraId="133C8C85" w14:textId="77777777" w:rsidTr="00C13A84">
        <w:tc>
          <w:tcPr>
            <w:tcW w:w="2552" w:type="dxa"/>
            <w:tcBorders>
              <w:top w:val="nil"/>
              <w:left w:val="nil"/>
              <w:bottom w:val="nil"/>
              <w:right w:val="nil"/>
            </w:tcBorders>
          </w:tcPr>
          <w:p w14:paraId="1D6C15E7" w14:textId="10C31B8F" w:rsidR="001F1710" w:rsidRDefault="001F1710" w:rsidP="00F16D0C">
            <w:pPr>
              <w:jc w:val="both"/>
              <w:rPr>
                <w:rStyle w:val="A9"/>
                <w:rFonts w:cs="Times New Roman"/>
                <w:sz w:val="24"/>
                <w:szCs w:val="24"/>
                <w:lang w:eastAsia="en-US"/>
              </w:rPr>
            </w:pPr>
            <w:r>
              <w:rPr>
                <w:rStyle w:val="A9"/>
                <w:rFonts w:cs="Times New Roman"/>
                <w:sz w:val="24"/>
                <w:szCs w:val="24"/>
                <w:lang w:eastAsia="en-US"/>
              </w:rPr>
              <w:t>H</w:t>
            </w:r>
            <w:r>
              <w:rPr>
                <w:rStyle w:val="A9"/>
                <w:rFonts w:cs="Times New Roman"/>
                <w:sz w:val="24"/>
              </w:rPr>
              <w:t>B</w:t>
            </w:r>
          </w:p>
        </w:tc>
        <w:tc>
          <w:tcPr>
            <w:tcW w:w="7548" w:type="dxa"/>
            <w:tcBorders>
              <w:top w:val="nil"/>
              <w:left w:val="nil"/>
              <w:bottom w:val="nil"/>
              <w:right w:val="nil"/>
            </w:tcBorders>
          </w:tcPr>
          <w:p w14:paraId="5690FCBC" w14:textId="659FBE44" w:rsidR="001F1710" w:rsidRPr="00C13965" w:rsidRDefault="001F1710" w:rsidP="00F16D0C">
            <w:pPr>
              <w:jc w:val="both"/>
              <w:rPr>
                <w:rStyle w:val="A9"/>
                <w:rFonts w:cs="Times New Roman"/>
                <w:sz w:val="24"/>
                <w:szCs w:val="24"/>
                <w:lang w:eastAsia="en-US"/>
              </w:rPr>
            </w:pPr>
            <w:r>
              <w:rPr>
                <w:rStyle w:val="A9"/>
                <w:rFonts w:cs="Times New Roman"/>
                <w:sz w:val="24"/>
              </w:rPr>
              <w:t>horný blok</w:t>
            </w:r>
          </w:p>
        </w:tc>
      </w:tr>
      <w:tr w:rsidR="00DF49C6" w:rsidRPr="00C13965" w14:paraId="4A3988F5" w14:textId="77777777" w:rsidTr="00C13A84">
        <w:tc>
          <w:tcPr>
            <w:tcW w:w="2552" w:type="dxa"/>
            <w:tcBorders>
              <w:top w:val="nil"/>
              <w:left w:val="nil"/>
              <w:bottom w:val="nil"/>
              <w:right w:val="nil"/>
            </w:tcBorders>
            <w:hideMark/>
          </w:tcPr>
          <w:p w14:paraId="745E25C6" w14:textId="2BD6EBB0" w:rsidR="00DF49C6" w:rsidRPr="007C4219" w:rsidRDefault="00DF49C6" w:rsidP="00F16D0C">
            <w:pPr>
              <w:jc w:val="both"/>
              <w:rPr>
                <w:rStyle w:val="A9"/>
                <w:rFonts w:cs="Times New Roman"/>
                <w:sz w:val="24"/>
              </w:rPr>
            </w:pPr>
            <w:r>
              <w:rPr>
                <w:szCs w:val="24"/>
                <w:lang w:eastAsia="en-US"/>
              </w:rPr>
              <w:t>HCČ</w:t>
            </w:r>
          </w:p>
        </w:tc>
        <w:tc>
          <w:tcPr>
            <w:tcW w:w="7548" w:type="dxa"/>
            <w:tcBorders>
              <w:top w:val="nil"/>
              <w:left w:val="nil"/>
              <w:bottom w:val="nil"/>
              <w:right w:val="nil"/>
            </w:tcBorders>
            <w:hideMark/>
          </w:tcPr>
          <w:p w14:paraId="5ADC230D" w14:textId="34C23720" w:rsidR="00DF49C6" w:rsidRPr="00C13965" w:rsidRDefault="00DF49C6" w:rsidP="00F16D0C">
            <w:pPr>
              <w:jc w:val="both"/>
              <w:rPr>
                <w:rStyle w:val="A9"/>
                <w:rFonts w:cs="Times New Roman"/>
                <w:sz w:val="24"/>
                <w:szCs w:val="24"/>
              </w:rPr>
            </w:pPr>
            <w:r>
              <w:rPr>
                <w:szCs w:val="24"/>
                <w:lang w:eastAsia="en-US"/>
              </w:rPr>
              <w:t>hlavné cirkulačné čerpadlá</w:t>
            </w:r>
          </w:p>
        </w:tc>
      </w:tr>
      <w:tr w:rsidR="001F1710" w:rsidRPr="00C13965" w14:paraId="6AC01639" w14:textId="77777777" w:rsidTr="00C13A84">
        <w:tc>
          <w:tcPr>
            <w:tcW w:w="2552" w:type="dxa"/>
            <w:tcBorders>
              <w:top w:val="nil"/>
              <w:left w:val="nil"/>
              <w:bottom w:val="nil"/>
              <w:right w:val="nil"/>
            </w:tcBorders>
          </w:tcPr>
          <w:p w14:paraId="2B257259" w14:textId="79095D07" w:rsidR="001F1710" w:rsidRDefault="001F1710" w:rsidP="00F16D0C">
            <w:pPr>
              <w:jc w:val="both"/>
              <w:rPr>
                <w:szCs w:val="24"/>
                <w:lang w:eastAsia="en-US"/>
              </w:rPr>
            </w:pPr>
            <w:r>
              <w:rPr>
                <w:szCs w:val="24"/>
                <w:lang w:eastAsia="en-US"/>
              </w:rPr>
              <w:t>H</w:t>
            </w:r>
            <w:r>
              <w:t>ERCA</w:t>
            </w:r>
          </w:p>
        </w:tc>
        <w:tc>
          <w:tcPr>
            <w:tcW w:w="7548" w:type="dxa"/>
            <w:tcBorders>
              <w:top w:val="nil"/>
              <w:left w:val="nil"/>
              <w:bottom w:val="nil"/>
              <w:right w:val="nil"/>
            </w:tcBorders>
          </w:tcPr>
          <w:p w14:paraId="56A09D51" w14:textId="561356AC" w:rsidR="001F1710" w:rsidRDefault="00E815D0" w:rsidP="00F16D0C">
            <w:pPr>
              <w:jc w:val="both"/>
              <w:rPr>
                <w:szCs w:val="24"/>
                <w:lang w:eastAsia="en-US"/>
              </w:rPr>
            </w:pPr>
            <w:r>
              <w:rPr>
                <w:szCs w:val="24"/>
                <w:lang w:eastAsia="en-US"/>
              </w:rPr>
              <w:t>E</w:t>
            </w:r>
            <w:r w:rsidRPr="00E815D0">
              <w:rPr>
                <w:szCs w:val="24"/>
                <w:lang w:eastAsia="en-US"/>
              </w:rPr>
              <w:t>urópske združenie dozorných orgánov v oblasti radiačnej ochrany</w:t>
            </w:r>
            <w:r w:rsidR="007D26CA">
              <w:rPr>
                <w:szCs w:val="24"/>
                <w:lang w:eastAsia="en-US"/>
              </w:rPr>
              <w:t>,</w:t>
            </w:r>
            <w:r w:rsidR="007D26CA">
              <w:t xml:space="preserve"> angl. </w:t>
            </w:r>
            <w:proofErr w:type="spellStart"/>
            <w:r w:rsidR="007D26CA">
              <w:t>Heads</w:t>
            </w:r>
            <w:proofErr w:type="spellEnd"/>
            <w:r w:rsidR="007D26CA">
              <w:t xml:space="preserve"> of </w:t>
            </w:r>
            <w:proofErr w:type="spellStart"/>
            <w:r w:rsidR="007D26CA">
              <w:t>Radiation</w:t>
            </w:r>
            <w:proofErr w:type="spellEnd"/>
            <w:r w:rsidR="007D26CA">
              <w:t xml:space="preserve"> </w:t>
            </w:r>
            <w:proofErr w:type="spellStart"/>
            <w:r w:rsidR="007D26CA">
              <w:t>Protection</w:t>
            </w:r>
            <w:proofErr w:type="spellEnd"/>
            <w:r w:rsidR="007D26CA">
              <w:t xml:space="preserve"> </w:t>
            </w:r>
            <w:proofErr w:type="spellStart"/>
            <w:r w:rsidR="007D26CA">
              <w:t>Authorities</w:t>
            </w:r>
            <w:proofErr w:type="spellEnd"/>
          </w:p>
        </w:tc>
      </w:tr>
      <w:tr w:rsidR="00DF49C6" w:rsidRPr="00C13965" w14:paraId="361045CE" w14:textId="77777777" w:rsidTr="00C13A84">
        <w:tc>
          <w:tcPr>
            <w:tcW w:w="2552" w:type="dxa"/>
            <w:tcBorders>
              <w:top w:val="nil"/>
              <w:left w:val="nil"/>
              <w:bottom w:val="nil"/>
              <w:right w:val="nil"/>
            </w:tcBorders>
          </w:tcPr>
          <w:p w14:paraId="2AA8C25B" w14:textId="7A1244E0" w:rsidR="00DF49C6" w:rsidRPr="00C13965" w:rsidRDefault="00DF49C6" w:rsidP="003151A9">
            <w:pPr>
              <w:jc w:val="both"/>
              <w:rPr>
                <w:szCs w:val="24"/>
                <w:lang w:eastAsia="en-US"/>
              </w:rPr>
            </w:pPr>
            <w:r w:rsidRPr="00C13965">
              <w:rPr>
                <w:szCs w:val="24"/>
                <w:lang w:eastAsia="en-US"/>
              </w:rPr>
              <w:t>HNČ</w:t>
            </w:r>
          </w:p>
        </w:tc>
        <w:tc>
          <w:tcPr>
            <w:tcW w:w="7548" w:type="dxa"/>
            <w:tcBorders>
              <w:top w:val="nil"/>
              <w:left w:val="nil"/>
              <w:bottom w:val="nil"/>
              <w:right w:val="nil"/>
            </w:tcBorders>
          </w:tcPr>
          <w:p w14:paraId="2734F7B9" w14:textId="744A5A14" w:rsidR="00DF49C6" w:rsidRPr="00C13965" w:rsidRDefault="00DF49C6" w:rsidP="003151A9">
            <w:pPr>
              <w:jc w:val="both"/>
              <w:rPr>
                <w:szCs w:val="24"/>
                <w:lang w:eastAsia="en-US"/>
              </w:rPr>
            </w:pPr>
            <w:r w:rsidRPr="00C13965">
              <w:rPr>
                <w:szCs w:val="24"/>
                <w:lang w:eastAsia="en-US"/>
              </w:rPr>
              <w:t>čerpadlá havarijného systému napájania parogenerátorov</w:t>
            </w:r>
          </w:p>
        </w:tc>
      </w:tr>
      <w:tr w:rsidR="001F1710" w:rsidRPr="00C13965" w14:paraId="1B1F7E6A" w14:textId="77777777" w:rsidTr="00C13A84">
        <w:tc>
          <w:tcPr>
            <w:tcW w:w="2552" w:type="dxa"/>
            <w:tcBorders>
              <w:top w:val="nil"/>
              <w:left w:val="nil"/>
              <w:bottom w:val="nil"/>
              <w:right w:val="nil"/>
            </w:tcBorders>
          </w:tcPr>
          <w:p w14:paraId="06A99814" w14:textId="0A5E2444" w:rsidR="001F1710" w:rsidRPr="00C13965" w:rsidRDefault="001F1710" w:rsidP="003151A9">
            <w:pPr>
              <w:jc w:val="both"/>
              <w:rPr>
                <w:szCs w:val="24"/>
                <w:lang w:eastAsia="en-US"/>
              </w:rPr>
            </w:pPr>
            <w:r>
              <w:rPr>
                <w:szCs w:val="24"/>
                <w:lang w:eastAsia="en-US"/>
              </w:rPr>
              <w:t>H</w:t>
            </w:r>
            <w:r>
              <w:t>RK</w:t>
            </w:r>
          </w:p>
        </w:tc>
        <w:tc>
          <w:tcPr>
            <w:tcW w:w="7548" w:type="dxa"/>
            <w:tcBorders>
              <w:top w:val="nil"/>
              <w:left w:val="nil"/>
              <w:bottom w:val="nil"/>
              <w:right w:val="nil"/>
            </w:tcBorders>
          </w:tcPr>
          <w:p w14:paraId="333BE07A" w14:textId="3D1FDC62" w:rsidR="001F1710" w:rsidRPr="00E815D0" w:rsidRDefault="00E815D0" w:rsidP="003151A9">
            <w:pPr>
              <w:jc w:val="both"/>
            </w:pPr>
            <w:r>
              <w:t>havarijno-regulačno-kompenzačná kazeta</w:t>
            </w:r>
          </w:p>
        </w:tc>
      </w:tr>
      <w:tr w:rsidR="00803172" w:rsidRPr="00C13965" w14:paraId="13CE1028" w14:textId="77777777" w:rsidTr="00C13A84">
        <w:tc>
          <w:tcPr>
            <w:tcW w:w="2552" w:type="dxa"/>
            <w:tcBorders>
              <w:top w:val="nil"/>
              <w:left w:val="nil"/>
              <w:bottom w:val="nil"/>
              <w:right w:val="nil"/>
            </w:tcBorders>
          </w:tcPr>
          <w:p w14:paraId="00E35ECC" w14:textId="6CCB0F9A" w:rsidR="00803172" w:rsidRDefault="00803172" w:rsidP="003151A9">
            <w:pPr>
              <w:jc w:val="both"/>
              <w:rPr>
                <w:szCs w:val="24"/>
                <w:lang w:eastAsia="en-US"/>
              </w:rPr>
            </w:pPr>
            <w:r>
              <w:rPr>
                <w:szCs w:val="24"/>
                <w:lang w:eastAsia="en-US"/>
              </w:rPr>
              <w:t>HU PRES</w:t>
            </w:r>
          </w:p>
        </w:tc>
        <w:tc>
          <w:tcPr>
            <w:tcW w:w="7548" w:type="dxa"/>
            <w:tcBorders>
              <w:top w:val="nil"/>
              <w:left w:val="nil"/>
              <w:bottom w:val="nil"/>
              <w:right w:val="nil"/>
            </w:tcBorders>
          </w:tcPr>
          <w:p w14:paraId="2DB85628" w14:textId="2CE823C1" w:rsidR="00803172" w:rsidRPr="00C13965" w:rsidRDefault="00803172" w:rsidP="003151A9">
            <w:pPr>
              <w:jc w:val="both"/>
              <w:rPr>
                <w:szCs w:val="24"/>
                <w:lang w:eastAsia="en-US"/>
              </w:rPr>
            </w:pPr>
            <w:r>
              <w:rPr>
                <w:szCs w:val="24"/>
                <w:lang w:eastAsia="en-US"/>
              </w:rPr>
              <w:t>maďarské predsedníctvo Rady EÚ</w:t>
            </w:r>
          </w:p>
        </w:tc>
      </w:tr>
      <w:tr w:rsidR="00803172" w:rsidRPr="00C13965" w14:paraId="0DAC706D" w14:textId="77777777" w:rsidTr="00C13A84">
        <w:tc>
          <w:tcPr>
            <w:tcW w:w="2552" w:type="dxa"/>
            <w:tcBorders>
              <w:top w:val="nil"/>
              <w:left w:val="nil"/>
              <w:bottom w:val="nil"/>
              <w:right w:val="nil"/>
            </w:tcBorders>
          </w:tcPr>
          <w:p w14:paraId="401483B3" w14:textId="47AFABDE" w:rsidR="00803172" w:rsidRDefault="00803172" w:rsidP="003151A9">
            <w:pPr>
              <w:jc w:val="both"/>
              <w:rPr>
                <w:szCs w:val="24"/>
                <w:lang w:eastAsia="en-US"/>
              </w:rPr>
            </w:pPr>
            <w:r>
              <w:rPr>
                <w:szCs w:val="24"/>
                <w:lang w:eastAsia="en-US"/>
              </w:rPr>
              <w:t>IKT</w:t>
            </w:r>
          </w:p>
        </w:tc>
        <w:tc>
          <w:tcPr>
            <w:tcW w:w="7548" w:type="dxa"/>
            <w:tcBorders>
              <w:top w:val="nil"/>
              <w:left w:val="nil"/>
              <w:bottom w:val="nil"/>
              <w:right w:val="nil"/>
            </w:tcBorders>
          </w:tcPr>
          <w:p w14:paraId="6E0D4211" w14:textId="18810981" w:rsidR="00803172" w:rsidRDefault="00803172" w:rsidP="003151A9">
            <w:pPr>
              <w:jc w:val="both"/>
              <w:rPr>
                <w:szCs w:val="24"/>
                <w:lang w:eastAsia="en-US"/>
              </w:rPr>
            </w:pPr>
            <w:r>
              <w:rPr>
                <w:szCs w:val="24"/>
                <w:lang w:eastAsia="en-US"/>
              </w:rPr>
              <w:t>informačno-komunikačné technológie</w:t>
            </w:r>
          </w:p>
        </w:tc>
      </w:tr>
      <w:tr w:rsidR="00DF49C6" w:rsidRPr="00C13965" w14:paraId="650C8ABC" w14:textId="77777777" w:rsidTr="00C13A84">
        <w:tc>
          <w:tcPr>
            <w:tcW w:w="2552" w:type="dxa"/>
            <w:tcBorders>
              <w:top w:val="nil"/>
              <w:left w:val="nil"/>
              <w:bottom w:val="nil"/>
              <w:right w:val="nil"/>
            </w:tcBorders>
          </w:tcPr>
          <w:p w14:paraId="78476B71" w14:textId="7214D524" w:rsidR="00DF49C6" w:rsidRPr="00C13965" w:rsidRDefault="00DF49C6" w:rsidP="003151A9">
            <w:pPr>
              <w:jc w:val="both"/>
              <w:rPr>
                <w:szCs w:val="24"/>
                <w:lang w:eastAsia="en-US"/>
              </w:rPr>
            </w:pPr>
            <w:r w:rsidRPr="00C13965">
              <w:rPr>
                <w:szCs w:val="24"/>
                <w:lang w:eastAsia="en-US"/>
              </w:rPr>
              <w:t>INES</w:t>
            </w:r>
          </w:p>
        </w:tc>
        <w:tc>
          <w:tcPr>
            <w:tcW w:w="7548" w:type="dxa"/>
            <w:tcBorders>
              <w:top w:val="nil"/>
              <w:left w:val="nil"/>
              <w:bottom w:val="nil"/>
              <w:right w:val="nil"/>
            </w:tcBorders>
          </w:tcPr>
          <w:p w14:paraId="66F1CB2E" w14:textId="5957E4FF" w:rsidR="00DF49C6" w:rsidRPr="00C13965" w:rsidRDefault="00DF49C6" w:rsidP="00C23C41">
            <w:pPr>
              <w:jc w:val="both"/>
              <w:rPr>
                <w:szCs w:val="24"/>
                <w:lang w:eastAsia="en-US"/>
              </w:rPr>
            </w:pPr>
            <w:r w:rsidRPr="00C13965">
              <w:rPr>
                <w:szCs w:val="24"/>
                <w:lang w:eastAsia="en-US"/>
              </w:rPr>
              <w:t>Medzinárodná stupnica jadrových a radiačných udalostí</w:t>
            </w:r>
            <w:r w:rsidR="007D26CA">
              <w:rPr>
                <w:szCs w:val="24"/>
                <w:lang w:eastAsia="en-US"/>
              </w:rPr>
              <w:t xml:space="preserve">, angl. </w:t>
            </w:r>
            <w:r w:rsidR="007D26CA" w:rsidRPr="007D26CA">
              <w:rPr>
                <w:szCs w:val="24"/>
                <w:lang w:eastAsia="en-US"/>
              </w:rPr>
              <w:t xml:space="preserve">International </w:t>
            </w:r>
            <w:proofErr w:type="spellStart"/>
            <w:r w:rsidR="007D26CA" w:rsidRPr="007D26CA">
              <w:rPr>
                <w:szCs w:val="24"/>
                <w:lang w:eastAsia="en-US"/>
              </w:rPr>
              <w:t>Nuclear</w:t>
            </w:r>
            <w:proofErr w:type="spellEnd"/>
            <w:r w:rsidR="007D26CA" w:rsidRPr="007D26CA">
              <w:rPr>
                <w:szCs w:val="24"/>
                <w:lang w:eastAsia="en-US"/>
              </w:rPr>
              <w:t xml:space="preserve"> and </w:t>
            </w:r>
            <w:proofErr w:type="spellStart"/>
            <w:r w:rsidR="007D26CA" w:rsidRPr="007D26CA">
              <w:rPr>
                <w:szCs w:val="24"/>
                <w:lang w:eastAsia="en-US"/>
              </w:rPr>
              <w:t>Radiological</w:t>
            </w:r>
            <w:proofErr w:type="spellEnd"/>
            <w:r w:rsidR="007D26CA" w:rsidRPr="007D26CA">
              <w:rPr>
                <w:szCs w:val="24"/>
                <w:lang w:eastAsia="en-US"/>
              </w:rPr>
              <w:t xml:space="preserve"> Event </w:t>
            </w:r>
            <w:proofErr w:type="spellStart"/>
            <w:r w:rsidR="007D26CA" w:rsidRPr="007D26CA">
              <w:rPr>
                <w:szCs w:val="24"/>
                <w:lang w:eastAsia="en-US"/>
              </w:rPr>
              <w:t>Scale</w:t>
            </w:r>
            <w:proofErr w:type="spellEnd"/>
          </w:p>
        </w:tc>
      </w:tr>
      <w:tr w:rsidR="00DF49C6" w:rsidRPr="00C13965" w14:paraId="11EB34A0" w14:textId="77777777" w:rsidTr="00C13A84">
        <w:tc>
          <w:tcPr>
            <w:tcW w:w="2552" w:type="dxa"/>
            <w:tcBorders>
              <w:top w:val="nil"/>
              <w:left w:val="nil"/>
              <w:bottom w:val="nil"/>
              <w:right w:val="nil"/>
            </w:tcBorders>
            <w:hideMark/>
          </w:tcPr>
          <w:p w14:paraId="24AFCA6D" w14:textId="7D62D87A" w:rsidR="00DF49C6" w:rsidRPr="00C13965" w:rsidRDefault="00DF49C6" w:rsidP="003151A9">
            <w:pPr>
              <w:jc w:val="both"/>
              <w:rPr>
                <w:szCs w:val="24"/>
                <w:lang w:eastAsia="en-US"/>
              </w:rPr>
            </w:pPr>
            <w:r w:rsidRPr="00C13965">
              <w:rPr>
                <w:szCs w:val="24"/>
                <w:lang w:eastAsia="en-US"/>
              </w:rPr>
              <w:t>INRA</w:t>
            </w:r>
          </w:p>
        </w:tc>
        <w:tc>
          <w:tcPr>
            <w:tcW w:w="7548" w:type="dxa"/>
            <w:tcBorders>
              <w:top w:val="nil"/>
              <w:left w:val="nil"/>
              <w:bottom w:val="nil"/>
              <w:right w:val="nil"/>
            </w:tcBorders>
            <w:hideMark/>
          </w:tcPr>
          <w:p w14:paraId="06F57737" w14:textId="2E3906BE" w:rsidR="00DF49C6" w:rsidRPr="00C13965" w:rsidRDefault="00DF49C6" w:rsidP="00C23C41">
            <w:pPr>
              <w:jc w:val="both"/>
              <w:rPr>
                <w:szCs w:val="24"/>
                <w:lang w:eastAsia="en-US"/>
              </w:rPr>
            </w:pPr>
            <w:r w:rsidRPr="00C13965">
              <w:rPr>
                <w:szCs w:val="24"/>
                <w:lang w:eastAsia="en-US"/>
              </w:rPr>
              <w:t>Úrad jadrového dozoru Iránu</w:t>
            </w:r>
          </w:p>
        </w:tc>
      </w:tr>
      <w:tr w:rsidR="00DF49C6" w:rsidRPr="00C13965" w14:paraId="0BA759E4" w14:textId="77777777" w:rsidTr="00C13A84">
        <w:tc>
          <w:tcPr>
            <w:tcW w:w="2552" w:type="dxa"/>
            <w:tcBorders>
              <w:top w:val="nil"/>
              <w:left w:val="nil"/>
              <w:bottom w:val="nil"/>
              <w:right w:val="nil"/>
            </w:tcBorders>
          </w:tcPr>
          <w:p w14:paraId="507D20A7" w14:textId="7599BD9B"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IRRS</w:t>
            </w:r>
          </w:p>
        </w:tc>
        <w:tc>
          <w:tcPr>
            <w:tcW w:w="7548" w:type="dxa"/>
            <w:tcBorders>
              <w:top w:val="nil"/>
              <w:left w:val="nil"/>
              <w:bottom w:val="nil"/>
              <w:right w:val="nil"/>
            </w:tcBorders>
          </w:tcPr>
          <w:p w14:paraId="6B5A8B85" w14:textId="279D7F31" w:rsidR="00DF49C6" w:rsidRPr="00C13965" w:rsidRDefault="00DF49C6" w:rsidP="003151A9">
            <w:pPr>
              <w:jc w:val="both"/>
              <w:rPr>
                <w:rStyle w:val="A9"/>
                <w:rFonts w:cs="Times New Roman"/>
                <w:sz w:val="24"/>
                <w:szCs w:val="24"/>
                <w:lang w:eastAsia="en-US"/>
              </w:rPr>
            </w:pPr>
            <w:r>
              <w:rPr>
                <w:rStyle w:val="A9"/>
                <w:rFonts w:cs="Times New Roman"/>
                <w:sz w:val="24"/>
                <w:szCs w:val="24"/>
                <w:lang w:eastAsia="en-US"/>
              </w:rPr>
              <w:t>M</w:t>
            </w:r>
            <w:r>
              <w:rPr>
                <w:rStyle w:val="A9"/>
                <w:rFonts w:cs="Times New Roman"/>
                <w:sz w:val="24"/>
              </w:rPr>
              <w:t>isia medzinárodného posúdenia dozornej činnosti</w:t>
            </w:r>
            <w:r w:rsidR="007D26CA">
              <w:rPr>
                <w:rStyle w:val="A9"/>
                <w:rFonts w:cs="Times New Roman"/>
                <w:sz w:val="24"/>
              </w:rPr>
              <w:t xml:space="preserve">, angl. </w:t>
            </w:r>
            <w:proofErr w:type="spellStart"/>
            <w:r w:rsidR="007D26CA" w:rsidRPr="007D26CA">
              <w:rPr>
                <w:rStyle w:val="A9"/>
                <w:rFonts w:cs="Times New Roman"/>
                <w:sz w:val="24"/>
              </w:rPr>
              <w:t>Integrated</w:t>
            </w:r>
            <w:proofErr w:type="spellEnd"/>
            <w:r w:rsidR="007D26CA" w:rsidRPr="007D26CA">
              <w:rPr>
                <w:rStyle w:val="A9"/>
                <w:rFonts w:cs="Times New Roman"/>
                <w:sz w:val="24"/>
              </w:rPr>
              <w:t xml:space="preserve"> </w:t>
            </w:r>
            <w:proofErr w:type="spellStart"/>
            <w:r w:rsidR="007D26CA" w:rsidRPr="007D26CA">
              <w:rPr>
                <w:rStyle w:val="A9"/>
                <w:rFonts w:cs="Times New Roman"/>
                <w:sz w:val="24"/>
              </w:rPr>
              <w:t>Regulatory</w:t>
            </w:r>
            <w:proofErr w:type="spellEnd"/>
            <w:r w:rsidR="007D26CA" w:rsidRPr="007D26CA">
              <w:rPr>
                <w:rStyle w:val="A9"/>
                <w:rFonts w:cs="Times New Roman"/>
                <w:sz w:val="24"/>
              </w:rPr>
              <w:t xml:space="preserve"> </w:t>
            </w:r>
            <w:proofErr w:type="spellStart"/>
            <w:r w:rsidR="007D26CA" w:rsidRPr="007D26CA">
              <w:rPr>
                <w:rStyle w:val="A9"/>
                <w:rFonts w:cs="Times New Roman"/>
                <w:sz w:val="24"/>
              </w:rPr>
              <w:t>Review</w:t>
            </w:r>
            <w:proofErr w:type="spellEnd"/>
            <w:r w:rsidR="007D26CA" w:rsidRPr="007D26CA">
              <w:rPr>
                <w:rStyle w:val="A9"/>
                <w:rFonts w:cs="Times New Roman"/>
                <w:sz w:val="24"/>
              </w:rPr>
              <w:t xml:space="preserve"> Service</w:t>
            </w:r>
          </w:p>
        </w:tc>
      </w:tr>
      <w:tr w:rsidR="00DF49C6" w:rsidRPr="00C13965" w14:paraId="726DA7FC" w14:textId="77777777" w:rsidTr="00C13A84">
        <w:tc>
          <w:tcPr>
            <w:tcW w:w="2552" w:type="dxa"/>
            <w:tcBorders>
              <w:top w:val="nil"/>
              <w:left w:val="nil"/>
              <w:bottom w:val="nil"/>
              <w:right w:val="nil"/>
            </w:tcBorders>
            <w:hideMark/>
          </w:tcPr>
          <w:p w14:paraId="074EA815" w14:textId="6C1D4BA0" w:rsidR="00DF49C6" w:rsidRPr="00C13965" w:rsidRDefault="00DF49C6" w:rsidP="003151A9">
            <w:pPr>
              <w:jc w:val="both"/>
              <w:rPr>
                <w:szCs w:val="24"/>
                <w:lang w:eastAsia="en-US"/>
              </w:rPr>
            </w:pPr>
            <w:r w:rsidRPr="00C13965">
              <w:rPr>
                <w:rStyle w:val="A9"/>
                <w:rFonts w:cs="Times New Roman"/>
                <w:sz w:val="24"/>
                <w:szCs w:val="24"/>
                <w:lang w:eastAsia="en-US"/>
              </w:rPr>
              <w:t>IS RAO</w:t>
            </w:r>
          </w:p>
        </w:tc>
        <w:tc>
          <w:tcPr>
            <w:tcW w:w="7548" w:type="dxa"/>
            <w:tcBorders>
              <w:top w:val="nil"/>
              <w:left w:val="nil"/>
              <w:bottom w:val="nil"/>
              <w:right w:val="nil"/>
            </w:tcBorders>
            <w:hideMark/>
          </w:tcPr>
          <w:p w14:paraId="6F92EBD1" w14:textId="6CB580AD" w:rsidR="00DF49C6" w:rsidRPr="00C13965" w:rsidRDefault="00DF49C6" w:rsidP="003151A9">
            <w:pPr>
              <w:jc w:val="both"/>
              <w:rPr>
                <w:szCs w:val="24"/>
                <w:lang w:eastAsia="en-US"/>
              </w:rPr>
            </w:pPr>
            <w:r w:rsidRPr="00C13965">
              <w:rPr>
                <w:rStyle w:val="A9"/>
                <w:rFonts w:cs="Times New Roman"/>
                <w:sz w:val="24"/>
                <w:szCs w:val="24"/>
                <w:lang w:eastAsia="en-US"/>
              </w:rPr>
              <w:t>Integrálny sklad RAO</w:t>
            </w:r>
          </w:p>
        </w:tc>
      </w:tr>
      <w:tr w:rsidR="00DF49C6" w:rsidRPr="00C13965" w14:paraId="2AD18A58" w14:textId="77777777" w:rsidTr="00C13A84">
        <w:tc>
          <w:tcPr>
            <w:tcW w:w="2552" w:type="dxa"/>
            <w:tcBorders>
              <w:top w:val="nil"/>
              <w:left w:val="nil"/>
              <w:bottom w:val="nil"/>
              <w:right w:val="nil"/>
            </w:tcBorders>
            <w:hideMark/>
          </w:tcPr>
          <w:p w14:paraId="73D26083" w14:textId="18BE84EB" w:rsidR="00DF49C6" w:rsidRPr="00C13965" w:rsidRDefault="00DF49C6" w:rsidP="003151A9">
            <w:pPr>
              <w:jc w:val="both"/>
              <w:rPr>
                <w:szCs w:val="24"/>
                <w:lang w:eastAsia="en-US"/>
              </w:rPr>
            </w:pPr>
            <w:r w:rsidRPr="00C13965">
              <w:rPr>
                <w:rStyle w:val="A9"/>
                <w:rFonts w:cs="Times New Roman"/>
                <w:sz w:val="24"/>
                <w:szCs w:val="24"/>
                <w:lang w:eastAsia="en-US"/>
              </w:rPr>
              <w:t>JAVYS, a. s.</w:t>
            </w:r>
          </w:p>
        </w:tc>
        <w:tc>
          <w:tcPr>
            <w:tcW w:w="7548" w:type="dxa"/>
            <w:tcBorders>
              <w:top w:val="nil"/>
              <w:left w:val="nil"/>
              <w:bottom w:val="nil"/>
              <w:right w:val="nil"/>
            </w:tcBorders>
            <w:hideMark/>
          </w:tcPr>
          <w:p w14:paraId="68CD6611" w14:textId="2C157D14" w:rsidR="00DF49C6" w:rsidRPr="00C13965" w:rsidRDefault="00DF49C6" w:rsidP="003151A9">
            <w:pPr>
              <w:jc w:val="both"/>
              <w:rPr>
                <w:szCs w:val="24"/>
                <w:lang w:eastAsia="en-US"/>
              </w:rPr>
            </w:pPr>
            <w:r w:rsidRPr="00C13965">
              <w:rPr>
                <w:rStyle w:val="A9"/>
                <w:rFonts w:cs="Times New Roman"/>
                <w:sz w:val="24"/>
                <w:szCs w:val="24"/>
                <w:lang w:eastAsia="en-US"/>
              </w:rPr>
              <w:t>Jadrová a vyraďovacia spoločnosť, a. s.</w:t>
            </w:r>
          </w:p>
        </w:tc>
      </w:tr>
      <w:tr w:rsidR="00DF49C6" w:rsidRPr="00C13965" w14:paraId="7508FC1A" w14:textId="77777777" w:rsidTr="00C13A84">
        <w:tc>
          <w:tcPr>
            <w:tcW w:w="2552" w:type="dxa"/>
            <w:tcBorders>
              <w:top w:val="nil"/>
              <w:left w:val="nil"/>
              <w:bottom w:val="nil"/>
              <w:right w:val="nil"/>
            </w:tcBorders>
            <w:hideMark/>
          </w:tcPr>
          <w:p w14:paraId="43B52896" w14:textId="06873F1D" w:rsidR="00DF49C6" w:rsidRPr="00C13965" w:rsidRDefault="00DF49C6" w:rsidP="003151A9">
            <w:pPr>
              <w:jc w:val="both"/>
              <w:rPr>
                <w:szCs w:val="24"/>
                <w:lang w:eastAsia="en-US"/>
              </w:rPr>
            </w:pPr>
            <w:r w:rsidRPr="00C13965">
              <w:rPr>
                <w:rStyle w:val="A9"/>
                <w:rFonts w:cs="Times New Roman"/>
                <w:sz w:val="24"/>
                <w:szCs w:val="24"/>
                <w:lang w:eastAsia="en-US"/>
              </w:rPr>
              <w:t>JE</w:t>
            </w:r>
          </w:p>
        </w:tc>
        <w:tc>
          <w:tcPr>
            <w:tcW w:w="7548" w:type="dxa"/>
            <w:tcBorders>
              <w:top w:val="nil"/>
              <w:left w:val="nil"/>
              <w:bottom w:val="nil"/>
              <w:right w:val="nil"/>
            </w:tcBorders>
            <w:hideMark/>
          </w:tcPr>
          <w:p w14:paraId="17E2DB6F" w14:textId="749A2229" w:rsidR="00DF49C6" w:rsidRPr="00C13965" w:rsidRDefault="00DF49C6" w:rsidP="003151A9">
            <w:pPr>
              <w:jc w:val="both"/>
              <w:rPr>
                <w:szCs w:val="24"/>
                <w:lang w:eastAsia="en-US"/>
              </w:rPr>
            </w:pPr>
            <w:r w:rsidRPr="00C13965">
              <w:rPr>
                <w:rStyle w:val="A9"/>
                <w:rFonts w:cs="Times New Roman"/>
                <w:sz w:val="24"/>
                <w:szCs w:val="24"/>
                <w:lang w:eastAsia="en-US"/>
              </w:rPr>
              <w:t>jadrová elektráreň</w:t>
            </w:r>
          </w:p>
        </w:tc>
      </w:tr>
      <w:tr w:rsidR="00DF49C6" w:rsidRPr="00C13965" w14:paraId="44C92A9C" w14:textId="77777777" w:rsidTr="00C13A84">
        <w:tc>
          <w:tcPr>
            <w:tcW w:w="2552" w:type="dxa"/>
            <w:tcBorders>
              <w:top w:val="nil"/>
              <w:left w:val="nil"/>
              <w:bottom w:val="nil"/>
              <w:right w:val="nil"/>
            </w:tcBorders>
            <w:hideMark/>
          </w:tcPr>
          <w:p w14:paraId="74BC55EC" w14:textId="7EE99084" w:rsidR="00DF49C6" w:rsidRPr="00C13965" w:rsidRDefault="00DF49C6" w:rsidP="003151A9">
            <w:pPr>
              <w:jc w:val="both"/>
              <w:rPr>
                <w:szCs w:val="24"/>
                <w:lang w:eastAsia="en-US"/>
              </w:rPr>
            </w:pPr>
            <w:r>
              <w:rPr>
                <w:rStyle w:val="A9"/>
                <w:rFonts w:cs="Times New Roman"/>
                <w:sz w:val="24"/>
                <w:szCs w:val="24"/>
                <w:lang w:eastAsia="en-US"/>
              </w:rPr>
              <w:t>JESS, a. s.</w:t>
            </w:r>
          </w:p>
        </w:tc>
        <w:tc>
          <w:tcPr>
            <w:tcW w:w="7548" w:type="dxa"/>
            <w:tcBorders>
              <w:top w:val="nil"/>
              <w:left w:val="nil"/>
              <w:bottom w:val="nil"/>
              <w:right w:val="nil"/>
            </w:tcBorders>
            <w:hideMark/>
          </w:tcPr>
          <w:p w14:paraId="78392EE6" w14:textId="5A1B144E" w:rsidR="00DF49C6" w:rsidRPr="00C13965" w:rsidRDefault="00DF49C6" w:rsidP="003151A9">
            <w:pPr>
              <w:jc w:val="both"/>
              <w:rPr>
                <w:szCs w:val="24"/>
                <w:lang w:eastAsia="en-US"/>
              </w:rPr>
            </w:pPr>
            <w:r>
              <w:rPr>
                <w:rStyle w:val="A9"/>
                <w:rFonts w:cs="Times New Roman"/>
                <w:sz w:val="24"/>
                <w:szCs w:val="24"/>
                <w:lang w:eastAsia="en-US"/>
              </w:rPr>
              <w:t xml:space="preserve">Jadrová energetická spoločnosť Slovenska, a. s. </w:t>
            </w:r>
          </w:p>
        </w:tc>
      </w:tr>
      <w:tr w:rsidR="00DF49C6" w:rsidRPr="00C13965" w14:paraId="391E50A6" w14:textId="77777777" w:rsidTr="00C13A84">
        <w:tc>
          <w:tcPr>
            <w:tcW w:w="2552" w:type="dxa"/>
            <w:tcBorders>
              <w:top w:val="nil"/>
              <w:left w:val="nil"/>
              <w:bottom w:val="nil"/>
              <w:right w:val="nil"/>
            </w:tcBorders>
          </w:tcPr>
          <w:p w14:paraId="34E5A3FE" w14:textId="44885797"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JM</w:t>
            </w:r>
          </w:p>
        </w:tc>
        <w:tc>
          <w:tcPr>
            <w:tcW w:w="7548" w:type="dxa"/>
            <w:tcBorders>
              <w:top w:val="nil"/>
              <w:left w:val="nil"/>
              <w:bottom w:val="nil"/>
              <w:right w:val="nil"/>
            </w:tcBorders>
          </w:tcPr>
          <w:p w14:paraId="68D11BA4" w14:textId="1DDDE34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jadrové materiály</w:t>
            </w:r>
          </w:p>
        </w:tc>
      </w:tr>
      <w:tr w:rsidR="00DF49C6" w:rsidRPr="00C13965" w14:paraId="0C81F1C4" w14:textId="77777777" w:rsidTr="00C13A84">
        <w:tc>
          <w:tcPr>
            <w:tcW w:w="2552" w:type="dxa"/>
            <w:tcBorders>
              <w:top w:val="nil"/>
              <w:left w:val="nil"/>
              <w:bottom w:val="nil"/>
              <w:right w:val="nil"/>
            </w:tcBorders>
            <w:hideMark/>
          </w:tcPr>
          <w:p w14:paraId="747482A7" w14:textId="086FB415" w:rsidR="00DF49C6" w:rsidRPr="00C13965" w:rsidRDefault="00DF49C6" w:rsidP="003151A9">
            <w:pPr>
              <w:jc w:val="both"/>
              <w:rPr>
                <w:szCs w:val="24"/>
                <w:lang w:eastAsia="en-US"/>
              </w:rPr>
            </w:pPr>
            <w:r w:rsidRPr="00C13965">
              <w:rPr>
                <w:rStyle w:val="A9"/>
                <w:rFonts w:cs="Times New Roman"/>
                <w:sz w:val="24"/>
                <w:szCs w:val="24"/>
                <w:lang w:eastAsia="en-US"/>
              </w:rPr>
              <w:t>JZ</w:t>
            </w:r>
          </w:p>
        </w:tc>
        <w:tc>
          <w:tcPr>
            <w:tcW w:w="7548" w:type="dxa"/>
            <w:tcBorders>
              <w:top w:val="nil"/>
              <w:left w:val="nil"/>
              <w:bottom w:val="nil"/>
              <w:right w:val="nil"/>
            </w:tcBorders>
            <w:hideMark/>
          </w:tcPr>
          <w:p w14:paraId="34C534A8" w14:textId="2BFA797E" w:rsidR="00DF49C6" w:rsidRPr="00C13965" w:rsidRDefault="00DF49C6" w:rsidP="003151A9">
            <w:pPr>
              <w:jc w:val="both"/>
              <w:rPr>
                <w:szCs w:val="24"/>
                <w:lang w:eastAsia="en-US"/>
              </w:rPr>
            </w:pPr>
            <w:r w:rsidRPr="00C13965">
              <w:rPr>
                <w:rStyle w:val="A9"/>
                <w:rFonts w:cs="Times New Roman"/>
                <w:sz w:val="24"/>
                <w:szCs w:val="24"/>
                <w:lang w:eastAsia="en-US"/>
              </w:rPr>
              <w:t>jadrové zariadenie</w:t>
            </w:r>
          </w:p>
        </w:tc>
      </w:tr>
      <w:tr w:rsidR="00DF1E74" w:rsidRPr="00C13965" w14:paraId="4E7C0DEB" w14:textId="77777777" w:rsidTr="00C13A84">
        <w:tc>
          <w:tcPr>
            <w:tcW w:w="2552" w:type="dxa"/>
            <w:tcBorders>
              <w:top w:val="nil"/>
              <w:left w:val="nil"/>
              <w:bottom w:val="nil"/>
              <w:right w:val="nil"/>
            </w:tcBorders>
          </w:tcPr>
          <w:p w14:paraId="1C69FD4A" w14:textId="44C05695" w:rsidR="00DF1E74" w:rsidRPr="00C13965" w:rsidRDefault="00DF1E74" w:rsidP="003151A9">
            <w:pPr>
              <w:jc w:val="both"/>
              <w:rPr>
                <w:rStyle w:val="A9"/>
                <w:rFonts w:cs="Times New Roman"/>
                <w:sz w:val="24"/>
                <w:szCs w:val="24"/>
                <w:lang w:eastAsia="en-US"/>
              </w:rPr>
            </w:pPr>
            <w:r>
              <w:rPr>
                <w:rStyle w:val="A9"/>
                <w:rFonts w:cs="Times New Roman"/>
                <w:sz w:val="24"/>
                <w:szCs w:val="24"/>
                <w:lang w:eastAsia="en-US"/>
              </w:rPr>
              <w:lastRenderedPageBreak/>
              <w:t>KEDO</w:t>
            </w:r>
          </w:p>
        </w:tc>
        <w:tc>
          <w:tcPr>
            <w:tcW w:w="7548" w:type="dxa"/>
            <w:tcBorders>
              <w:top w:val="nil"/>
              <w:left w:val="nil"/>
              <w:bottom w:val="nil"/>
              <w:right w:val="nil"/>
            </w:tcBorders>
          </w:tcPr>
          <w:p w14:paraId="2926BF0D" w14:textId="07B34B8B" w:rsidR="00DF1E74" w:rsidRPr="00C13965" w:rsidRDefault="00DF1E74" w:rsidP="003151A9">
            <w:pPr>
              <w:jc w:val="both"/>
              <w:rPr>
                <w:rStyle w:val="A9"/>
                <w:rFonts w:cs="Times New Roman"/>
                <w:sz w:val="24"/>
                <w:szCs w:val="24"/>
                <w:lang w:eastAsia="en-US"/>
              </w:rPr>
            </w:pPr>
            <w:bookmarkStart w:id="74" w:name="_Hlk192059255"/>
            <w:r w:rsidRPr="00DF1E74">
              <w:rPr>
                <w:rStyle w:val="A9"/>
                <w:rFonts w:cs="Times New Roman"/>
                <w:sz w:val="24"/>
                <w:szCs w:val="24"/>
                <w:lang w:eastAsia="en-US"/>
              </w:rPr>
              <w:t>Organizácia pre energetický rozvoj Kórejského polostrova</w:t>
            </w:r>
            <w:r>
              <w:rPr>
                <w:rStyle w:val="A9"/>
                <w:rFonts w:cs="Times New Roman"/>
                <w:sz w:val="24"/>
                <w:szCs w:val="24"/>
                <w:lang w:eastAsia="en-US"/>
              </w:rPr>
              <w:t xml:space="preserve">, angl. </w:t>
            </w:r>
            <w:proofErr w:type="spellStart"/>
            <w:r w:rsidRPr="00DF1E74">
              <w:rPr>
                <w:rStyle w:val="A9"/>
                <w:rFonts w:cs="Times New Roman"/>
                <w:sz w:val="24"/>
                <w:szCs w:val="24"/>
                <w:lang w:eastAsia="en-US"/>
              </w:rPr>
              <w:t>Korean</w:t>
            </w:r>
            <w:proofErr w:type="spellEnd"/>
            <w:r w:rsidRPr="00DF1E74">
              <w:rPr>
                <w:rStyle w:val="A9"/>
                <w:rFonts w:cs="Times New Roman"/>
                <w:sz w:val="24"/>
                <w:szCs w:val="24"/>
                <w:lang w:eastAsia="en-US"/>
              </w:rPr>
              <w:t xml:space="preserve"> </w:t>
            </w:r>
            <w:proofErr w:type="spellStart"/>
            <w:r w:rsidRPr="00DF1E74">
              <w:rPr>
                <w:rStyle w:val="A9"/>
                <w:rFonts w:cs="Times New Roman"/>
                <w:sz w:val="24"/>
                <w:szCs w:val="24"/>
                <w:lang w:eastAsia="en-US"/>
              </w:rPr>
              <w:t>Peninsula</w:t>
            </w:r>
            <w:proofErr w:type="spellEnd"/>
            <w:r w:rsidRPr="00DF1E74">
              <w:rPr>
                <w:rStyle w:val="A9"/>
                <w:rFonts w:cs="Times New Roman"/>
                <w:sz w:val="24"/>
                <w:szCs w:val="24"/>
                <w:lang w:eastAsia="en-US"/>
              </w:rPr>
              <w:t xml:space="preserve"> Energy </w:t>
            </w:r>
            <w:proofErr w:type="spellStart"/>
            <w:r w:rsidRPr="00DF1E74">
              <w:rPr>
                <w:rStyle w:val="A9"/>
                <w:rFonts w:cs="Times New Roman"/>
                <w:sz w:val="24"/>
                <w:szCs w:val="24"/>
                <w:lang w:eastAsia="en-US"/>
              </w:rPr>
              <w:t>Development</w:t>
            </w:r>
            <w:proofErr w:type="spellEnd"/>
            <w:r w:rsidRPr="00DF1E74">
              <w:rPr>
                <w:rStyle w:val="A9"/>
                <w:rFonts w:cs="Times New Roman"/>
                <w:sz w:val="24"/>
                <w:szCs w:val="24"/>
                <w:lang w:eastAsia="en-US"/>
              </w:rPr>
              <w:t xml:space="preserve"> </w:t>
            </w:r>
            <w:proofErr w:type="spellStart"/>
            <w:r w:rsidRPr="00DF1E74">
              <w:rPr>
                <w:rStyle w:val="A9"/>
                <w:rFonts w:cs="Times New Roman"/>
                <w:sz w:val="24"/>
                <w:szCs w:val="24"/>
                <w:lang w:eastAsia="en-US"/>
              </w:rPr>
              <w:t>Organi</w:t>
            </w:r>
            <w:r>
              <w:rPr>
                <w:rStyle w:val="A9"/>
                <w:rFonts w:cs="Times New Roman"/>
                <w:sz w:val="24"/>
                <w:szCs w:val="24"/>
                <w:lang w:eastAsia="en-US"/>
              </w:rPr>
              <w:t>s</w:t>
            </w:r>
            <w:r w:rsidRPr="00DF1E74">
              <w:rPr>
                <w:rStyle w:val="A9"/>
                <w:rFonts w:cs="Times New Roman"/>
                <w:sz w:val="24"/>
                <w:szCs w:val="24"/>
                <w:lang w:eastAsia="en-US"/>
              </w:rPr>
              <w:t>ation</w:t>
            </w:r>
            <w:bookmarkEnd w:id="74"/>
            <w:proofErr w:type="spellEnd"/>
          </w:p>
        </w:tc>
      </w:tr>
      <w:tr w:rsidR="00FF18A1" w:rsidRPr="00C13965" w14:paraId="00E64966" w14:textId="77777777" w:rsidTr="00C13A84">
        <w:tc>
          <w:tcPr>
            <w:tcW w:w="2552" w:type="dxa"/>
            <w:tcBorders>
              <w:top w:val="nil"/>
              <w:left w:val="nil"/>
              <w:bottom w:val="nil"/>
              <w:right w:val="nil"/>
            </w:tcBorders>
          </w:tcPr>
          <w:p w14:paraId="1A03B584" w14:textId="4AF23562" w:rsidR="00FF18A1" w:rsidRDefault="00FF18A1" w:rsidP="003151A9">
            <w:pPr>
              <w:jc w:val="both"/>
              <w:rPr>
                <w:rStyle w:val="A9"/>
                <w:rFonts w:cs="Times New Roman"/>
                <w:sz w:val="24"/>
                <w:szCs w:val="24"/>
                <w:lang w:eastAsia="en-US"/>
              </w:rPr>
            </w:pPr>
            <w:r>
              <w:rPr>
                <w:rStyle w:val="A9"/>
                <w:rFonts w:cs="Times New Roman"/>
                <w:sz w:val="24"/>
                <w:szCs w:val="24"/>
                <w:lang w:eastAsia="en-US"/>
              </w:rPr>
              <w:t>KV</w:t>
            </w:r>
          </w:p>
        </w:tc>
        <w:tc>
          <w:tcPr>
            <w:tcW w:w="7548" w:type="dxa"/>
            <w:tcBorders>
              <w:top w:val="nil"/>
              <w:left w:val="nil"/>
              <w:bottom w:val="nil"/>
              <w:right w:val="nil"/>
            </w:tcBorders>
          </w:tcPr>
          <w:p w14:paraId="1B575861" w14:textId="6B5D3110" w:rsidR="00FF18A1" w:rsidRPr="00DF1E74" w:rsidRDefault="00BB78F4" w:rsidP="003151A9">
            <w:pPr>
              <w:jc w:val="both"/>
              <w:rPr>
                <w:rStyle w:val="A9"/>
                <w:rFonts w:cs="Times New Roman"/>
                <w:sz w:val="24"/>
                <w:szCs w:val="24"/>
                <w:lang w:eastAsia="en-US"/>
              </w:rPr>
            </w:pPr>
            <w:r>
              <w:rPr>
                <w:rStyle w:val="A9"/>
                <w:rFonts w:cs="Times New Roman"/>
                <w:sz w:val="24"/>
                <w:szCs w:val="24"/>
                <w:lang w:eastAsia="en-US"/>
              </w:rPr>
              <w:t>k</w:t>
            </w:r>
            <w:r w:rsidR="00FF18A1">
              <w:rPr>
                <w:rStyle w:val="A9"/>
                <w:rFonts w:cs="Times New Roman"/>
                <w:sz w:val="24"/>
                <w:szCs w:val="24"/>
                <w:lang w:eastAsia="en-US"/>
              </w:rPr>
              <w:t>oordinačný výbor</w:t>
            </w:r>
          </w:p>
        </w:tc>
      </w:tr>
      <w:tr w:rsidR="00DF49C6" w:rsidRPr="00C13965" w14:paraId="4D6EDCAF" w14:textId="77777777" w:rsidTr="00C13A84">
        <w:tc>
          <w:tcPr>
            <w:tcW w:w="2552" w:type="dxa"/>
            <w:tcBorders>
              <w:top w:val="nil"/>
              <w:left w:val="nil"/>
              <w:bottom w:val="nil"/>
              <w:right w:val="nil"/>
            </w:tcBorders>
            <w:hideMark/>
          </w:tcPr>
          <w:p w14:paraId="7024B2C8" w14:textId="64267752" w:rsidR="00DF49C6" w:rsidRPr="00C13965" w:rsidRDefault="00DF49C6" w:rsidP="003151A9">
            <w:pPr>
              <w:jc w:val="both"/>
              <w:rPr>
                <w:szCs w:val="24"/>
                <w:lang w:eastAsia="en-US"/>
              </w:rPr>
            </w:pPr>
            <w:proofErr w:type="spellStart"/>
            <w:r w:rsidRPr="00C13965">
              <w:rPr>
                <w:rStyle w:val="A9"/>
                <w:rFonts w:cs="Times New Roman"/>
                <w:sz w:val="24"/>
                <w:szCs w:val="24"/>
                <w:lang w:eastAsia="en-US"/>
              </w:rPr>
              <w:t>LaP</w:t>
            </w:r>
            <w:proofErr w:type="spellEnd"/>
          </w:p>
        </w:tc>
        <w:tc>
          <w:tcPr>
            <w:tcW w:w="7548" w:type="dxa"/>
            <w:tcBorders>
              <w:top w:val="nil"/>
              <w:left w:val="nil"/>
              <w:bottom w:val="nil"/>
              <w:right w:val="nil"/>
            </w:tcBorders>
            <w:hideMark/>
          </w:tcPr>
          <w:p w14:paraId="4AEBA6E8" w14:textId="0041EFC2" w:rsidR="00DF49C6" w:rsidRPr="00C13965" w:rsidRDefault="00DF49C6" w:rsidP="003151A9">
            <w:pPr>
              <w:jc w:val="both"/>
              <w:rPr>
                <w:szCs w:val="24"/>
                <w:lang w:eastAsia="en-US"/>
              </w:rPr>
            </w:pPr>
            <w:r w:rsidRPr="00C13965">
              <w:rPr>
                <w:rStyle w:val="A9"/>
                <w:rFonts w:cs="Times New Roman"/>
                <w:sz w:val="24"/>
                <w:szCs w:val="24"/>
                <w:lang w:eastAsia="en-US"/>
              </w:rPr>
              <w:t>limity a</w:t>
            </w:r>
            <w:r>
              <w:rPr>
                <w:rStyle w:val="A9"/>
                <w:rFonts w:cs="Times New Roman"/>
                <w:sz w:val="24"/>
                <w:szCs w:val="24"/>
                <w:lang w:eastAsia="en-US"/>
              </w:rPr>
              <w:t> </w:t>
            </w:r>
            <w:r w:rsidRPr="00C13965">
              <w:rPr>
                <w:rStyle w:val="A9"/>
                <w:rFonts w:cs="Times New Roman"/>
                <w:sz w:val="24"/>
                <w:szCs w:val="24"/>
                <w:lang w:eastAsia="en-US"/>
              </w:rPr>
              <w:t>podmienky</w:t>
            </w:r>
          </w:p>
        </w:tc>
      </w:tr>
      <w:tr w:rsidR="00DF49C6" w:rsidRPr="00C13965" w14:paraId="6BF4866F" w14:textId="77777777" w:rsidTr="00C13A84">
        <w:tc>
          <w:tcPr>
            <w:tcW w:w="2552" w:type="dxa"/>
            <w:tcBorders>
              <w:top w:val="nil"/>
              <w:left w:val="nil"/>
              <w:bottom w:val="nil"/>
              <w:right w:val="nil"/>
            </w:tcBorders>
            <w:hideMark/>
          </w:tcPr>
          <w:p w14:paraId="31150D93" w14:textId="5EDC39ED" w:rsidR="00DF49C6" w:rsidRPr="00C13965" w:rsidRDefault="00DF49C6" w:rsidP="003151A9">
            <w:pPr>
              <w:jc w:val="both"/>
              <w:rPr>
                <w:szCs w:val="24"/>
                <w:lang w:eastAsia="en-US"/>
              </w:rPr>
            </w:pPr>
            <w:r w:rsidRPr="00C13965">
              <w:rPr>
                <w:szCs w:val="24"/>
                <w:lang w:eastAsia="en-US"/>
              </w:rPr>
              <w:t>ĽF</w:t>
            </w:r>
          </w:p>
        </w:tc>
        <w:tc>
          <w:tcPr>
            <w:tcW w:w="7548" w:type="dxa"/>
            <w:tcBorders>
              <w:top w:val="nil"/>
              <w:left w:val="nil"/>
              <w:bottom w:val="nil"/>
              <w:right w:val="nil"/>
            </w:tcBorders>
            <w:hideMark/>
          </w:tcPr>
          <w:p w14:paraId="0FB69EBE" w14:textId="41CD9004" w:rsidR="00DF49C6" w:rsidRPr="00C13965" w:rsidRDefault="00DF49C6" w:rsidP="003151A9">
            <w:pPr>
              <w:jc w:val="both"/>
              <w:rPr>
                <w:szCs w:val="24"/>
                <w:lang w:eastAsia="en-US"/>
              </w:rPr>
            </w:pPr>
            <w:r w:rsidRPr="00C13965">
              <w:rPr>
                <w:szCs w:val="24"/>
                <w:lang w:eastAsia="en-US"/>
              </w:rPr>
              <w:t>ľudský faktor</w:t>
            </w:r>
          </w:p>
        </w:tc>
      </w:tr>
      <w:tr w:rsidR="00DF49C6" w:rsidRPr="00C13965" w14:paraId="30EC8754" w14:textId="77777777" w:rsidTr="00C13A84">
        <w:tc>
          <w:tcPr>
            <w:tcW w:w="2552" w:type="dxa"/>
            <w:tcBorders>
              <w:top w:val="nil"/>
              <w:left w:val="nil"/>
              <w:bottom w:val="nil"/>
              <w:right w:val="nil"/>
            </w:tcBorders>
            <w:hideMark/>
          </w:tcPr>
          <w:p w14:paraId="1ED63EFF" w14:textId="499AFEC0" w:rsidR="00DF49C6" w:rsidRPr="00C13965" w:rsidRDefault="00DF49C6" w:rsidP="003151A9">
            <w:pPr>
              <w:jc w:val="both"/>
              <w:rPr>
                <w:szCs w:val="24"/>
                <w:lang w:eastAsia="en-US"/>
              </w:rPr>
            </w:pPr>
            <w:r w:rsidRPr="00C13965">
              <w:rPr>
                <w:rStyle w:val="A9"/>
                <w:rFonts w:cs="Times New Roman"/>
                <w:sz w:val="24"/>
                <w:szCs w:val="24"/>
                <w:lang w:eastAsia="en-US"/>
              </w:rPr>
              <w:t>MAAE</w:t>
            </w:r>
          </w:p>
        </w:tc>
        <w:tc>
          <w:tcPr>
            <w:tcW w:w="7548" w:type="dxa"/>
            <w:tcBorders>
              <w:top w:val="nil"/>
              <w:left w:val="nil"/>
              <w:bottom w:val="nil"/>
              <w:right w:val="nil"/>
            </w:tcBorders>
            <w:hideMark/>
          </w:tcPr>
          <w:p w14:paraId="1C3B7B0E" w14:textId="1A031D93" w:rsidR="00DF49C6" w:rsidRPr="00C13965" w:rsidRDefault="00DF49C6" w:rsidP="003151A9">
            <w:pPr>
              <w:jc w:val="both"/>
              <w:rPr>
                <w:szCs w:val="24"/>
                <w:lang w:eastAsia="en-US"/>
              </w:rPr>
            </w:pPr>
            <w:r w:rsidRPr="00C13965">
              <w:rPr>
                <w:rStyle w:val="A9"/>
                <w:rFonts w:cs="Times New Roman"/>
                <w:sz w:val="24"/>
                <w:szCs w:val="24"/>
                <w:lang w:eastAsia="en-US"/>
              </w:rPr>
              <w:t>Medzinárodná agentúra pre atómovú energiu</w:t>
            </w:r>
            <w:r w:rsidR="007D26CA">
              <w:rPr>
                <w:rStyle w:val="A9"/>
                <w:rFonts w:cs="Times New Roman"/>
                <w:sz w:val="24"/>
                <w:szCs w:val="24"/>
                <w:lang w:eastAsia="en-US"/>
              </w:rPr>
              <w:t xml:space="preserve">, angl. </w:t>
            </w:r>
            <w:r w:rsidR="007D26CA" w:rsidRPr="007D26CA">
              <w:rPr>
                <w:rStyle w:val="A9"/>
                <w:rFonts w:cs="Times New Roman"/>
                <w:sz w:val="24"/>
                <w:szCs w:val="24"/>
                <w:lang w:eastAsia="en-US"/>
              </w:rPr>
              <w:t xml:space="preserve">International </w:t>
            </w:r>
            <w:proofErr w:type="spellStart"/>
            <w:r w:rsidR="007D26CA" w:rsidRPr="007D26CA">
              <w:rPr>
                <w:rStyle w:val="A9"/>
                <w:rFonts w:cs="Times New Roman"/>
                <w:sz w:val="24"/>
                <w:szCs w:val="24"/>
                <w:lang w:eastAsia="en-US"/>
              </w:rPr>
              <w:t>Atomic</w:t>
            </w:r>
            <w:proofErr w:type="spellEnd"/>
            <w:r w:rsidR="007D26CA" w:rsidRPr="007D26CA">
              <w:rPr>
                <w:rStyle w:val="A9"/>
                <w:rFonts w:cs="Times New Roman"/>
                <w:sz w:val="24"/>
                <w:szCs w:val="24"/>
                <w:lang w:eastAsia="en-US"/>
              </w:rPr>
              <w:t xml:space="preserve"> Energy </w:t>
            </w:r>
            <w:proofErr w:type="spellStart"/>
            <w:r w:rsidR="007D26CA" w:rsidRPr="007D26CA">
              <w:rPr>
                <w:rStyle w:val="A9"/>
                <w:rFonts w:cs="Times New Roman"/>
                <w:sz w:val="24"/>
                <w:szCs w:val="24"/>
                <w:lang w:eastAsia="en-US"/>
              </w:rPr>
              <w:t>Agency</w:t>
            </w:r>
            <w:proofErr w:type="spellEnd"/>
          </w:p>
        </w:tc>
      </w:tr>
      <w:tr w:rsidR="006B192E" w:rsidRPr="00C13965" w14:paraId="540D638E" w14:textId="77777777" w:rsidTr="00C13A84">
        <w:tc>
          <w:tcPr>
            <w:tcW w:w="2552" w:type="dxa"/>
            <w:tcBorders>
              <w:top w:val="nil"/>
              <w:left w:val="nil"/>
              <w:bottom w:val="nil"/>
              <w:right w:val="nil"/>
            </w:tcBorders>
          </w:tcPr>
          <w:p w14:paraId="2616E7AB" w14:textId="29420EF8" w:rsidR="006B192E" w:rsidRPr="00C13965" w:rsidRDefault="006B192E" w:rsidP="003151A9">
            <w:pPr>
              <w:jc w:val="both"/>
              <w:rPr>
                <w:rStyle w:val="A9"/>
                <w:rFonts w:cs="Times New Roman"/>
                <w:sz w:val="24"/>
                <w:szCs w:val="24"/>
                <w:lang w:eastAsia="en-US"/>
              </w:rPr>
            </w:pPr>
            <w:r>
              <w:rPr>
                <w:rStyle w:val="A9"/>
                <w:rFonts w:cs="Times New Roman"/>
                <w:sz w:val="24"/>
                <w:szCs w:val="24"/>
                <w:lang w:eastAsia="en-US"/>
              </w:rPr>
              <w:t>MACCS</w:t>
            </w:r>
          </w:p>
        </w:tc>
        <w:tc>
          <w:tcPr>
            <w:tcW w:w="7548" w:type="dxa"/>
            <w:tcBorders>
              <w:top w:val="nil"/>
              <w:left w:val="nil"/>
              <w:bottom w:val="nil"/>
              <w:right w:val="nil"/>
            </w:tcBorders>
          </w:tcPr>
          <w:p w14:paraId="57C24CE9" w14:textId="311D66EE" w:rsidR="006B192E" w:rsidRPr="00C13965" w:rsidRDefault="006B192E" w:rsidP="003151A9">
            <w:pPr>
              <w:jc w:val="both"/>
              <w:rPr>
                <w:rStyle w:val="A9"/>
                <w:rFonts w:cs="Times New Roman"/>
                <w:sz w:val="24"/>
                <w:szCs w:val="24"/>
                <w:lang w:eastAsia="en-US"/>
              </w:rPr>
            </w:pPr>
            <w:r>
              <w:rPr>
                <w:rStyle w:val="A9"/>
                <w:rFonts w:cs="Times New Roman"/>
                <w:sz w:val="24"/>
                <w:szCs w:val="24"/>
                <w:lang w:eastAsia="en-US"/>
              </w:rPr>
              <w:t xml:space="preserve">doplnkový nástroj k výpočtovému programu MELCOR, angl. </w:t>
            </w:r>
            <w:r w:rsidRPr="006B192E">
              <w:rPr>
                <w:rStyle w:val="A9"/>
                <w:rFonts w:cs="Times New Roman"/>
                <w:sz w:val="24"/>
                <w:szCs w:val="24"/>
                <w:lang w:eastAsia="en-US"/>
              </w:rPr>
              <w:t xml:space="preserve">MELCOR </w:t>
            </w:r>
            <w:proofErr w:type="spellStart"/>
            <w:r w:rsidRPr="006B192E">
              <w:rPr>
                <w:rStyle w:val="A9"/>
                <w:rFonts w:cs="Times New Roman"/>
                <w:sz w:val="24"/>
                <w:szCs w:val="24"/>
                <w:lang w:eastAsia="en-US"/>
              </w:rPr>
              <w:t>Accident</w:t>
            </w:r>
            <w:proofErr w:type="spellEnd"/>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Consequence</w:t>
            </w:r>
            <w:proofErr w:type="spellEnd"/>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Code</w:t>
            </w:r>
            <w:proofErr w:type="spellEnd"/>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System</w:t>
            </w:r>
            <w:proofErr w:type="spellEnd"/>
          </w:p>
        </w:tc>
      </w:tr>
      <w:tr w:rsidR="001F1710" w:rsidRPr="00C13965" w14:paraId="603F4403" w14:textId="77777777" w:rsidTr="00C13A84">
        <w:tc>
          <w:tcPr>
            <w:tcW w:w="2552" w:type="dxa"/>
            <w:tcBorders>
              <w:top w:val="nil"/>
              <w:left w:val="nil"/>
              <w:bottom w:val="nil"/>
              <w:right w:val="nil"/>
            </w:tcBorders>
          </w:tcPr>
          <w:p w14:paraId="5B8AADBB" w14:textId="2D1A6AFB" w:rsidR="001F1710" w:rsidRPr="00C13965" w:rsidRDefault="001F1710" w:rsidP="003151A9">
            <w:pPr>
              <w:jc w:val="both"/>
              <w:rPr>
                <w:rStyle w:val="A9"/>
                <w:rFonts w:cs="Times New Roman"/>
                <w:sz w:val="24"/>
                <w:szCs w:val="24"/>
                <w:lang w:eastAsia="en-US"/>
              </w:rPr>
            </w:pPr>
            <w:r>
              <w:rPr>
                <w:rStyle w:val="A9"/>
                <w:rFonts w:cs="Times New Roman"/>
                <w:sz w:val="24"/>
                <w:szCs w:val="24"/>
                <w:lang w:eastAsia="en-US"/>
              </w:rPr>
              <w:t>M</w:t>
            </w:r>
            <w:r>
              <w:rPr>
                <w:rStyle w:val="A9"/>
                <w:rFonts w:cs="Times New Roman"/>
                <w:sz w:val="24"/>
              </w:rPr>
              <w:t>D SR</w:t>
            </w:r>
          </w:p>
        </w:tc>
        <w:tc>
          <w:tcPr>
            <w:tcW w:w="7548" w:type="dxa"/>
            <w:tcBorders>
              <w:top w:val="nil"/>
              <w:left w:val="nil"/>
              <w:bottom w:val="nil"/>
              <w:right w:val="nil"/>
            </w:tcBorders>
          </w:tcPr>
          <w:p w14:paraId="7237C2F6" w14:textId="12981D9E" w:rsidR="001F1710" w:rsidRPr="00C13965" w:rsidRDefault="001F1710" w:rsidP="003151A9">
            <w:pPr>
              <w:jc w:val="both"/>
              <w:rPr>
                <w:rStyle w:val="A9"/>
                <w:rFonts w:cs="Times New Roman"/>
                <w:sz w:val="24"/>
                <w:szCs w:val="24"/>
                <w:lang w:eastAsia="en-US"/>
              </w:rPr>
            </w:pPr>
            <w:r>
              <w:rPr>
                <w:rStyle w:val="A9"/>
                <w:rFonts w:cs="Times New Roman"/>
                <w:sz w:val="24"/>
                <w:szCs w:val="24"/>
                <w:lang w:eastAsia="en-US"/>
              </w:rPr>
              <w:t>M</w:t>
            </w:r>
            <w:r>
              <w:rPr>
                <w:rStyle w:val="A9"/>
                <w:rFonts w:cs="Times New Roman"/>
                <w:sz w:val="24"/>
              </w:rPr>
              <w:t>inisterstvo dopravy Slovenskej republiky</w:t>
            </w:r>
          </w:p>
        </w:tc>
      </w:tr>
      <w:tr w:rsidR="006B192E" w:rsidRPr="00C13965" w14:paraId="717E43D9" w14:textId="77777777" w:rsidTr="00C13A84">
        <w:tc>
          <w:tcPr>
            <w:tcW w:w="2552" w:type="dxa"/>
            <w:tcBorders>
              <w:top w:val="nil"/>
              <w:left w:val="nil"/>
              <w:bottom w:val="nil"/>
              <w:right w:val="nil"/>
            </w:tcBorders>
          </w:tcPr>
          <w:p w14:paraId="02F599C1" w14:textId="539B9782" w:rsidR="006B192E" w:rsidRDefault="006B192E" w:rsidP="003151A9">
            <w:pPr>
              <w:jc w:val="both"/>
              <w:rPr>
                <w:rStyle w:val="A9"/>
                <w:rFonts w:cs="Times New Roman"/>
                <w:sz w:val="24"/>
                <w:szCs w:val="24"/>
                <w:lang w:eastAsia="en-US"/>
              </w:rPr>
            </w:pPr>
            <w:r>
              <w:rPr>
                <w:rStyle w:val="A9"/>
                <w:rFonts w:cs="Times New Roman"/>
                <w:sz w:val="24"/>
                <w:szCs w:val="24"/>
                <w:lang w:eastAsia="en-US"/>
              </w:rPr>
              <w:t>MELCOR</w:t>
            </w:r>
          </w:p>
        </w:tc>
        <w:tc>
          <w:tcPr>
            <w:tcW w:w="7548" w:type="dxa"/>
            <w:tcBorders>
              <w:top w:val="nil"/>
              <w:left w:val="nil"/>
              <w:bottom w:val="nil"/>
              <w:right w:val="nil"/>
            </w:tcBorders>
          </w:tcPr>
          <w:p w14:paraId="23182CE0" w14:textId="4575B7FE" w:rsidR="006B192E" w:rsidRDefault="006B192E" w:rsidP="003151A9">
            <w:pPr>
              <w:jc w:val="both"/>
              <w:rPr>
                <w:rStyle w:val="A9"/>
                <w:rFonts w:cs="Times New Roman"/>
                <w:sz w:val="24"/>
                <w:szCs w:val="24"/>
                <w:lang w:eastAsia="en-US"/>
              </w:rPr>
            </w:pPr>
            <w:r>
              <w:rPr>
                <w:rStyle w:val="A9"/>
                <w:rFonts w:cs="Times New Roman"/>
                <w:sz w:val="24"/>
                <w:szCs w:val="24"/>
                <w:lang w:eastAsia="en-US"/>
              </w:rPr>
              <w:t xml:space="preserve">americký výpočtový program ťažkých havárií, angl. </w:t>
            </w:r>
            <w:proofErr w:type="spellStart"/>
            <w:r w:rsidRPr="006B192E">
              <w:rPr>
                <w:rStyle w:val="A9"/>
                <w:rFonts w:cs="Times New Roman"/>
                <w:sz w:val="24"/>
                <w:szCs w:val="24"/>
                <w:lang w:eastAsia="en-US"/>
              </w:rPr>
              <w:t>MELting</w:t>
            </w:r>
            <w:proofErr w:type="spellEnd"/>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CORe</w:t>
            </w:r>
            <w:proofErr w:type="spellEnd"/>
          </w:p>
        </w:tc>
      </w:tr>
      <w:tr w:rsidR="00DF49C6" w:rsidRPr="00C13965" w14:paraId="28D15566" w14:textId="77777777" w:rsidTr="00C13A84">
        <w:tc>
          <w:tcPr>
            <w:tcW w:w="2552" w:type="dxa"/>
            <w:tcBorders>
              <w:top w:val="nil"/>
              <w:left w:val="nil"/>
              <w:bottom w:val="nil"/>
              <w:right w:val="nil"/>
            </w:tcBorders>
            <w:hideMark/>
          </w:tcPr>
          <w:p w14:paraId="7D1060AD" w14:textId="26D5A767" w:rsidR="00DF49C6" w:rsidRPr="00C13965" w:rsidRDefault="00DF49C6" w:rsidP="003151A9">
            <w:pPr>
              <w:jc w:val="both"/>
              <w:rPr>
                <w:szCs w:val="24"/>
                <w:lang w:eastAsia="en-US"/>
              </w:rPr>
            </w:pPr>
            <w:r w:rsidRPr="00C13965">
              <w:rPr>
                <w:szCs w:val="24"/>
                <w:lang w:eastAsia="en-US"/>
              </w:rPr>
              <w:t>MH SR</w:t>
            </w:r>
          </w:p>
        </w:tc>
        <w:tc>
          <w:tcPr>
            <w:tcW w:w="7548" w:type="dxa"/>
            <w:tcBorders>
              <w:top w:val="nil"/>
              <w:left w:val="nil"/>
              <w:bottom w:val="nil"/>
              <w:right w:val="nil"/>
            </w:tcBorders>
            <w:hideMark/>
          </w:tcPr>
          <w:p w14:paraId="7859D1C4" w14:textId="1EECB5FA" w:rsidR="00DF49C6" w:rsidRPr="00C13965" w:rsidRDefault="00DF49C6" w:rsidP="003151A9">
            <w:pPr>
              <w:jc w:val="both"/>
              <w:rPr>
                <w:szCs w:val="24"/>
                <w:lang w:eastAsia="en-US"/>
              </w:rPr>
            </w:pPr>
            <w:r w:rsidRPr="00C13965">
              <w:rPr>
                <w:szCs w:val="24"/>
                <w:lang w:eastAsia="en-US"/>
              </w:rPr>
              <w:t>Ministerstvo hospodárstva S</w:t>
            </w:r>
            <w:r w:rsidR="001F1710">
              <w:rPr>
                <w:szCs w:val="24"/>
                <w:lang w:eastAsia="en-US"/>
              </w:rPr>
              <w:t>lovenskej republiky</w:t>
            </w:r>
          </w:p>
        </w:tc>
      </w:tr>
      <w:tr w:rsidR="00DF49C6" w:rsidRPr="00C13965" w14:paraId="08BF4E39" w14:textId="77777777" w:rsidTr="00C13A84">
        <w:tc>
          <w:tcPr>
            <w:tcW w:w="2552" w:type="dxa"/>
            <w:tcBorders>
              <w:top w:val="nil"/>
              <w:left w:val="nil"/>
              <w:bottom w:val="nil"/>
              <w:right w:val="nil"/>
            </w:tcBorders>
          </w:tcPr>
          <w:p w14:paraId="7D30C4CF" w14:textId="32B01963" w:rsidR="00DF49C6" w:rsidRPr="002967BC" w:rsidRDefault="00DF49C6" w:rsidP="003151A9">
            <w:pPr>
              <w:jc w:val="both"/>
            </w:pPr>
            <w:r>
              <w:t>MO34</w:t>
            </w:r>
          </w:p>
        </w:tc>
        <w:tc>
          <w:tcPr>
            <w:tcW w:w="7548" w:type="dxa"/>
            <w:tcBorders>
              <w:top w:val="nil"/>
              <w:left w:val="nil"/>
              <w:bottom w:val="nil"/>
              <w:right w:val="nil"/>
            </w:tcBorders>
          </w:tcPr>
          <w:p w14:paraId="52FB2B77" w14:textId="01B41523" w:rsidR="00DF49C6" w:rsidRPr="002967BC" w:rsidRDefault="00DF49C6" w:rsidP="003151A9">
            <w:pPr>
              <w:jc w:val="both"/>
            </w:pPr>
            <w:r>
              <w:t>Jadrová elektráreň Mochovce 3, 4</w:t>
            </w:r>
          </w:p>
        </w:tc>
      </w:tr>
      <w:tr w:rsidR="00FF18A1" w:rsidRPr="00C13965" w14:paraId="68519904" w14:textId="77777777" w:rsidTr="00C13A84">
        <w:tc>
          <w:tcPr>
            <w:tcW w:w="2552" w:type="dxa"/>
            <w:tcBorders>
              <w:top w:val="nil"/>
              <w:left w:val="nil"/>
              <w:bottom w:val="nil"/>
              <w:right w:val="nil"/>
            </w:tcBorders>
          </w:tcPr>
          <w:p w14:paraId="1A72C6C2" w14:textId="0CBCB6B9" w:rsidR="00FF18A1" w:rsidRDefault="00FF18A1" w:rsidP="003151A9">
            <w:pPr>
              <w:jc w:val="both"/>
            </w:pPr>
            <w:r>
              <w:t>MPSVR SR</w:t>
            </w:r>
          </w:p>
        </w:tc>
        <w:tc>
          <w:tcPr>
            <w:tcW w:w="7548" w:type="dxa"/>
            <w:tcBorders>
              <w:top w:val="nil"/>
              <w:left w:val="nil"/>
              <w:bottom w:val="nil"/>
              <w:right w:val="nil"/>
            </w:tcBorders>
          </w:tcPr>
          <w:p w14:paraId="403FBD65" w14:textId="1A24C8C2" w:rsidR="00FF18A1" w:rsidRDefault="00FF18A1" w:rsidP="003151A9">
            <w:pPr>
              <w:jc w:val="both"/>
            </w:pPr>
            <w:r>
              <w:t>M</w:t>
            </w:r>
            <w:r w:rsidRPr="00FF18A1">
              <w:t>inisterstvo práce</w:t>
            </w:r>
            <w:r>
              <w:t>,</w:t>
            </w:r>
            <w:r w:rsidRPr="00FF18A1">
              <w:t xml:space="preserve"> sociálnych vecí a</w:t>
            </w:r>
            <w:r>
              <w:t> </w:t>
            </w:r>
            <w:r w:rsidRPr="00FF18A1">
              <w:t>rodiny</w:t>
            </w:r>
            <w:r>
              <w:t xml:space="preserve"> Slovenskej republiky</w:t>
            </w:r>
          </w:p>
        </w:tc>
      </w:tr>
      <w:tr w:rsidR="00DF49C6" w:rsidRPr="00C13965" w14:paraId="220BF324" w14:textId="77777777" w:rsidTr="00C13A84">
        <w:tc>
          <w:tcPr>
            <w:tcW w:w="2552" w:type="dxa"/>
            <w:tcBorders>
              <w:top w:val="nil"/>
              <w:left w:val="nil"/>
              <w:bottom w:val="nil"/>
              <w:right w:val="nil"/>
            </w:tcBorders>
          </w:tcPr>
          <w:p w14:paraId="1DDF0358" w14:textId="11983764" w:rsidR="00DF49C6" w:rsidRPr="002967BC" w:rsidRDefault="00DF49C6" w:rsidP="003151A9">
            <w:pPr>
              <w:jc w:val="both"/>
            </w:pPr>
            <w:r w:rsidRPr="002967BC">
              <w:t>MRPS OBPZJŠ</w:t>
            </w:r>
          </w:p>
        </w:tc>
        <w:tc>
          <w:tcPr>
            <w:tcW w:w="7548" w:type="dxa"/>
            <w:tcBorders>
              <w:top w:val="nil"/>
              <w:left w:val="nil"/>
              <w:bottom w:val="nil"/>
              <w:right w:val="nil"/>
            </w:tcBorders>
          </w:tcPr>
          <w:p w14:paraId="0F8FFDE5" w14:textId="48E28310" w:rsidR="00DF49C6" w:rsidRPr="002967BC" w:rsidRDefault="00DF49C6" w:rsidP="003151A9">
            <w:pPr>
              <w:jc w:val="both"/>
            </w:pPr>
            <w:r w:rsidRPr="002967BC">
              <w:t>medzirezortn</w:t>
            </w:r>
            <w:r>
              <w:t>á</w:t>
            </w:r>
            <w:r w:rsidRPr="002967BC">
              <w:t xml:space="preserve"> pracovn</w:t>
            </w:r>
            <w:r>
              <w:t>á</w:t>
            </w:r>
            <w:r w:rsidRPr="002967BC">
              <w:t xml:space="preserve"> skupin</w:t>
            </w:r>
            <w:r>
              <w:t>a</w:t>
            </w:r>
            <w:r w:rsidRPr="002967BC">
              <w:t xml:space="preserve"> k občianskoprávnej zodpovednosti za</w:t>
            </w:r>
            <w:r>
              <w:t> </w:t>
            </w:r>
            <w:r w:rsidRPr="002967BC">
              <w:t>jadrové škody</w:t>
            </w:r>
          </w:p>
        </w:tc>
      </w:tr>
      <w:tr w:rsidR="00DF49C6" w:rsidRPr="00C13965" w14:paraId="7C6C3149" w14:textId="77777777" w:rsidTr="00C13A84">
        <w:tc>
          <w:tcPr>
            <w:tcW w:w="2552" w:type="dxa"/>
            <w:tcBorders>
              <w:top w:val="nil"/>
              <w:left w:val="nil"/>
              <w:bottom w:val="nil"/>
              <w:right w:val="nil"/>
            </w:tcBorders>
          </w:tcPr>
          <w:p w14:paraId="64746EFF" w14:textId="631867AB" w:rsidR="00DF49C6" w:rsidRPr="00C13965" w:rsidRDefault="00DF49C6" w:rsidP="003151A9">
            <w:pPr>
              <w:jc w:val="both"/>
              <w:rPr>
                <w:szCs w:val="24"/>
                <w:lang w:eastAsia="en-US"/>
              </w:rPr>
            </w:pPr>
            <w:r>
              <w:rPr>
                <w:rStyle w:val="A9"/>
                <w:rFonts w:cs="Times New Roman"/>
                <w:sz w:val="24"/>
                <w:szCs w:val="24"/>
                <w:lang w:eastAsia="en-US"/>
              </w:rPr>
              <w:t>MS SR</w:t>
            </w:r>
          </w:p>
        </w:tc>
        <w:tc>
          <w:tcPr>
            <w:tcW w:w="7548" w:type="dxa"/>
            <w:tcBorders>
              <w:top w:val="nil"/>
              <w:left w:val="nil"/>
              <w:bottom w:val="nil"/>
              <w:right w:val="nil"/>
            </w:tcBorders>
          </w:tcPr>
          <w:p w14:paraId="61D3262B" w14:textId="4F906485" w:rsidR="00DF49C6" w:rsidRPr="00C13965" w:rsidRDefault="00DF49C6" w:rsidP="003151A9">
            <w:pPr>
              <w:jc w:val="both"/>
              <w:rPr>
                <w:szCs w:val="24"/>
                <w:lang w:eastAsia="en-US"/>
              </w:rPr>
            </w:pPr>
            <w:r>
              <w:rPr>
                <w:rStyle w:val="A9"/>
                <w:rFonts w:cs="Times New Roman"/>
                <w:sz w:val="24"/>
                <w:szCs w:val="24"/>
                <w:lang w:eastAsia="en-US"/>
              </w:rPr>
              <w:t>Ministerstvo spravodlivosti S</w:t>
            </w:r>
            <w:r w:rsidR="001F1710">
              <w:rPr>
                <w:rStyle w:val="A9"/>
                <w:rFonts w:cs="Times New Roman"/>
                <w:sz w:val="24"/>
                <w:szCs w:val="24"/>
                <w:lang w:eastAsia="en-US"/>
              </w:rPr>
              <w:t>lovenskej republiky</w:t>
            </w:r>
          </w:p>
        </w:tc>
      </w:tr>
      <w:tr w:rsidR="00DF49C6" w:rsidRPr="00C13965" w14:paraId="19D6B6A6" w14:textId="77777777" w:rsidTr="00C13A84">
        <w:tc>
          <w:tcPr>
            <w:tcW w:w="2552" w:type="dxa"/>
            <w:tcBorders>
              <w:top w:val="nil"/>
              <w:left w:val="nil"/>
              <w:bottom w:val="nil"/>
              <w:right w:val="nil"/>
            </w:tcBorders>
          </w:tcPr>
          <w:p w14:paraId="43C16434" w14:textId="19C24C2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MSVP</w:t>
            </w:r>
          </w:p>
        </w:tc>
        <w:tc>
          <w:tcPr>
            <w:tcW w:w="7548" w:type="dxa"/>
            <w:tcBorders>
              <w:top w:val="nil"/>
              <w:left w:val="nil"/>
              <w:bottom w:val="nil"/>
              <w:right w:val="nil"/>
            </w:tcBorders>
          </w:tcPr>
          <w:p w14:paraId="6D2E0730" w14:textId="0F1CCE6A" w:rsidR="00DF49C6" w:rsidRPr="00C13965" w:rsidRDefault="00DF49C6" w:rsidP="003151A9">
            <w:pPr>
              <w:jc w:val="both"/>
              <w:rPr>
                <w:rStyle w:val="A9"/>
                <w:rFonts w:cs="Times New Roman"/>
                <w:sz w:val="24"/>
                <w:szCs w:val="24"/>
                <w:lang w:eastAsia="en-US"/>
              </w:rPr>
            </w:pPr>
            <w:proofErr w:type="spellStart"/>
            <w:r w:rsidRPr="00C13965">
              <w:rPr>
                <w:rStyle w:val="A9"/>
                <w:rFonts w:cs="Times New Roman"/>
                <w:sz w:val="24"/>
                <w:szCs w:val="24"/>
                <w:lang w:eastAsia="en-US"/>
              </w:rPr>
              <w:t>Medzisklad</w:t>
            </w:r>
            <w:proofErr w:type="spellEnd"/>
            <w:r w:rsidRPr="00C13965">
              <w:rPr>
                <w:rStyle w:val="A9"/>
                <w:rFonts w:cs="Times New Roman"/>
                <w:sz w:val="24"/>
                <w:szCs w:val="24"/>
                <w:lang w:eastAsia="en-US"/>
              </w:rPr>
              <w:t xml:space="preserve"> vyhoretého jadrového paliva</w:t>
            </w:r>
          </w:p>
        </w:tc>
      </w:tr>
      <w:tr w:rsidR="00DF49C6" w:rsidRPr="00C13965" w14:paraId="00F43027" w14:textId="77777777" w:rsidTr="00C13A84">
        <w:tc>
          <w:tcPr>
            <w:tcW w:w="2552" w:type="dxa"/>
            <w:tcBorders>
              <w:top w:val="nil"/>
              <w:left w:val="nil"/>
              <w:bottom w:val="nil"/>
              <w:right w:val="nil"/>
            </w:tcBorders>
            <w:hideMark/>
          </w:tcPr>
          <w:p w14:paraId="48A2E317" w14:textId="04FC4485" w:rsidR="00DF49C6" w:rsidRPr="00C13965" w:rsidRDefault="00DF49C6" w:rsidP="003151A9">
            <w:pPr>
              <w:jc w:val="both"/>
              <w:rPr>
                <w:szCs w:val="24"/>
                <w:lang w:eastAsia="en-US"/>
              </w:rPr>
            </w:pPr>
            <w:r>
              <w:rPr>
                <w:rStyle w:val="A9"/>
                <w:rFonts w:cs="Times New Roman"/>
                <w:sz w:val="24"/>
                <w:szCs w:val="24"/>
                <w:lang w:eastAsia="en-US"/>
              </w:rPr>
              <w:t>M</w:t>
            </w:r>
            <w:r>
              <w:rPr>
                <w:rStyle w:val="A9"/>
                <w:rFonts w:cs="Times New Roman"/>
                <w:sz w:val="24"/>
              </w:rPr>
              <w:t>V SR</w:t>
            </w:r>
          </w:p>
        </w:tc>
        <w:tc>
          <w:tcPr>
            <w:tcW w:w="7548" w:type="dxa"/>
            <w:tcBorders>
              <w:top w:val="nil"/>
              <w:left w:val="nil"/>
              <w:bottom w:val="nil"/>
              <w:right w:val="nil"/>
            </w:tcBorders>
            <w:hideMark/>
          </w:tcPr>
          <w:p w14:paraId="2BEEBDCD" w14:textId="6419410C" w:rsidR="00DF49C6" w:rsidRPr="00C13965" w:rsidRDefault="00DF49C6" w:rsidP="003151A9">
            <w:pPr>
              <w:jc w:val="both"/>
              <w:rPr>
                <w:szCs w:val="24"/>
                <w:lang w:eastAsia="en-US"/>
              </w:rPr>
            </w:pPr>
            <w:r>
              <w:rPr>
                <w:rStyle w:val="A9"/>
                <w:rFonts w:cs="Times New Roman"/>
                <w:sz w:val="24"/>
                <w:szCs w:val="24"/>
                <w:lang w:eastAsia="en-US"/>
              </w:rPr>
              <w:t>M</w:t>
            </w:r>
            <w:r>
              <w:rPr>
                <w:rStyle w:val="A9"/>
                <w:rFonts w:cs="Times New Roman"/>
                <w:sz w:val="24"/>
              </w:rPr>
              <w:t>inisterstvo vnútra S</w:t>
            </w:r>
            <w:r w:rsidR="001F1710">
              <w:rPr>
                <w:rStyle w:val="A9"/>
                <w:rFonts w:cs="Times New Roman"/>
                <w:sz w:val="24"/>
              </w:rPr>
              <w:t>lovenskej republiky</w:t>
            </w:r>
          </w:p>
        </w:tc>
      </w:tr>
      <w:tr w:rsidR="00FF18A1" w:rsidRPr="00C13965" w14:paraId="6A5000E9" w14:textId="77777777" w:rsidTr="00C13A84">
        <w:tc>
          <w:tcPr>
            <w:tcW w:w="2552" w:type="dxa"/>
            <w:tcBorders>
              <w:top w:val="nil"/>
              <w:left w:val="nil"/>
              <w:bottom w:val="nil"/>
              <w:right w:val="nil"/>
            </w:tcBorders>
          </w:tcPr>
          <w:p w14:paraId="49100A55" w14:textId="22058CF7" w:rsidR="00FF18A1" w:rsidRDefault="00FF18A1" w:rsidP="003151A9">
            <w:pPr>
              <w:jc w:val="both"/>
              <w:rPr>
                <w:rStyle w:val="A9"/>
                <w:rFonts w:cs="Times New Roman"/>
                <w:sz w:val="24"/>
                <w:szCs w:val="24"/>
                <w:lang w:eastAsia="en-US"/>
              </w:rPr>
            </w:pPr>
            <w:r>
              <w:rPr>
                <w:rStyle w:val="A9"/>
                <w:rFonts w:cs="Times New Roman"/>
                <w:sz w:val="24"/>
                <w:szCs w:val="24"/>
                <w:lang w:eastAsia="en-US"/>
              </w:rPr>
              <w:t>M</w:t>
            </w:r>
            <w:r>
              <w:rPr>
                <w:rStyle w:val="A9"/>
                <w:rFonts w:cs="Times New Roman"/>
                <w:sz w:val="24"/>
                <w:szCs w:val="24"/>
              </w:rPr>
              <w:t>Z SR</w:t>
            </w:r>
          </w:p>
        </w:tc>
        <w:tc>
          <w:tcPr>
            <w:tcW w:w="7548" w:type="dxa"/>
            <w:tcBorders>
              <w:top w:val="nil"/>
              <w:left w:val="nil"/>
              <w:bottom w:val="nil"/>
              <w:right w:val="nil"/>
            </w:tcBorders>
          </w:tcPr>
          <w:p w14:paraId="0769362D" w14:textId="72E1BE0E" w:rsidR="00FF18A1" w:rsidRDefault="00FF18A1" w:rsidP="003151A9">
            <w:pPr>
              <w:jc w:val="both"/>
              <w:rPr>
                <w:rStyle w:val="A9"/>
                <w:rFonts w:cs="Times New Roman"/>
                <w:sz w:val="24"/>
                <w:szCs w:val="24"/>
                <w:lang w:eastAsia="en-US"/>
              </w:rPr>
            </w:pPr>
            <w:r>
              <w:rPr>
                <w:rStyle w:val="A9"/>
                <w:rFonts w:cs="Times New Roman"/>
                <w:sz w:val="24"/>
                <w:szCs w:val="24"/>
                <w:lang w:eastAsia="en-US"/>
              </w:rPr>
              <w:t>M</w:t>
            </w:r>
            <w:r>
              <w:rPr>
                <w:rStyle w:val="A9"/>
                <w:rFonts w:cs="Times New Roman"/>
                <w:sz w:val="24"/>
                <w:szCs w:val="24"/>
              </w:rPr>
              <w:t xml:space="preserve">inisterstvo zdravotníctva </w:t>
            </w:r>
            <w:r>
              <w:rPr>
                <w:rStyle w:val="A9"/>
                <w:rFonts w:cs="Times New Roman"/>
                <w:sz w:val="24"/>
              </w:rPr>
              <w:t>Slovenskej republiky</w:t>
            </w:r>
          </w:p>
        </w:tc>
      </w:tr>
      <w:tr w:rsidR="00DF49C6" w:rsidRPr="00C13965" w14:paraId="06B026D6" w14:textId="77777777" w:rsidTr="00C13A84">
        <w:tc>
          <w:tcPr>
            <w:tcW w:w="2552" w:type="dxa"/>
            <w:tcBorders>
              <w:top w:val="nil"/>
              <w:left w:val="nil"/>
              <w:bottom w:val="nil"/>
              <w:right w:val="nil"/>
            </w:tcBorders>
          </w:tcPr>
          <w:p w14:paraId="12FF5753" w14:textId="23210AD3" w:rsidR="00DF49C6" w:rsidRPr="00C13965" w:rsidRDefault="00DF49C6" w:rsidP="003151A9">
            <w:pPr>
              <w:jc w:val="both"/>
              <w:rPr>
                <w:rStyle w:val="A9"/>
                <w:rFonts w:cs="Times New Roman"/>
                <w:sz w:val="24"/>
                <w:szCs w:val="24"/>
                <w:lang w:eastAsia="en-US"/>
              </w:rPr>
            </w:pPr>
            <w:r w:rsidRPr="00C13965">
              <w:rPr>
                <w:szCs w:val="24"/>
                <w:lang w:eastAsia="en-US"/>
              </w:rPr>
              <w:t>MZVEZ SR</w:t>
            </w:r>
          </w:p>
        </w:tc>
        <w:tc>
          <w:tcPr>
            <w:tcW w:w="7548" w:type="dxa"/>
            <w:tcBorders>
              <w:top w:val="nil"/>
              <w:left w:val="nil"/>
              <w:bottom w:val="nil"/>
              <w:right w:val="nil"/>
            </w:tcBorders>
          </w:tcPr>
          <w:p w14:paraId="68C5C8AB" w14:textId="3EF35F66" w:rsidR="00DF49C6" w:rsidRPr="00C13965" w:rsidRDefault="00DF49C6" w:rsidP="003151A9">
            <w:pPr>
              <w:jc w:val="both"/>
              <w:rPr>
                <w:rStyle w:val="A9"/>
                <w:rFonts w:cs="Times New Roman"/>
                <w:sz w:val="24"/>
                <w:szCs w:val="24"/>
                <w:lang w:eastAsia="en-US"/>
              </w:rPr>
            </w:pPr>
            <w:r w:rsidRPr="00C13965">
              <w:rPr>
                <w:szCs w:val="24"/>
                <w:lang w:eastAsia="en-US"/>
              </w:rPr>
              <w:t>Ministerstvo zahraničných vecí a európskych záležitostí S</w:t>
            </w:r>
            <w:r w:rsidR="001F1710">
              <w:rPr>
                <w:szCs w:val="24"/>
                <w:lang w:eastAsia="en-US"/>
              </w:rPr>
              <w:t>lovenskej republiky</w:t>
            </w:r>
          </w:p>
        </w:tc>
      </w:tr>
      <w:tr w:rsidR="00DF49C6" w:rsidRPr="00C13965" w14:paraId="60CE4173" w14:textId="77777777" w:rsidTr="00C13A84">
        <w:tc>
          <w:tcPr>
            <w:tcW w:w="2552" w:type="dxa"/>
            <w:tcBorders>
              <w:top w:val="nil"/>
              <w:left w:val="nil"/>
              <w:bottom w:val="nil"/>
              <w:right w:val="nil"/>
            </w:tcBorders>
            <w:hideMark/>
          </w:tcPr>
          <w:p w14:paraId="32E7F101" w14:textId="0971195B" w:rsidR="00DF49C6" w:rsidRPr="00C13965" w:rsidRDefault="00DF49C6" w:rsidP="003151A9">
            <w:pPr>
              <w:jc w:val="both"/>
              <w:rPr>
                <w:szCs w:val="24"/>
                <w:lang w:eastAsia="en-US"/>
              </w:rPr>
            </w:pPr>
            <w:r w:rsidRPr="00C13965">
              <w:rPr>
                <w:rStyle w:val="A9"/>
                <w:rFonts w:cs="Times New Roman"/>
                <w:sz w:val="24"/>
                <w:szCs w:val="24"/>
                <w:lang w:eastAsia="en-US"/>
              </w:rPr>
              <w:t>MŽP SR</w:t>
            </w:r>
          </w:p>
        </w:tc>
        <w:tc>
          <w:tcPr>
            <w:tcW w:w="7548" w:type="dxa"/>
            <w:tcBorders>
              <w:top w:val="nil"/>
              <w:left w:val="nil"/>
              <w:bottom w:val="nil"/>
              <w:right w:val="nil"/>
            </w:tcBorders>
            <w:hideMark/>
          </w:tcPr>
          <w:p w14:paraId="07158CFC" w14:textId="76198F1F" w:rsidR="00DF49C6" w:rsidRPr="00C13965" w:rsidRDefault="00DF49C6" w:rsidP="003151A9">
            <w:pPr>
              <w:jc w:val="both"/>
              <w:rPr>
                <w:szCs w:val="24"/>
                <w:lang w:eastAsia="en-US"/>
              </w:rPr>
            </w:pPr>
            <w:r w:rsidRPr="00C13965">
              <w:rPr>
                <w:rStyle w:val="A9"/>
                <w:rFonts w:cs="Times New Roman"/>
                <w:sz w:val="24"/>
                <w:szCs w:val="24"/>
                <w:lang w:eastAsia="en-US"/>
              </w:rPr>
              <w:t>Ministerstvo životného prostredia S</w:t>
            </w:r>
            <w:r w:rsidR="001F1710">
              <w:rPr>
                <w:rStyle w:val="A9"/>
                <w:rFonts w:cs="Times New Roman"/>
                <w:sz w:val="24"/>
                <w:szCs w:val="24"/>
                <w:lang w:eastAsia="en-US"/>
              </w:rPr>
              <w:t>lovenskej republiky</w:t>
            </w:r>
          </w:p>
        </w:tc>
      </w:tr>
      <w:tr w:rsidR="001F1710" w:rsidRPr="00C13965" w14:paraId="07CA5652" w14:textId="77777777" w:rsidTr="00C13A84">
        <w:tc>
          <w:tcPr>
            <w:tcW w:w="2552" w:type="dxa"/>
            <w:tcBorders>
              <w:top w:val="nil"/>
              <w:left w:val="nil"/>
              <w:bottom w:val="nil"/>
              <w:right w:val="nil"/>
            </w:tcBorders>
          </w:tcPr>
          <w:p w14:paraId="2CE78687" w14:textId="7CCABC7C" w:rsidR="001F1710" w:rsidRDefault="001F1710" w:rsidP="003151A9">
            <w:pPr>
              <w:jc w:val="both"/>
              <w:rPr>
                <w:rStyle w:val="A9"/>
                <w:rFonts w:cs="Times New Roman"/>
                <w:sz w:val="24"/>
                <w:szCs w:val="24"/>
                <w:lang w:eastAsia="en-US"/>
              </w:rPr>
            </w:pPr>
            <w:r>
              <w:rPr>
                <w:rStyle w:val="A9"/>
                <w:rFonts w:cs="Times New Roman"/>
                <w:sz w:val="24"/>
                <w:szCs w:val="24"/>
                <w:lang w:eastAsia="en-US"/>
              </w:rPr>
              <w:t>NDK</w:t>
            </w:r>
          </w:p>
        </w:tc>
        <w:tc>
          <w:tcPr>
            <w:tcW w:w="7548" w:type="dxa"/>
            <w:tcBorders>
              <w:top w:val="nil"/>
              <w:left w:val="nil"/>
              <w:bottom w:val="nil"/>
              <w:right w:val="nil"/>
            </w:tcBorders>
          </w:tcPr>
          <w:p w14:paraId="4920BB9D" w14:textId="7C35B000" w:rsidR="001F1710" w:rsidRDefault="00E815D0" w:rsidP="003151A9">
            <w:pPr>
              <w:jc w:val="both"/>
              <w:rPr>
                <w:rStyle w:val="A9"/>
                <w:rFonts w:cs="Times New Roman"/>
                <w:sz w:val="24"/>
                <w:szCs w:val="24"/>
                <w:lang w:eastAsia="en-US"/>
              </w:rPr>
            </w:pPr>
            <w:r>
              <w:rPr>
                <w:rStyle w:val="A9"/>
                <w:rFonts w:cs="Times New Roman"/>
                <w:sz w:val="24"/>
                <w:szCs w:val="24"/>
                <w:lang w:eastAsia="en-US"/>
              </w:rPr>
              <w:t>Úrad jadrového dozoru Turecka</w:t>
            </w:r>
          </w:p>
        </w:tc>
      </w:tr>
      <w:tr w:rsidR="00680CF2" w:rsidRPr="00C13965" w14:paraId="770A46DD" w14:textId="77777777" w:rsidTr="00C13A84">
        <w:tc>
          <w:tcPr>
            <w:tcW w:w="2552" w:type="dxa"/>
            <w:tcBorders>
              <w:top w:val="nil"/>
              <w:left w:val="nil"/>
              <w:bottom w:val="nil"/>
              <w:right w:val="nil"/>
            </w:tcBorders>
          </w:tcPr>
          <w:p w14:paraId="00611C65" w14:textId="79DA692F" w:rsidR="00680CF2" w:rsidRDefault="00680CF2" w:rsidP="003151A9">
            <w:pPr>
              <w:jc w:val="both"/>
              <w:rPr>
                <w:rStyle w:val="A9"/>
                <w:rFonts w:cs="Times New Roman"/>
                <w:sz w:val="24"/>
                <w:szCs w:val="24"/>
                <w:lang w:eastAsia="en-US"/>
              </w:rPr>
            </w:pPr>
            <w:r>
              <w:rPr>
                <w:rStyle w:val="A9"/>
                <w:rFonts w:cs="Times New Roman"/>
                <w:sz w:val="24"/>
                <w:szCs w:val="24"/>
                <w:lang w:eastAsia="en-US"/>
              </w:rPr>
              <w:t>NPT</w:t>
            </w:r>
          </w:p>
        </w:tc>
        <w:tc>
          <w:tcPr>
            <w:tcW w:w="7548" w:type="dxa"/>
            <w:tcBorders>
              <w:top w:val="nil"/>
              <w:left w:val="nil"/>
              <w:bottom w:val="nil"/>
              <w:right w:val="nil"/>
            </w:tcBorders>
          </w:tcPr>
          <w:p w14:paraId="288AFCA0" w14:textId="7939CA22" w:rsidR="00680CF2" w:rsidRDefault="00680CF2" w:rsidP="003151A9">
            <w:pPr>
              <w:jc w:val="both"/>
              <w:rPr>
                <w:rStyle w:val="A9"/>
                <w:rFonts w:cs="Times New Roman"/>
                <w:sz w:val="24"/>
                <w:szCs w:val="24"/>
                <w:lang w:eastAsia="en-US"/>
              </w:rPr>
            </w:pPr>
            <w:r w:rsidRPr="00680CF2">
              <w:rPr>
                <w:rStyle w:val="A9"/>
                <w:rFonts w:cs="Times New Roman"/>
                <w:sz w:val="24"/>
                <w:szCs w:val="24"/>
                <w:lang w:eastAsia="en-US"/>
              </w:rPr>
              <w:t>Zmluv</w:t>
            </w:r>
            <w:r>
              <w:rPr>
                <w:rStyle w:val="A9"/>
                <w:rFonts w:cs="Times New Roman"/>
                <w:sz w:val="24"/>
                <w:szCs w:val="24"/>
                <w:lang w:eastAsia="en-US"/>
              </w:rPr>
              <w:t>a</w:t>
            </w:r>
            <w:r w:rsidRPr="00680CF2">
              <w:rPr>
                <w:rStyle w:val="A9"/>
                <w:rFonts w:cs="Times New Roman"/>
                <w:sz w:val="24"/>
                <w:szCs w:val="24"/>
                <w:lang w:eastAsia="en-US"/>
              </w:rPr>
              <w:t xml:space="preserve"> o nešírení jadrových zbraní</w:t>
            </w:r>
            <w:r w:rsidR="00A94034">
              <w:rPr>
                <w:rStyle w:val="A9"/>
                <w:rFonts w:cs="Times New Roman"/>
                <w:sz w:val="24"/>
                <w:szCs w:val="24"/>
                <w:lang w:eastAsia="en-US"/>
              </w:rPr>
              <w:t xml:space="preserve">, angl. </w:t>
            </w:r>
            <w:proofErr w:type="spellStart"/>
            <w:r w:rsidR="00A94034" w:rsidRPr="00A94034">
              <w:rPr>
                <w:rStyle w:val="A9"/>
                <w:rFonts w:cs="Times New Roman"/>
                <w:sz w:val="24"/>
                <w:szCs w:val="24"/>
                <w:lang w:eastAsia="en-US"/>
              </w:rPr>
              <w:t>Treaty</w:t>
            </w:r>
            <w:proofErr w:type="spellEnd"/>
            <w:r w:rsidR="00A94034" w:rsidRPr="00A94034">
              <w:rPr>
                <w:rStyle w:val="A9"/>
                <w:rFonts w:cs="Times New Roman"/>
                <w:sz w:val="24"/>
                <w:szCs w:val="24"/>
                <w:lang w:eastAsia="en-US"/>
              </w:rPr>
              <w:t xml:space="preserve"> on </w:t>
            </w:r>
            <w:proofErr w:type="spellStart"/>
            <w:r w:rsidR="00A94034" w:rsidRPr="00A94034">
              <w:rPr>
                <w:rStyle w:val="A9"/>
                <w:rFonts w:cs="Times New Roman"/>
                <w:sz w:val="24"/>
                <w:szCs w:val="24"/>
                <w:lang w:eastAsia="en-US"/>
              </w:rPr>
              <w:t>the</w:t>
            </w:r>
            <w:proofErr w:type="spellEnd"/>
            <w:r w:rsidR="00A94034" w:rsidRPr="00A94034">
              <w:rPr>
                <w:rStyle w:val="A9"/>
                <w:rFonts w:cs="Times New Roman"/>
                <w:sz w:val="24"/>
                <w:szCs w:val="24"/>
                <w:lang w:eastAsia="en-US"/>
              </w:rPr>
              <w:t xml:space="preserve"> </w:t>
            </w:r>
            <w:proofErr w:type="spellStart"/>
            <w:r w:rsidR="00A94034" w:rsidRPr="00A94034">
              <w:rPr>
                <w:rStyle w:val="A9"/>
                <w:rFonts w:cs="Times New Roman"/>
                <w:sz w:val="24"/>
                <w:szCs w:val="24"/>
                <w:lang w:eastAsia="en-US"/>
              </w:rPr>
              <w:t>Non-Proliferation</w:t>
            </w:r>
            <w:proofErr w:type="spellEnd"/>
            <w:r w:rsidR="00A94034" w:rsidRPr="00A94034">
              <w:rPr>
                <w:rStyle w:val="A9"/>
                <w:rFonts w:cs="Times New Roman"/>
                <w:sz w:val="24"/>
                <w:szCs w:val="24"/>
                <w:lang w:eastAsia="en-US"/>
              </w:rPr>
              <w:t xml:space="preserve"> of </w:t>
            </w:r>
            <w:proofErr w:type="spellStart"/>
            <w:r w:rsidR="00A94034" w:rsidRPr="00A94034">
              <w:rPr>
                <w:rStyle w:val="A9"/>
                <w:rFonts w:cs="Times New Roman"/>
                <w:sz w:val="24"/>
                <w:szCs w:val="24"/>
                <w:lang w:eastAsia="en-US"/>
              </w:rPr>
              <w:t>Nuclear</w:t>
            </w:r>
            <w:proofErr w:type="spellEnd"/>
            <w:r w:rsidR="00A94034" w:rsidRPr="00A94034">
              <w:rPr>
                <w:rStyle w:val="A9"/>
                <w:rFonts w:cs="Times New Roman"/>
                <w:sz w:val="24"/>
                <w:szCs w:val="24"/>
                <w:lang w:eastAsia="en-US"/>
              </w:rPr>
              <w:t xml:space="preserve"> </w:t>
            </w:r>
            <w:proofErr w:type="spellStart"/>
            <w:r w:rsidR="00A94034" w:rsidRPr="00A94034">
              <w:rPr>
                <w:rStyle w:val="A9"/>
                <w:rFonts w:cs="Times New Roman"/>
                <w:sz w:val="24"/>
                <w:szCs w:val="24"/>
                <w:lang w:eastAsia="en-US"/>
              </w:rPr>
              <w:t>Weapons</w:t>
            </w:r>
            <w:proofErr w:type="spellEnd"/>
          </w:p>
        </w:tc>
      </w:tr>
      <w:tr w:rsidR="00DF49C6" w:rsidRPr="00C13965" w14:paraId="7C377B68" w14:textId="77777777" w:rsidTr="00C13A84">
        <w:tc>
          <w:tcPr>
            <w:tcW w:w="2552" w:type="dxa"/>
            <w:tcBorders>
              <w:top w:val="nil"/>
              <w:left w:val="nil"/>
              <w:bottom w:val="nil"/>
              <w:right w:val="nil"/>
            </w:tcBorders>
          </w:tcPr>
          <w:p w14:paraId="4FF60F59" w14:textId="63E778BC"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NRAO</w:t>
            </w:r>
            <w:r w:rsidR="005021F4">
              <w:rPr>
                <w:rStyle w:val="A9"/>
                <w:rFonts w:cs="Times New Roman"/>
                <w:sz w:val="24"/>
                <w:szCs w:val="24"/>
                <w:lang w:eastAsia="en-US"/>
              </w:rPr>
              <w:t>/NAO</w:t>
            </w:r>
          </w:p>
        </w:tc>
        <w:tc>
          <w:tcPr>
            <w:tcW w:w="7548" w:type="dxa"/>
            <w:tcBorders>
              <w:top w:val="nil"/>
              <w:left w:val="nil"/>
              <w:bottom w:val="nil"/>
              <w:right w:val="nil"/>
            </w:tcBorders>
          </w:tcPr>
          <w:p w14:paraId="2DB7B8C0" w14:textId="25145448"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nízkoaktívne rádioaktívne odpady</w:t>
            </w:r>
          </w:p>
        </w:tc>
      </w:tr>
      <w:tr w:rsidR="00DF49C6" w:rsidRPr="00C13965" w14:paraId="6BB993ED" w14:textId="77777777" w:rsidTr="00C13A84">
        <w:tc>
          <w:tcPr>
            <w:tcW w:w="2552" w:type="dxa"/>
            <w:tcBorders>
              <w:top w:val="nil"/>
              <w:left w:val="nil"/>
              <w:bottom w:val="nil"/>
              <w:right w:val="nil"/>
            </w:tcBorders>
            <w:hideMark/>
          </w:tcPr>
          <w:p w14:paraId="5675039F" w14:textId="3C51DD36" w:rsidR="00DF49C6" w:rsidRPr="00C13965" w:rsidRDefault="00DF49C6" w:rsidP="003151A9">
            <w:pPr>
              <w:jc w:val="both"/>
              <w:rPr>
                <w:szCs w:val="24"/>
                <w:lang w:eastAsia="en-US"/>
              </w:rPr>
            </w:pPr>
            <w:r w:rsidRPr="00C13965">
              <w:rPr>
                <w:szCs w:val="24"/>
                <w:lang w:eastAsia="en-US"/>
              </w:rPr>
              <w:t>NR SR</w:t>
            </w:r>
          </w:p>
        </w:tc>
        <w:tc>
          <w:tcPr>
            <w:tcW w:w="7548" w:type="dxa"/>
            <w:tcBorders>
              <w:top w:val="nil"/>
              <w:left w:val="nil"/>
              <w:bottom w:val="nil"/>
              <w:right w:val="nil"/>
            </w:tcBorders>
            <w:hideMark/>
          </w:tcPr>
          <w:p w14:paraId="6218C7E5" w14:textId="28298156" w:rsidR="00DF49C6" w:rsidRPr="00C13965" w:rsidRDefault="00DF49C6" w:rsidP="003151A9">
            <w:pPr>
              <w:jc w:val="both"/>
              <w:rPr>
                <w:szCs w:val="24"/>
                <w:lang w:eastAsia="en-US"/>
              </w:rPr>
            </w:pPr>
            <w:r w:rsidRPr="00C13965">
              <w:rPr>
                <w:szCs w:val="24"/>
                <w:lang w:eastAsia="en-US"/>
              </w:rPr>
              <w:t>Národná rada S</w:t>
            </w:r>
            <w:r w:rsidR="001F1710">
              <w:rPr>
                <w:szCs w:val="24"/>
                <w:lang w:eastAsia="en-US"/>
              </w:rPr>
              <w:t>lovenskej republiky</w:t>
            </w:r>
          </w:p>
        </w:tc>
      </w:tr>
      <w:tr w:rsidR="001F1710" w:rsidRPr="00C13965" w14:paraId="32C3EBC6" w14:textId="77777777" w:rsidTr="00C13A84">
        <w:tc>
          <w:tcPr>
            <w:tcW w:w="2552" w:type="dxa"/>
            <w:tcBorders>
              <w:top w:val="nil"/>
              <w:left w:val="nil"/>
              <w:bottom w:val="nil"/>
              <w:right w:val="nil"/>
            </w:tcBorders>
          </w:tcPr>
          <w:p w14:paraId="12185C18" w14:textId="60FE5C97" w:rsidR="001F1710" w:rsidRPr="00C13965" w:rsidRDefault="001F1710" w:rsidP="003151A9">
            <w:pPr>
              <w:jc w:val="both"/>
              <w:rPr>
                <w:szCs w:val="24"/>
                <w:lang w:eastAsia="en-US"/>
              </w:rPr>
            </w:pPr>
            <w:proofErr w:type="spellStart"/>
            <w:r>
              <w:rPr>
                <w:szCs w:val="24"/>
                <w:lang w:eastAsia="en-US"/>
              </w:rPr>
              <w:t>O</w:t>
            </w:r>
            <w:r>
              <w:t>aB</w:t>
            </w:r>
            <w:proofErr w:type="spellEnd"/>
          </w:p>
        </w:tc>
        <w:tc>
          <w:tcPr>
            <w:tcW w:w="7548" w:type="dxa"/>
            <w:tcBorders>
              <w:top w:val="nil"/>
              <w:left w:val="nil"/>
              <w:bottom w:val="nil"/>
              <w:right w:val="nil"/>
            </w:tcBorders>
          </w:tcPr>
          <w:p w14:paraId="4B91C874" w14:textId="69BDD05E" w:rsidR="001F1710" w:rsidRPr="00C13965" w:rsidRDefault="001F1710" w:rsidP="003151A9">
            <w:pPr>
              <w:jc w:val="both"/>
              <w:rPr>
                <w:szCs w:val="24"/>
                <w:lang w:eastAsia="en-US"/>
              </w:rPr>
            </w:pPr>
            <w:r>
              <w:t>ochrany a blokády</w:t>
            </w:r>
          </w:p>
        </w:tc>
      </w:tr>
      <w:tr w:rsidR="00680CF2" w:rsidRPr="00C13965" w14:paraId="509E5931" w14:textId="77777777" w:rsidTr="00C13A84">
        <w:tc>
          <w:tcPr>
            <w:tcW w:w="2552" w:type="dxa"/>
            <w:tcBorders>
              <w:top w:val="nil"/>
              <w:left w:val="nil"/>
              <w:bottom w:val="nil"/>
              <w:right w:val="nil"/>
            </w:tcBorders>
          </w:tcPr>
          <w:p w14:paraId="18AEF376" w14:textId="647675EA" w:rsidR="00680CF2" w:rsidRDefault="00680CF2" w:rsidP="003151A9">
            <w:pPr>
              <w:jc w:val="both"/>
              <w:rPr>
                <w:szCs w:val="24"/>
                <w:lang w:eastAsia="en-US"/>
              </w:rPr>
            </w:pPr>
            <w:r>
              <w:rPr>
                <w:szCs w:val="24"/>
                <w:lang w:eastAsia="en-US"/>
              </w:rPr>
              <w:t>O</w:t>
            </w:r>
            <w:r>
              <w:t>AH</w:t>
            </w:r>
          </w:p>
        </w:tc>
        <w:tc>
          <w:tcPr>
            <w:tcW w:w="7548" w:type="dxa"/>
            <w:tcBorders>
              <w:top w:val="nil"/>
              <w:left w:val="nil"/>
              <w:bottom w:val="nil"/>
              <w:right w:val="nil"/>
            </w:tcBorders>
          </w:tcPr>
          <w:p w14:paraId="0ABEB124" w14:textId="216CDDD5" w:rsidR="00680CF2" w:rsidRDefault="00680CF2" w:rsidP="003151A9">
            <w:pPr>
              <w:jc w:val="both"/>
            </w:pPr>
            <w:r>
              <w:t>maďarský dozorný orgán nad jadrovou bezpečnosťou</w:t>
            </w:r>
          </w:p>
        </w:tc>
      </w:tr>
      <w:tr w:rsidR="00DF49C6" w:rsidRPr="00C13965" w14:paraId="29A5A861" w14:textId="77777777" w:rsidTr="00C13A84">
        <w:tc>
          <w:tcPr>
            <w:tcW w:w="2552" w:type="dxa"/>
            <w:tcBorders>
              <w:top w:val="nil"/>
              <w:left w:val="nil"/>
              <w:bottom w:val="nil"/>
              <w:right w:val="nil"/>
            </w:tcBorders>
          </w:tcPr>
          <w:p w14:paraId="4EF63F70" w14:textId="43217A28"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OECD/NEA</w:t>
            </w:r>
          </w:p>
        </w:tc>
        <w:tc>
          <w:tcPr>
            <w:tcW w:w="7548" w:type="dxa"/>
            <w:tcBorders>
              <w:top w:val="nil"/>
              <w:left w:val="nil"/>
              <w:bottom w:val="nil"/>
              <w:right w:val="nil"/>
            </w:tcBorders>
          </w:tcPr>
          <w:p w14:paraId="57EC91E3" w14:textId="70A00D08" w:rsidR="00DF49C6" w:rsidRPr="00C13965" w:rsidRDefault="00DF49C6" w:rsidP="008554E5">
            <w:pPr>
              <w:jc w:val="both"/>
              <w:rPr>
                <w:rStyle w:val="A9"/>
                <w:rFonts w:cs="Times New Roman"/>
                <w:sz w:val="24"/>
                <w:szCs w:val="24"/>
                <w:lang w:eastAsia="en-US"/>
              </w:rPr>
            </w:pPr>
            <w:r w:rsidRPr="00C13965">
              <w:rPr>
                <w:rStyle w:val="A9"/>
                <w:rFonts w:cs="Times New Roman"/>
                <w:sz w:val="24"/>
                <w:szCs w:val="24"/>
                <w:lang w:eastAsia="en-US"/>
              </w:rPr>
              <w:t>Agentúra pre jadrovú energiu pri Organizácii pre ekonomickú spoluprácu a</w:t>
            </w:r>
            <w:r w:rsidR="00A94034">
              <w:rPr>
                <w:rStyle w:val="A9"/>
                <w:rFonts w:cs="Times New Roman"/>
                <w:sz w:val="24"/>
                <w:szCs w:val="24"/>
                <w:lang w:eastAsia="en-US"/>
              </w:rPr>
              <w:t> </w:t>
            </w:r>
            <w:r w:rsidRPr="00C13965">
              <w:rPr>
                <w:rStyle w:val="A9"/>
                <w:rFonts w:cs="Times New Roman"/>
                <w:sz w:val="24"/>
                <w:szCs w:val="24"/>
                <w:lang w:eastAsia="en-US"/>
              </w:rPr>
              <w:t>rozvoj</w:t>
            </w:r>
            <w:r w:rsidR="00A94034">
              <w:rPr>
                <w:rStyle w:val="A9"/>
                <w:rFonts w:cs="Times New Roman"/>
                <w:sz w:val="24"/>
                <w:szCs w:val="24"/>
                <w:lang w:eastAsia="en-US"/>
              </w:rPr>
              <w:t>, angl.</w:t>
            </w:r>
            <w:r w:rsidR="00625FE7">
              <w:rPr>
                <w:rStyle w:val="A9"/>
                <w:rFonts w:cs="Times New Roman"/>
                <w:sz w:val="24"/>
                <w:szCs w:val="24"/>
                <w:lang w:eastAsia="en-US"/>
              </w:rPr>
              <w:t xml:space="preserve"> </w:t>
            </w:r>
            <w:r w:rsidR="00A94034" w:rsidRPr="00A94034">
              <w:rPr>
                <w:rStyle w:val="A9"/>
                <w:rFonts w:cs="Times New Roman"/>
                <w:sz w:val="24"/>
                <w:szCs w:val="24"/>
                <w:lang w:eastAsia="en-US"/>
              </w:rPr>
              <w:t xml:space="preserve">OECD </w:t>
            </w:r>
            <w:proofErr w:type="spellStart"/>
            <w:r w:rsidR="00A94034" w:rsidRPr="00A94034">
              <w:rPr>
                <w:rStyle w:val="A9"/>
                <w:rFonts w:cs="Times New Roman"/>
                <w:sz w:val="24"/>
                <w:szCs w:val="24"/>
                <w:lang w:eastAsia="en-US"/>
              </w:rPr>
              <w:t>Nuclear</w:t>
            </w:r>
            <w:proofErr w:type="spellEnd"/>
            <w:r w:rsidR="00A94034" w:rsidRPr="00A94034">
              <w:rPr>
                <w:rStyle w:val="A9"/>
                <w:rFonts w:cs="Times New Roman"/>
                <w:sz w:val="24"/>
                <w:szCs w:val="24"/>
                <w:lang w:eastAsia="en-US"/>
              </w:rPr>
              <w:t xml:space="preserve"> Energy </w:t>
            </w:r>
            <w:proofErr w:type="spellStart"/>
            <w:r w:rsidR="00A94034" w:rsidRPr="00A94034">
              <w:rPr>
                <w:rStyle w:val="A9"/>
                <w:rFonts w:cs="Times New Roman"/>
                <w:sz w:val="24"/>
                <w:szCs w:val="24"/>
                <w:lang w:eastAsia="en-US"/>
              </w:rPr>
              <w:t>Agency</w:t>
            </w:r>
            <w:proofErr w:type="spellEnd"/>
          </w:p>
        </w:tc>
      </w:tr>
      <w:tr w:rsidR="00DF49C6" w:rsidRPr="00C13965" w14:paraId="7B5B756A" w14:textId="77777777" w:rsidTr="00C13A84">
        <w:tc>
          <w:tcPr>
            <w:tcW w:w="2552" w:type="dxa"/>
            <w:tcBorders>
              <w:top w:val="nil"/>
              <w:left w:val="nil"/>
              <w:bottom w:val="nil"/>
              <w:right w:val="nil"/>
            </w:tcBorders>
            <w:hideMark/>
          </w:tcPr>
          <w:p w14:paraId="7D6DDB06" w14:textId="52917EB5" w:rsidR="00DF49C6" w:rsidRPr="00432641" w:rsidRDefault="00DF49C6" w:rsidP="003151A9">
            <w:pPr>
              <w:jc w:val="both"/>
              <w:rPr>
                <w:color w:val="000000"/>
                <w:szCs w:val="24"/>
                <w:lang w:eastAsia="en-US"/>
              </w:rPr>
            </w:pPr>
            <w:r w:rsidRPr="00C13965">
              <w:rPr>
                <w:rStyle w:val="A9"/>
                <w:rFonts w:cs="Times New Roman"/>
                <w:sz w:val="24"/>
                <w:szCs w:val="24"/>
                <w:lang w:eastAsia="en-US"/>
              </w:rPr>
              <w:t>OIK</w:t>
            </w:r>
          </w:p>
        </w:tc>
        <w:tc>
          <w:tcPr>
            <w:tcW w:w="7548" w:type="dxa"/>
            <w:tcBorders>
              <w:top w:val="nil"/>
              <w:left w:val="nil"/>
              <w:bottom w:val="nil"/>
              <w:right w:val="nil"/>
            </w:tcBorders>
            <w:hideMark/>
          </w:tcPr>
          <w:p w14:paraId="7A787CDF" w14:textId="51AD4013" w:rsidR="00DF49C6" w:rsidRPr="00432641" w:rsidRDefault="00DF49C6" w:rsidP="003151A9">
            <w:pPr>
              <w:jc w:val="both"/>
              <w:rPr>
                <w:color w:val="000000"/>
                <w:szCs w:val="24"/>
                <w:lang w:eastAsia="en-US"/>
              </w:rPr>
            </w:pPr>
            <w:r w:rsidRPr="00C13965">
              <w:rPr>
                <w:rStyle w:val="A9"/>
                <w:rFonts w:cs="Times New Roman"/>
                <w:sz w:val="24"/>
                <w:szCs w:val="24"/>
                <w:lang w:eastAsia="en-US"/>
              </w:rPr>
              <w:t>Občianska informačná komisia</w:t>
            </w:r>
          </w:p>
        </w:tc>
      </w:tr>
      <w:tr w:rsidR="00DF49C6" w:rsidRPr="00C13965" w14:paraId="29904CA5" w14:textId="77777777" w:rsidTr="00C13A84">
        <w:tc>
          <w:tcPr>
            <w:tcW w:w="2552" w:type="dxa"/>
            <w:tcBorders>
              <w:top w:val="nil"/>
              <w:left w:val="nil"/>
              <w:bottom w:val="nil"/>
              <w:right w:val="nil"/>
            </w:tcBorders>
            <w:hideMark/>
          </w:tcPr>
          <w:p w14:paraId="7EB44DD4" w14:textId="000B46CE" w:rsidR="00DF49C6" w:rsidRPr="00C13965" w:rsidRDefault="00DF49C6" w:rsidP="003151A9">
            <w:pPr>
              <w:jc w:val="both"/>
              <w:rPr>
                <w:szCs w:val="24"/>
                <w:lang w:eastAsia="en-US"/>
              </w:rPr>
            </w:pPr>
            <w:r>
              <w:rPr>
                <w:szCs w:val="24"/>
                <w:lang w:eastAsia="en-US"/>
              </w:rPr>
              <w:t>O</w:t>
            </w:r>
            <w:r>
              <w:t>SN</w:t>
            </w:r>
          </w:p>
        </w:tc>
        <w:tc>
          <w:tcPr>
            <w:tcW w:w="7548" w:type="dxa"/>
            <w:tcBorders>
              <w:top w:val="nil"/>
              <w:left w:val="nil"/>
              <w:bottom w:val="nil"/>
              <w:right w:val="nil"/>
            </w:tcBorders>
            <w:hideMark/>
          </w:tcPr>
          <w:p w14:paraId="661AB4A0" w14:textId="4720D601" w:rsidR="00DF49C6" w:rsidRPr="00C13965" w:rsidRDefault="00DF49C6" w:rsidP="003151A9">
            <w:pPr>
              <w:jc w:val="both"/>
              <w:rPr>
                <w:szCs w:val="24"/>
                <w:lang w:eastAsia="en-US"/>
              </w:rPr>
            </w:pPr>
            <w:r>
              <w:rPr>
                <w:szCs w:val="24"/>
                <w:lang w:eastAsia="en-US"/>
              </w:rPr>
              <w:t>O</w:t>
            </w:r>
            <w:r>
              <w:t xml:space="preserve">rganizácia </w:t>
            </w:r>
            <w:r w:rsidR="008554E5">
              <w:t>s</w:t>
            </w:r>
            <w:r>
              <w:t>pojených národov</w:t>
            </w:r>
            <w:r w:rsidR="00A94034">
              <w:t xml:space="preserve">, angl. United </w:t>
            </w:r>
            <w:proofErr w:type="spellStart"/>
            <w:r w:rsidR="00A94034">
              <w:t>Nations</w:t>
            </w:r>
            <w:proofErr w:type="spellEnd"/>
          </w:p>
        </w:tc>
      </w:tr>
      <w:tr w:rsidR="00680CF2" w:rsidRPr="00C13965" w14:paraId="25B03D9F" w14:textId="77777777" w:rsidTr="00C13A84">
        <w:tc>
          <w:tcPr>
            <w:tcW w:w="2552" w:type="dxa"/>
            <w:tcBorders>
              <w:top w:val="nil"/>
              <w:left w:val="nil"/>
              <w:bottom w:val="nil"/>
              <w:right w:val="nil"/>
            </w:tcBorders>
          </w:tcPr>
          <w:p w14:paraId="7B5886FA" w14:textId="3C4CA7D6" w:rsidR="00680CF2" w:rsidRDefault="00680CF2" w:rsidP="003151A9">
            <w:pPr>
              <w:jc w:val="both"/>
              <w:rPr>
                <w:szCs w:val="24"/>
                <w:lang w:eastAsia="en-US"/>
              </w:rPr>
            </w:pPr>
            <w:r>
              <w:rPr>
                <w:szCs w:val="24"/>
                <w:lang w:eastAsia="en-US"/>
              </w:rPr>
              <w:t>P</w:t>
            </w:r>
            <w:r>
              <w:t>AA</w:t>
            </w:r>
          </w:p>
        </w:tc>
        <w:tc>
          <w:tcPr>
            <w:tcW w:w="7548" w:type="dxa"/>
            <w:tcBorders>
              <w:top w:val="nil"/>
              <w:left w:val="nil"/>
              <w:bottom w:val="nil"/>
              <w:right w:val="nil"/>
            </w:tcBorders>
          </w:tcPr>
          <w:p w14:paraId="0E3F190A" w14:textId="13A08211" w:rsidR="00680CF2" w:rsidRDefault="00680CF2" w:rsidP="003151A9">
            <w:pPr>
              <w:jc w:val="both"/>
              <w:rPr>
                <w:szCs w:val="24"/>
                <w:lang w:eastAsia="en-US"/>
              </w:rPr>
            </w:pPr>
            <w:r>
              <w:t>poľský dozorný orgán nad jadrovou bezpečnosťou</w:t>
            </w:r>
          </w:p>
        </w:tc>
      </w:tr>
      <w:tr w:rsidR="00DF49C6" w:rsidRPr="00C13965" w14:paraId="02135A00" w14:textId="77777777" w:rsidTr="009B7A77">
        <w:tc>
          <w:tcPr>
            <w:tcW w:w="2552" w:type="dxa"/>
            <w:tcBorders>
              <w:top w:val="nil"/>
              <w:left w:val="nil"/>
              <w:bottom w:val="nil"/>
              <w:right w:val="nil"/>
            </w:tcBorders>
          </w:tcPr>
          <w:p w14:paraId="5D5E9231" w14:textId="66C2E7B3" w:rsidR="00DF49C6" w:rsidRPr="00C13965" w:rsidRDefault="00DF49C6" w:rsidP="003151A9">
            <w:pPr>
              <w:jc w:val="both"/>
              <w:rPr>
                <w:szCs w:val="24"/>
                <w:lang w:eastAsia="en-US"/>
              </w:rPr>
            </w:pPr>
            <w:r>
              <w:rPr>
                <w:szCs w:val="24"/>
                <w:lang w:eastAsia="en-US"/>
              </w:rPr>
              <w:t>PG</w:t>
            </w:r>
          </w:p>
        </w:tc>
        <w:tc>
          <w:tcPr>
            <w:tcW w:w="7548" w:type="dxa"/>
            <w:tcBorders>
              <w:top w:val="nil"/>
              <w:left w:val="nil"/>
              <w:bottom w:val="nil"/>
              <w:right w:val="nil"/>
            </w:tcBorders>
          </w:tcPr>
          <w:p w14:paraId="101B4ADA" w14:textId="4CBCC2C3" w:rsidR="00DF49C6" w:rsidRPr="00C13965" w:rsidRDefault="00DF49C6" w:rsidP="003151A9">
            <w:pPr>
              <w:jc w:val="both"/>
              <w:rPr>
                <w:szCs w:val="24"/>
                <w:lang w:eastAsia="en-US"/>
              </w:rPr>
            </w:pPr>
            <w:r>
              <w:rPr>
                <w:szCs w:val="24"/>
                <w:lang w:eastAsia="en-US"/>
              </w:rPr>
              <w:t>p</w:t>
            </w:r>
            <w:r>
              <w:t>a</w:t>
            </w:r>
            <w:r>
              <w:rPr>
                <w:szCs w:val="24"/>
                <w:lang w:eastAsia="en-US"/>
              </w:rPr>
              <w:t>rogenerátor</w:t>
            </w:r>
          </w:p>
        </w:tc>
      </w:tr>
      <w:tr w:rsidR="00DF49C6" w:rsidRPr="00C13965" w14:paraId="57D1191E" w14:textId="77777777" w:rsidTr="009B7A77">
        <w:tc>
          <w:tcPr>
            <w:tcW w:w="2552" w:type="dxa"/>
            <w:tcBorders>
              <w:top w:val="nil"/>
              <w:left w:val="nil"/>
              <w:bottom w:val="nil"/>
              <w:right w:val="nil"/>
            </w:tcBorders>
          </w:tcPr>
          <w:p w14:paraId="640F61D1" w14:textId="5F48CF30" w:rsidR="00DF49C6" w:rsidRDefault="00DF49C6" w:rsidP="003151A9">
            <w:pPr>
              <w:jc w:val="both"/>
              <w:rPr>
                <w:szCs w:val="24"/>
                <w:lang w:eastAsia="en-US"/>
              </w:rPr>
            </w:pPr>
            <w:r>
              <w:rPr>
                <w:szCs w:val="24"/>
                <w:lang w:eastAsia="en-US"/>
              </w:rPr>
              <w:t>PS</w:t>
            </w:r>
          </w:p>
        </w:tc>
        <w:tc>
          <w:tcPr>
            <w:tcW w:w="7548" w:type="dxa"/>
            <w:tcBorders>
              <w:top w:val="nil"/>
              <w:left w:val="nil"/>
              <w:bottom w:val="nil"/>
              <w:right w:val="nil"/>
            </w:tcBorders>
          </w:tcPr>
          <w:p w14:paraId="3D288DB4" w14:textId="6E12EF0C" w:rsidR="00DF49C6" w:rsidRDefault="00DF49C6" w:rsidP="003151A9">
            <w:pPr>
              <w:jc w:val="both"/>
              <w:rPr>
                <w:szCs w:val="24"/>
                <w:lang w:eastAsia="en-US"/>
              </w:rPr>
            </w:pPr>
            <w:r>
              <w:rPr>
                <w:szCs w:val="24"/>
                <w:lang w:eastAsia="en-US"/>
              </w:rPr>
              <w:t>pracovná skupina</w:t>
            </w:r>
          </w:p>
        </w:tc>
      </w:tr>
      <w:tr w:rsidR="00DF49C6" w:rsidRPr="00C13965" w14:paraId="2399DA80" w14:textId="77777777" w:rsidTr="00C13A84">
        <w:tc>
          <w:tcPr>
            <w:tcW w:w="2552" w:type="dxa"/>
            <w:tcBorders>
              <w:top w:val="nil"/>
              <w:left w:val="nil"/>
              <w:bottom w:val="nil"/>
              <w:right w:val="nil"/>
            </w:tcBorders>
            <w:hideMark/>
          </w:tcPr>
          <w:p w14:paraId="3B706C72" w14:textId="4383E25E" w:rsidR="00DF49C6" w:rsidRPr="00C13965" w:rsidRDefault="00DF49C6" w:rsidP="003151A9">
            <w:pPr>
              <w:jc w:val="both"/>
              <w:rPr>
                <w:szCs w:val="24"/>
                <w:lang w:eastAsia="en-US"/>
              </w:rPr>
            </w:pPr>
            <w:r w:rsidRPr="00C13965">
              <w:rPr>
                <w:rStyle w:val="A9"/>
                <w:rFonts w:cs="Times New Roman"/>
                <w:sz w:val="24"/>
                <w:szCs w:val="24"/>
                <w:lang w:eastAsia="en-US"/>
              </w:rPr>
              <w:t>PS ATO</w:t>
            </w:r>
          </w:p>
        </w:tc>
        <w:tc>
          <w:tcPr>
            <w:tcW w:w="7548" w:type="dxa"/>
            <w:tcBorders>
              <w:top w:val="nil"/>
              <w:left w:val="nil"/>
              <w:bottom w:val="nil"/>
              <w:right w:val="nil"/>
            </w:tcBorders>
            <w:hideMark/>
          </w:tcPr>
          <w:p w14:paraId="62FD1EF7" w14:textId="715206C9" w:rsidR="00DF49C6" w:rsidRPr="00C13965" w:rsidRDefault="00DF49C6" w:rsidP="003151A9">
            <w:pPr>
              <w:jc w:val="both"/>
              <w:rPr>
                <w:szCs w:val="24"/>
                <w:lang w:eastAsia="en-US"/>
              </w:rPr>
            </w:pPr>
            <w:r w:rsidRPr="00C13965">
              <w:rPr>
                <w:rStyle w:val="A9"/>
                <w:rFonts w:cs="Times New Roman"/>
                <w:sz w:val="24"/>
                <w:szCs w:val="24"/>
                <w:lang w:eastAsia="en-US"/>
              </w:rPr>
              <w:t>pracovná skupina pre atómové otázky v rámci EK</w:t>
            </w:r>
          </w:p>
        </w:tc>
      </w:tr>
      <w:tr w:rsidR="00DF49C6" w:rsidRPr="00C13965" w14:paraId="2385FB80" w14:textId="77777777" w:rsidTr="00C13A84">
        <w:tc>
          <w:tcPr>
            <w:tcW w:w="2552" w:type="dxa"/>
            <w:tcBorders>
              <w:top w:val="nil"/>
              <w:left w:val="nil"/>
              <w:bottom w:val="nil"/>
              <w:right w:val="nil"/>
            </w:tcBorders>
            <w:hideMark/>
          </w:tcPr>
          <w:p w14:paraId="60602223" w14:textId="63030BE2" w:rsidR="00DF49C6" w:rsidRPr="00C13965" w:rsidRDefault="00DF49C6" w:rsidP="003151A9">
            <w:pPr>
              <w:jc w:val="both"/>
              <w:rPr>
                <w:szCs w:val="24"/>
                <w:lang w:eastAsia="en-US"/>
              </w:rPr>
            </w:pPr>
            <w:r w:rsidRPr="00C13965">
              <w:rPr>
                <w:rStyle w:val="A9"/>
                <w:rFonts w:cs="Times New Roman"/>
                <w:sz w:val="24"/>
                <w:szCs w:val="24"/>
                <w:lang w:eastAsia="en-US"/>
              </w:rPr>
              <w:t>PU</w:t>
            </w:r>
          </w:p>
        </w:tc>
        <w:tc>
          <w:tcPr>
            <w:tcW w:w="7548" w:type="dxa"/>
            <w:tcBorders>
              <w:top w:val="nil"/>
              <w:left w:val="nil"/>
              <w:bottom w:val="nil"/>
              <w:right w:val="nil"/>
            </w:tcBorders>
            <w:hideMark/>
          </w:tcPr>
          <w:p w14:paraId="630A770C" w14:textId="1D1DBE7B" w:rsidR="00DF49C6" w:rsidRPr="00C13965" w:rsidRDefault="00DF49C6" w:rsidP="003151A9">
            <w:pPr>
              <w:jc w:val="both"/>
              <w:rPr>
                <w:szCs w:val="24"/>
                <w:lang w:eastAsia="en-US"/>
              </w:rPr>
            </w:pPr>
            <w:r w:rsidRPr="00C13965">
              <w:rPr>
                <w:rStyle w:val="A9"/>
                <w:rFonts w:cs="Times New Roman"/>
                <w:sz w:val="24"/>
                <w:szCs w:val="24"/>
                <w:lang w:eastAsia="en-US"/>
              </w:rPr>
              <w:t>prevádzková udalosť</w:t>
            </w:r>
          </w:p>
        </w:tc>
      </w:tr>
      <w:tr w:rsidR="00DF49C6" w:rsidRPr="00C13965" w14:paraId="266570C5" w14:textId="77777777" w:rsidTr="00C13A84">
        <w:tc>
          <w:tcPr>
            <w:tcW w:w="2552" w:type="dxa"/>
            <w:tcBorders>
              <w:top w:val="nil"/>
              <w:left w:val="nil"/>
              <w:bottom w:val="nil"/>
              <w:right w:val="nil"/>
            </w:tcBorders>
            <w:hideMark/>
          </w:tcPr>
          <w:p w14:paraId="660E25CE" w14:textId="2C52CD6D" w:rsidR="00DF49C6" w:rsidRPr="00C13965" w:rsidRDefault="00DF49C6" w:rsidP="00557839">
            <w:pPr>
              <w:jc w:val="both"/>
              <w:rPr>
                <w:szCs w:val="24"/>
                <w:lang w:eastAsia="en-US"/>
              </w:rPr>
            </w:pPr>
            <w:r w:rsidRPr="00C13965">
              <w:rPr>
                <w:rStyle w:val="A9"/>
                <w:rFonts w:cs="Times New Roman"/>
                <w:sz w:val="24"/>
                <w:szCs w:val="24"/>
                <w:lang w:eastAsia="en-US"/>
              </w:rPr>
              <w:t>RA</w:t>
            </w:r>
            <w:r>
              <w:rPr>
                <w:rStyle w:val="A9"/>
                <w:rFonts w:cs="Times New Roman"/>
                <w:sz w:val="24"/>
                <w:szCs w:val="24"/>
                <w:lang w:eastAsia="en-US"/>
              </w:rPr>
              <w:t>M</w:t>
            </w:r>
          </w:p>
        </w:tc>
        <w:tc>
          <w:tcPr>
            <w:tcW w:w="7548" w:type="dxa"/>
            <w:tcBorders>
              <w:top w:val="nil"/>
              <w:left w:val="nil"/>
              <w:bottom w:val="nil"/>
              <w:right w:val="nil"/>
            </w:tcBorders>
            <w:hideMark/>
          </w:tcPr>
          <w:p w14:paraId="47CD348A" w14:textId="26451974" w:rsidR="00DF49C6" w:rsidRPr="00C13965" w:rsidRDefault="00DF49C6" w:rsidP="00557839">
            <w:pPr>
              <w:jc w:val="both"/>
              <w:rPr>
                <w:szCs w:val="24"/>
                <w:lang w:eastAsia="en-US"/>
              </w:rPr>
            </w:pPr>
            <w:r w:rsidRPr="00C13965">
              <w:rPr>
                <w:rStyle w:val="A9"/>
                <w:rFonts w:cs="Times New Roman"/>
                <w:sz w:val="24"/>
                <w:szCs w:val="24"/>
                <w:lang w:eastAsia="en-US"/>
              </w:rPr>
              <w:t xml:space="preserve">rádioaktívny </w:t>
            </w:r>
            <w:r>
              <w:rPr>
                <w:rStyle w:val="A9"/>
                <w:rFonts w:cs="Times New Roman"/>
                <w:sz w:val="24"/>
                <w:szCs w:val="24"/>
                <w:lang w:eastAsia="en-US"/>
              </w:rPr>
              <w:t>m</w:t>
            </w:r>
            <w:r>
              <w:rPr>
                <w:rStyle w:val="A9"/>
                <w:rFonts w:cs="Times New Roman"/>
                <w:sz w:val="24"/>
              </w:rPr>
              <w:t>ateriál</w:t>
            </w:r>
          </w:p>
        </w:tc>
      </w:tr>
      <w:tr w:rsidR="00DF49C6" w:rsidRPr="00C13965" w14:paraId="47B684AA" w14:textId="77777777" w:rsidTr="00C13A84">
        <w:tc>
          <w:tcPr>
            <w:tcW w:w="2552" w:type="dxa"/>
            <w:tcBorders>
              <w:top w:val="nil"/>
              <w:left w:val="nil"/>
              <w:bottom w:val="nil"/>
              <w:right w:val="nil"/>
            </w:tcBorders>
          </w:tcPr>
          <w:p w14:paraId="1A069D43" w14:textId="27358F69"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RAO</w:t>
            </w:r>
          </w:p>
        </w:tc>
        <w:tc>
          <w:tcPr>
            <w:tcW w:w="7548" w:type="dxa"/>
            <w:tcBorders>
              <w:top w:val="nil"/>
              <w:left w:val="nil"/>
              <w:bottom w:val="nil"/>
              <w:right w:val="nil"/>
            </w:tcBorders>
          </w:tcPr>
          <w:p w14:paraId="0ACBCE50" w14:textId="35D1CE8D"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rádioaktívny odpad</w:t>
            </w:r>
          </w:p>
        </w:tc>
      </w:tr>
      <w:tr w:rsidR="00DF49C6" w:rsidRPr="00C13965" w14:paraId="00059E06" w14:textId="77777777" w:rsidTr="00C13A84">
        <w:tc>
          <w:tcPr>
            <w:tcW w:w="2552" w:type="dxa"/>
            <w:tcBorders>
              <w:top w:val="nil"/>
              <w:left w:val="nil"/>
              <w:bottom w:val="nil"/>
              <w:right w:val="nil"/>
            </w:tcBorders>
          </w:tcPr>
          <w:p w14:paraId="41EB2CF3" w14:textId="56EDCD5A" w:rsidR="00DF49C6" w:rsidRPr="00C13965" w:rsidRDefault="00DF49C6" w:rsidP="003151A9">
            <w:pPr>
              <w:jc w:val="both"/>
              <w:rPr>
                <w:rStyle w:val="A9"/>
                <w:rFonts w:cs="Times New Roman"/>
                <w:sz w:val="24"/>
                <w:szCs w:val="24"/>
                <w:lang w:eastAsia="en-US"/>
              </w:rPr>
            </w:pPr>
            <w:r w:rsidRPr="006634D6">
              <w:t>RHWG</w:t>
            </w:r>
          </w:p>
        </w:tc>
        <w:tc>
          <w:tcPr>
            <w:tcW w:w="7548" w:type="dxa"/>
            <w:tcBorders>
              <w:top w:val="nil"/>
              <w:left w:val="nil"/>
              <w:bottom w:val="nil"/>
              <w:right w:val="nil"/>
            </w:tcBorders>
          </w:tcPr>
          <w:p w14:paraId="76283852" w14:textId="5A62E1DC" w:rsidR="00DF49C6" w:rsidRPr="00C13965" w:rsidRDefault="00DF49C6" w:rsidP="003151A9">
            <w:pPr>
              <w:jc w:val="both"/>
              <w:rPr>
                <w:rStyle w:val="A9"/>
                <w:rFonts w:cs="Times New Roman"/>
                <w:sz w:val="24"/>
                <w:szCs w:val="24"/>
                <w:lang w:eastAsia="en-US"/>
              </w:rPr>
            </w:pPr>
            <w:r w:rsidRPr="006634D6">
              <w:t>PS pre harmonizáciu požiadaviek na bezpečnosť jadrových reaktorov</w:t>
            </w:r>
            <w:r w:rsidR="00A94034">
              <w:t xml:space="preserve">, angl. </w:t>
            </w:r>
            <w:proofErr w:type="spellStart"/>
            <w:r w:rsidR="00A94034" w:rsidRPr="00A94034">
              <w:t>Reactor</w:t>
            </w:r>
            <w:proofErr w:type="spellEnd"/>
            <w:r w:rsidR="00A94034" w:rsidRPr="00A94034">
              <w:t xml:space="preserve"> </w:t>
            </w:r>
            <w:proofErr w:type="spellStart"/>
            <w:r w:rsidR="00A94034" w:rsidRPr="00A94034">
              <w:t>Harmonisation</w:t>
            </w:r>
            <w:proofErr w:type="spellEnd"/>
            <w:r w:rsidR="00A94034" w:rsidRPr="00A94034">
              <w:t xml:space="preserve"> </w:t>
            </w:r>
            <w:proofErr w:type="spellStart"/>
            <w:r w:rsidR="00A94034" w:rsidRPr="00A94034">
              <w:t>Working</w:t>
            </w:r>
            <w:proofErr w:type="spellEnd"/>
            <w:r w:rsidR="00A94034" w:rsidRPr="00A94034">
              <w:t xml:space="preserve"> Group</w:t>
            </w:r>
            <w:r w:rsidR="00A94034">
              <w:t xml:space="preserve"> </w:t>
            </w:r>
          </w:p>
        </w:tc>
      </w:tr>
      <w:tr w:rsidR="00DF49C6" w:rsidRPr="00C13965" w14:paraId="1BC54882" w14:textId="77777777" w:rsidTr="00C13A84">
        <w:tc>
          <w:tcPr>
            <w:tcW w:w="2552" w:type="dxa"/>
            <w:tcBorders>
              <w:top w:val="nil"/>
              <w:left w:val="nil"/>
              <w:bottom w:val="nil"/>
              <w:right w:val="nil"/>
            </w:tcBorders>
          </w:tcPr>
          <w:p w14:paraId="7662A232" w14:textId="06BE835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RÚ RAO</w:t>
            </w:r>
          </w:p>
        </w:tc>
        <w:tc>
          <w:tcPr>
            <w:tcW w:w="7548" w:type="dxa"/>
            <w:tcBorders>
              <w:top w:val="nil"/>
              <w:left w:val="nil"/>
              <w:bottom w:val="nil"/>
              <w:right w:val="nil"/>
            </w:tcBorders>
          </w:tcPr>
          <w:p w14:paraId="40F540D7" w14:textId="7134444B"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Republikové úložisko RAO</w:t>
            </w:r>
          </w:p>
        </w:tc>
      </w:tr>
      <w:tr w:rsidR="00DF49C6" w:rsidRPr="00C13965" w14:paraId="1D01ED73" w14:textId="77777777" w:rsidTr="00C13A84">
        <w:tc>
          <w:tcPr>
            <w:tcW w:w="2552" w:type="dxa"/>
            <w:tcBorders>
              <w:top w:val="nil"/>
              <w:left w:val="nil"/>
              <w:bottom w:val="nil"/>
              <w:right w:val="nil"/>
            </w:tcBorders>
            <w:hideMark/>
          </w:tcPr>
          <w:p w14:paraId="43687B99" w14:textId="4073F7BC" w:rsidR="00DF49C6" w:rsidRPr="00C13965" w:rsidRDefault="00DF49C6" w:rsidP="003151A9">
            <w:pPr>
              <w:jc w:val="both"/>
              <w:rPr>
                <w:szCs w:val="24"/>
                <w:lang w:eastAsia="en-US"/>
              </w:rPr>
            </w:pPr>
            <w:r>
              <w:rPr>
                <w:rStyle w:val="A9"/>
                <w:rFonts w:cs="Times New Roman"/>
                <w:sz w:val="24"/>
                <w:szCs w:val="24"/>
                <w:lang w:eastAsia="en-US"/>
              </w:rPr>
              <w:t>R</w:t>
            </w:r>
            <w:r>
              <w:rPr>
                <w:rStyle w:val="A9"/>
                <w:rFonts w:cs="Times New Roman"/>
                <w:sz w:val="24"/>
              </w:rPr>
              <w:t>V</w:t>
            </w:r>
          </w:p>
        </w:tc>
        <w:tc>
          <w:tcPr>
            <w:tcW w:w="7548" w:type="dxa"/>
            <w:tcBorders>
              <w:top w:val="nil"/>
              <w:left w:val="nil"/>
              <w:bottom w:val="nil"/>
              <w:right w:val="nil"/>
            </w:tcBorders>
            <w:hideMark/>
          </w:tcPr>
          <w:p w14:paraId="1A5A808A" w14:textId="0FBE3EFA" w:rsidR="00DF49C6" w:rsidRPr="00C13965" w:rsidRDefault="00DF49C6" w:rsidP="003151A9">
            <w:pPr>
              <w:jc w:val="both"/>
              <w:rPr>
                <w:szCs w:val="24"/>
                <w:lang w:eastAsia="en-US"/>
              </w:rPr>
            </w:pPr>
            <w:r>
              <w:rPr>
                <w:rStyle w:val="A9"/>
                <w:rFonts w:cs="Times New Roman"/>
                <w:sz w:val="24"/>
              </w:rPr>
              <w:t>riadiaci výbor</w:t>
            </w:r>
          </w:p>
        </w:tc>
      </w:tr>
      <w:tr w:rsidR="00DF49C6" w:rsidRPr="00C13965" w14:paraId="13A4E24F" w14:textId="77777777" w:rsidTr="00C13A84">
        <w:tc>
          <w:tcPr>
            <w:tcW w:w="2552" w:type="dxa"/>
            <w:tcBorders>
              <w:top w:val="nil"/>
              <w:left w:val="nil"/>
              <w:bottom w:val="nil"/>
              <w:right w:val="nil"/>
            </w:tcBorders>
          </w:tcPr>
          <w:p w14:paraId="14AC98A4" w14:textId="49B4F4BC" w:rsidR="00DF49C6" w:rsidRDefault="00DF49C6" w:rsidP="003151A9">
            <w:pPr>
              <w:jc w:val="both"/>
              <w:rPr>
                <w:rStyle w:val="A9"/>
                <w:rFonts w:cs="Times New Roman"/>
                <w:sz w:val="24"/>
                <w:szCs w:val="24"/>
                <w:lang w:eastAsia="en-US"/>
              </w:rPr>
            </w:pPr>
            <w:r w:rsidRPr="00C13965">
              <w:rPr>
                <w:rStyle w:val="A9"/>
                <w:rFonts w:cs="Times New Roman"/>
                <w:sz w:val="24"/>
                <w:szCs w:val="24"/>
                <w:lang w:eastAsia="en-US"/>
              </w:rPr>
              <w:t>SE, a. s.</w:t>
            </w:r>
          </w:p>
        </w:tc>
        <w:tc>
          <w:tcPr>
            <w:tcW w:w="7548" w:type="dxa"/>
            <w:tcBorders>
              <w:top w:val="nil"/>
              <w:left w:val="nil"/>
              <w:bottom w:val="nil"/>
              <w:right w:val="nil"/>
            </w:tcBorders>
          </w:tcPr>
          <w:p w14:paraId="3C68983B" w14:textId="13CCCA1D" w:rsidR="00DF49C6" w:rsidRDefault="00DF49C6" w:rsidP="003151A9">
            <w:pPr>
              <w:jc w:val="both"/>
              <w:rPr>
                <w:rStyle w:val="A9"/>
                <w:rFonts w:cs="Times New Roman"/>
                <w:sz w:val="24"/>
              </w:rPr>
            </w:pPr>
            <w:r w:rsidRPr="00C13965">
              <w:rPr>
                <w:rStyle w:val="A9"/>
                <w:rFonts w:cs="Times New Roman"/>
                <w:sz w:val="24"/>
                <w:szCs w:val="24"/>
                <w:lang w:eastAsia="en-US"/>
              </w:rPr>
              <w:t>Slovenské elektrárne, a. s.</w:t>
            </w:r>
          </w:p>
        </w:tc>
      </w:tr>
      <w:tr w:rsidR="00DF49C6" w:rsidRPr="00C13965" w14:paraId="282398B7" w14:textId="77777777" w:rsidTr="00C13A84">
        <w:tc>
          <w:tcPr>
            <w:tcW w:w="2552" w:type="dxa"/>
            <w:tcBorders>
              <w:top w:val="nil"/>
              <w:left w:val="nil"/>
              <w:bottom w:val="nil"/>
              <w:right w:val="nil"/>
            </w:tcBorders>
          </w:tcPr>
          <w:p w14:paraId="21803EB6" w14:textId="7891943E" w:rsidR="00DF49C6" w:rsidRPr="00C13965" w:rsidRDefault="00DF49C6" w:rsidP="003151A9">
            <w:pPr>
              <w:jc w:val="both"/>
              <w:rPr>
                <w:szCs w:val="24"/>
                <w:lang w:eastAsia="en-US"/>
              </w:rPr>
            </w:pPr>
            <w:r w:rsidRPr="00C13965">
              <w:rPr>
                <w:szCs w:val="24"/>
                <w:lang w:eastAsia="en-US"/>
              </w:rPr>
              <w:t>SHNČ</w:t>
            </w:r>
          </w:p>
        </w:tc>
        <w:tc>
          <w:tcPr>
            <w:tcW w:w="7548" w:type="dxa"/>
            <w:tcBorders>
              <w:top w:val="nil"/>
              <w:left w:val="nil"/>
              <w:bottom w:val="nil"/>
              <w:right w:val="nil"/>
            </w:tcBorders>
          </w:tcPr>
          <w:p w14:paraId="4FF293F9" w14:textId="51F4258F" w:rsidR="00DF49C6" w:rsidRPr="00C13965" w:rsidRDefault="00DF49C6" w:rsidP="003151A9">
            <w:pPr>
              <w:jc w:val="both"/>
              <w:rPr>
                <w:szCs w:val="24"/>
                <w:lang w:eastAsia="en-US"/>
              </w:rPr>
            </w:pPr>
            <w:r w:rsidRPr="00C13965">
              <w:rPr>
                <w:szCs w:val="24"/>
                <w:lang w:eastAsia="en-US"/>
              </w:rPr>
              <w:t xml:space="preserve">čerpadlá </w:t>
            </w:r>
            <w:proofErr w:type="spellStart"/>
            <w:r w:rsidRPr="00C13965">
              <w:rPr>
                <w:szCs w:val="24"/>
                <w:lang w:eastAsia="en-US"/>
              </w:rPr>
              <w:t>superhavarijného</w:t>
            </w:r>
            <w:proofErr w:type="spellEnd"/>
            <w:r w:rsidRPr="00C13965">
              <w:rPr>
                <w:szCs w:val="24"/>
                <w:lang w:eastAsia="en-US"/>
              </w:rPr>
              <w:t xml:space="preserve"> systému napájania parogenerátorov</w:t>
            </w:r>
          </w:p>
        </w:tc>
      </w:tr>
      <w:tr w:rsidR="001F1710" w:rsidRPr="00C13965" w14:paraId="3847BD5F" w14:textId="77777777" w:rsidTr="00C13A84">
        <w:tc>
          <w:tcPr>
            <w:tcW w:w="2552" w:type="dxa"/>
            <w:tcBorders>
              <w:top w:val="nil"/>
              <w:left w:val="nil"/>
              <w:bottom w:val="nil"/>
              <w:right w:val="nil"/>
            </w:tcBorders>
          </w:tcPr>
          <w:p w14:paraId="600CA038" w14:textId="7AD43DB5" w:rsidR="001F1710" w:rsidRPr="00C13965" w:rsidRDefault="001F1710" w:rsidP="003151A9">
            <w:pPr>
              <w:jc w:val="both"/>
              <w:rPr>
                <w:szCs w:val="24"/>
                <w:lang w:eastAsia="en-US"/>
              </w:rPr>
            </w:pPr>
            <w:r>
              <w:rPr>
                <w:szCs w:val="24"/>
                <w:lang w:eastAsia="en-US"/>
              </w:rPr>
              <w:t>SKR</w:t>
            </w:r>
          </w:p>
        </w:tc>
        <w:tc>
          <w:tcPr>
            <w:tcW w:w="7548" w:type="dxa"/>
            <w:tcBorders>
              <w:top w:val="nil"/>
              <w:left w:val="nil"/>
              <w:bottom w:val="nil"/>
              <w:right w:val="nil"/>
            </w:tcBorders>
          </w:tcPr>
          <w:p w14:paraId="5F6B73D6" w14:textId="0EF846F7" w:rsidR="001F1710" w:rsidRPr="00C13965" w:rsidRDefault="001F1710" w:rsidP="003151A9">
            <w:pPr>
              <w:jc w:val="both"/>
              <w:rPr>
                <w:szCs w:val="24"/>
                <w:lang w:eastAsia="en-US"/>
              </w:rPr>
            </w:pPr>
            <w:r>
              <w:rPr>
                <w:szCs w:val="24"/>
                <w:lang w:eastAsia="en-US"/>
              </w:rPr>
              <w:t>systém kontroly a riadenia</w:t>
            </w:r>
          </w:p>
        </w:tc>
      </w:tr>
      <w:tr w:rsidR="00680CF2" w:rsidRPr="00C13965" w14:paraId="54EA7E23" w14:textId="77777777" w:rsidTr="00C13A84">
        <w:tc>
          <w:tcPr>
            <w:tcW w:w="2552" w:type="dxa"/>
            <w:tcBorders>
              <w:top w:val="nil"/>
              <w:left w:val="nil"/>
              <w:bottom w:val="nil"/>
              <w:right w:val="nil"/>
            </w:tcBorders>
          </w:tcPr>
          <w:p w14:paraId="20246BF7" w14:textId="6CE63DE7" w:rsidR="00680CF2" w:rsidRDefault="00680CF2" w:rsidP="003151A9">
            <w:pPr>
              <w:jc w:val="both"/>
              <w:rPr>
                <w:szCs w:val="24"/>
                <w:lang w:eastAsia="en-US"/>
              </w:rPr>
            </w:pPr>
            <w:r>
              <w:rPr>
                <w:szCs w:val="24"/>
                <w:lang w:eastAsia="en-US"/>
              </w:rPr>
              <w:t>SNSA</w:t>
            </w:r>
          </w:p>
        </w:tc>
        <w:tc>
          <w:tcPr>
            <w:tcW w:w="7548" w:type="dxa"/>
            <w:tcBorders>
              <w:top w:val="nil"/>
              <w:left w:val="nil"/>
              <w:bottom w:val="nil"/>
              <w:right w:val="nil"/>
            </w:tcBorders>
          </w:tcPr>
          <w:p w14:paraId="304EAA5D" w14:textId="5A062969" w:rsidR="00680CF2" w:rsidRDefault="00680CF2" w:rsidP="003151A9">
            <w:pPr>
              <w:jc w:val="both"/>
              <w:rPr>
                <w:szCs w:val="24"/>
                <w:lang w:eastAsia="en-US"/>
              </w:rPr>
            </w:pPr>
            <w:r>
              <w:rPr>
                <w:szCs w:val="24"/>
                <w:lang w:eastAsia="en-US"/>
              </w:rPr>
              <w:t xml:space="preserve">slovinský </w:t>
            </w:r>
            <w:r w:rsidRPr="000B0F69">
              <w:t>dozorný orgán nad jadrovou bezpečnosťou</w:t>
            </w:r>
          </w:p>
        </w:tc>
      </w:tr>
      <w:tr w:rsidR="00DF49C6" w:rsidRPr="00C13965" w14:paraId="4741DBD4" w14:textId="77777777" w:rsidTr="00C13A84">
        <w:tc>
          <w:tcPr>
            <w:tcW w:w="2552" w:type="dxa"/>
            <w:tcBorders>
              <w:top w:val="nil"/>
              <w:left w:val="nil"/>
              <w:bottom w:val="nil"/>
              <w:right w:val="nil"/>
            </w:tcBorders>
          </w:tcPr>
          <w:p w14:paraId="1A1E23B6" w14:textId="0254321A" w:rsidR="00DF49C6" w:rsidRPr="00C13965" w:rsidRDefault="00DF49C6" w:rsidP="003151A9">
            <w:pPr>
              <w:jc w:val="both"/>
              <w:rPr>
                <w:rStyle w:val="A9"/>
                <w:rFonts w:cs="Times New Roman"/>
                <w:sz w:val="24"/>
                <w:szCs w:val="24"/>
                <w:lang w:eastAsia="en-US"/>
              </w:rPr>
            </w:pPr>
            <w:r w:rsidRPr="00C13965">
              <w:rPr>
                <w:szCs w:val="24"/>
                <w:lang w:eastAsia="en-US"/>
              </w:rPr>
              <w:t>SNUS</w:t>
            </w:r>
          </w:p>
        </w:tc>
        <w:tc>
          <w:tcPr>
            <w:tcW w:w="7548" w:type="dxa"/>
            <w:tcBorders>
              <w:top w:val="nil"/>
              <w:left w:val="nil"/>
              <w:bottom w:val="nil"/>
              <w:right w:val="nil"/>
            </w:tcBorders>
          </w:tcPr>
          <w:p w14:paraId="114CB82A" w14:textId="32C3824E" w:rsidR="00DF49C6" w:rsidRPr="00C13965" w:rsidRDefault="00DF49C6" w:rsidP="003151A9">
            <w:pPr>
              <w:jc w:val="both"/>
              <w:rPr>
                <w:rStyle w:val="A9"/>
                <w:rFonts w:cs="Times New Roman"/>
                <w:sz w:val="24"/>
                <w:szCs w:val="24"/>
                <w:lang w:eastAsia="en-US"/>
              </w:rPr>
            </w:pPr>
            <w:r w:rsidRPr="00C13965">
              <w:rPr>
                <w:szCs w:val="24"/>
                <w:lang w:eastAsia="en-US"/>
              </w:rPr>
              <w:t>Slovenská nukleárna spoločnosť</w:t>
            </w:r>
          </w:p>
        </w:tc>
      </w:tr>
      <w:tr w:rsidR="00DF49C6" w:rsidRPr="00C13965" w14:paraId="7DD55418" w14:textId="77777777" w:rsidTr="00C13A84">
        <w:tc>
          <w:tcPr>
            <w:tcW w:w="2552" w:type="dxa"/>
            <w:tcBorders>
              <w:top w:val="nil"/>
              <w:left w:val="nil"/>
              <w:bottom w:val="nil"/>
              <w:right w:val="nil"/>
            </w:tcBorders>
            <w:hideMark/>
          </w:tcPr>
          <w:p w14:paraId="7750B49F" w14:textId="4503A5E7"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lastRenderedPageBreak/>
              <w:t>SR</w:t>
            </w:r>
          </w:p>
        </w:tc>
        <w:tc>
          <w:tcPr>
            <w:tcW w:w="7548" w:type="dxa"/>
            <w:tcBorders>
              <w:top w:val="nil"/>
              <w:left w:val="nil"/>
              <w:bottom w:val="nil"/>
              <w:right w:val="nil"/>
            </w:tcBorders>
            <w:hideMark/>
          </w:tcPr>
          <w:p w14:paraId="6E2E35DD" w14:textId="0383235C"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Slovenská republika</w:t>
            </w:r>
          </w:p>
        </w:tc>
      </w:tr>
      <w:tr w:rsidR="00680CF2" w:rsidRPr="00C13965" w14:paraId="74E44250" w14:textId="77777777" w:rsidTr="00C13A84">
        <w:tc>
          <w:tcPr>
            <w:tcW w:w="2552" w:type="dxa"/>
            <w:tcBorders>
              <w:top w:val="nil"/>
              <w:left w:val="nil"/>
              <w:bottom w:val="nil"/>
              <w:right w:val="nil"/>
            </w:tcBorders>
          </w:tcPr>
          <w:p w14:paraId="6E56C96C" w14:textId="74BDA1E1" w:rsidR="00680CF2" w:rsidRPr="00C13965" w:rsidRDefault="00680CF2" w:rsidP="003151A9">
            <w:pPr>
              <w:jc w:val="both"/>
              <w:rPr>
                <w:rStyle w:val="A9"/>
                <w:rFonts w:cs="Times New Roman"/>
                <w:sz w:val="24"/>
                <w:szCs w:val="24"/>
                <w:lang w:eastAsia="en-US"/>
              </w:rPr>
            </w:pPr>
            <w:r>
              <w:rPr>
                <w:rStyle w:val="A9"/>
                <w:rFonts w:cs="Times New Roman"/>
                <w:sz w:val="24"/>
                <w:szCs w:val="24"/>
                <w:lang w:eastAsia="en-US"/>
              </w:rPr>
              <w:t>STUK</w:t>
            </w:r>
          </w:p>
        </w:tc>
        <w:tc>
          <w:tcPr>
            <w:tcW w:w="7548" w:type="dxa"/>
            <w:tcBorders>
              <w:top w:val="nil"/>
              <w:left w:val="nil"/>
              <w:bottom w:val="nil"/>
              <w:right w:val="nil"/>
            </w:tcBorders>
          </w:tcPr>
          <w:p w14:paraId="127A3231" w14:textId="18DC689C" w:rsidR="00680CF2" w:rsidRPr="00C13965" w:rsidRDefault="00680CF2" w:rsidP="003151A9">
            <w:pPr>
              <w:jc w:val="both"/>
              <w:rPr>
                <w:rStyle w:val="A9"/>
                <w:rFonts w:cs="Times New Roman"/>
                <w:sz w:val="24"/>
                <w:szCs w:val="24"/>
                <w:lang w:eastAsia="en-US"/>
              </w:rPr>
            </w:pPr>
            <w:r>
              <w:rPr>
                <w:rStyle w:val="A9"/>
                <w:rFonts w:cs="Times New Roman"/>
                <w:sz w:val="24"/>
                <w:szCs w:val="24"/>
                <w:lang w:eastAsia="en-US"/>
              </w:rPr>
              <w:t>fínsky dozorný orgán nad jadrovou bezpečnosťou</w:t>
            </w:r>
          </w:p>
        </w:tc>
      </w:tr>
      <w:tr w:rsidR="00680CF2" w:rsidRPr="00C13965" w14:paraId="5368D149" w14:textId="77777777" w:rsidTr="00C13A84">
        <w:tc>
          <w:tcPr>
            <w:tcW w:w="2552" w:type="dxa"/>
            <w:tcBorders>
              <w:top w:val="nil"/>
              <w:left w:val="nil"/>
              <w:bottom w:val="nil"/>
              <w:right w:val="nil"/>
            </w:tcBorders>
          </w:tcPr>
          <w:p w14:paraId="286B6B1C" w14:textId="21D1BBB8" w:rsidR="00680CF2" w:rsidRPr="00C13965" w:rsidRDefault="00680CF2" w:rsidP="003151A9">
            <w:pPr>
              <w:jc w:val="both"/>
              <w:rPr>
                <w:rStyle w:val="A9"/>
                <w:rFonts w:cs="Times New Roman"/>
                <w:sz w:val="24"/>
                <w:szCs w:val="24"/>
                <w:lang w:eastAsia="en-US"/>
              </w:rPr>
            </w:pPr>
            <w:r>
              <w:rPr>
                <w:rStyle w:val="A9"/>
                <w:rFonts w:cs="Times New Roman"/>
                <w:sz w:val="24"/>
                <w:szCs w:val="24"/>
                <w:lang w:eastAsia="en-US"/>
              </w:rPr>
              <w:t>S</w:t>
            </w:r>
            <w:r>
              <w:rPr>
                <w:rStyle w:val="A9"/>
                <w:rFonts w:cs="Times New Roman"/>
                <w:sz w:val="24"/>
              </w:rPr>
              <w:t>ÚJB</w:t>
            </w:r>
          </w:p>
        </w:tc>
        <w:tc>
          <w:tcPr>
            <w:tcW w:w="7548" w:type="dxa"/>
            <w:tcBorders>
              <w:top w:val="nil"/>
              <w:left w:val="nil"/>
              <w:bottom w:val="nil"/>
              <w:right w:val="nil"/>
            </w:tcBorders>
          </w:tcPr>
          <w:p w14:paraId="3BF8D0A3" w14:textId="396769B2" w:rsidR="00680CF2" w:rsidRPr="00C13965" w:rsidRDefault="00680CF2" w:rsidP="003151A9">
            <w:pPr>
              <w:jc w:val="both"/>
              <w:rPr>
                <w:rStyle w:val="A9"/>
                <w:rFonts w:cs="Times New Roman"/>
                <w:sz w:val="24"/>
                <w:szCs w:val="24"/>
                <w:lang w:eastAsia="en-US"/>
              </w:rPr>
            </w:pPr>
            <w:r>
              <w:rPr>
                <w:rStyle w:val="A9"/>
                <w:rFonts w:cs="Times New Roman"/>
                <w:sz w:val="24"/>
                <w:szCs w:val="24"/>
                <w:lang w:eastAsia="en-US"/>
              </w:rPr>
              <w:t>český dozorný orgán nad jadrovou bezpečnosťou</w:t>
            </w:r>
          </w:p>
        </w:tc>
      </w:tr>
      <w:tr w:rsidR="00E9573A" w:rsidRPr="00C13965" w14:paraId="6E6E9DBD" w14:textId="77777777" w:rsidTr="00C13A84">
        <w:tc>
          <w:tcPr>
            <w:tcW w:w="2552" w:type="dxa"/>
            <w:tcBorders>
              <w:top w:val="nil"/>
              <w:left w:val="nil"/>
              <w:bottom w:val="nil"/>
              <w:right w:val="nil"/>
            </w:tcBorders>
          </w:tcPr>
          <w:p w14:paraId="32DCD1BB" w14:textId="653B4D7A" w:rsidR="00E9573A" w:rsidRDefault="00E9573A" w:rsidP="003151A9">
            <w:pPr>
              <w:jc w:val="both"/>
              <w:rPr>
                <w:rStyle w:val="A9"/>
                <w:rFonts w:cs="Times New Roman"/>
                <w:sz w:val="24"/>
                <w:szCs w:val="24"/>
                <w:lang w:eastAsia="en-US"/>
              </w:rPr>
            </w:pPr>
            <w:r>
              <w:rPr>
                <w:rStyle w:val="A9"/>
                <w:rFonts w:cs="Times New Roman"/>
                <w:sz w:val="24"/>
                <w:szCs w:val="24"/>
                <w:lang w:eastAsia="en-US"/>
              </w:rPr>
              <w:t>SÚRO</w:t>
            </w:r>
          </w:p>
        </w:tc>
        <w:tc>
          <w:tcPr>
            <w:tcW w:w="7548" w:type="dxa"/>
            <w:tcBorders>
              <w:top w:val="nil"/>
              <w:left w:val="nil"/>
              <w:bottom w:val="nil"/>
              <w:right w:val="nil"/>
            </w:tcBorders>
          </w:tcPr>
          <w:p w14:paraId="5C66CA60" w14:textId="1AC39769" w:rsidR="00E9573A" w:rsidRDefault="00E9573A" w:rsidP="003151A9">
            <w:pPr>
              <w:jc w:val="both"/>
              <w:rPr>
                <w:rStyle w:val="A9"/>
                <w:rFonts w:cs="Times New Roman"/>
                <w:sz w:val="24"/>
                <w:szCs w:val="24"/>
                <w:lang w:eastAsia="en-US"/>
              </w:rPr>
            </w:pPr>
            <w:r>
              <w:rPr>
                <w:rStyle w:val="A9"/>
                <w:rFonts w:cs="Times New Roman"/>
                <w:sz w:val="24"/>
                <w:szCs w:val="24"/>
                <w:lang w:eastAsia="en-US"/>
              </w:rPr>
              <w:t>Štátny ústav radiačnej ochrany v Českej republike</w:t>
            </w:r>
          </w:p>
        </w:tc>
      </w:tr>
      <w:tr w:rsidR="006B192E" w:rsidRPr="00C13965" w14:paraId="3E41937A" w14:textId="77777777" w:rsidTr="00C13A84">
        <w:tc>
          <w:tcPr>
            <w:tcW w:w="2552" w:type="dxa"/>
            <w:tcBorders>
              <w:top w:val="nil"/>
              <w:left w:val="nil"/>
              <w:bottom w:val="nil"/>
              <w:right w:val="nil"/>
            </w:tcBorders>
          </w:tcPr>
          <w:p w14:paraId="20FAE756" w14:textId="022621E0" w:rsidR="006B192E" w:rsidRDefault="006B192E" w:rsidP="003151A9">
            <w:pPr>
              <w:jc w:val="both"/>
              <w:rPr>
                <w:rStyle w:val="A9"/>
                <w:rFonts w:cs="Times New Roman"/>
                <w:sz w:val="24"/>
                <w:szCs w:val="24"/>
                <w:lang w:eastAsia="en-US"/>
              </w:rPr>
            </w:pPr>
            <w:r>
              <w:rPr>
                <w:rStyle w:val="A9"/>
                <w:rFonts w:cs="Times New Roman"/>
                <w:sz w:val="24"/>
                <w:szCs w:val="24"/>
                <w:lang w:eastAsia="en-US"/>
              </w:rPr>
              <w:t>ŠR</w:t>
            </w:r>
          </w:p>
        </w:tc>
        <w:tc>
          <w:tcPr>
            <w:tcW w:w="7548" w:type="dxa"/>
            <w:tcBorders>
              <w:top w:val="nil"/>
              <w:left w:val="nil"/>
              <w:bottom w:val="nil"/>
              <w:right w:val="nil"/>
            </w:tcBorders>
          </w:tcPr>
          <w:p w14:paraId="54899C64" w14:textId="243F679A" w:rsidR="006B192E" w:rsidRDefault="006B192E" w:rsidP="003151A9">
            <w:pPr>
              <w:jc w:val="both"/>
              <w:rPr>
                <w:rStyle w:val="A9"/>
                <w:rFonts w:cs="Times New Roman"/>
                <w:sz w:val="24"/>
                <w:szCs w:val="24"/>
                <w:lang w:eastAsia="en-US"/>
              </w:rPr>
            </w:pPr>
            <w:r>
              <w:rPr>
                <w:rStyle w:val="A9"/>
                <w:rFonts w:cs="Times New Roman"/>
                <w:sz w:val="24"/>
                <w:szCs w:val="24"/>
                <w:lang w:eastAsia="en-US"/>
              </w:rPr>
              <w:t>štátny rozpočet</w:t>
            </w:r>
          </w:p>
        </w:tc>
      </w:tr>
      <w:tr w:rsidR="00803172" w:rsidRPr="00C13965" w14:paraId="62670EF4" w14:textId="77777777" w:rsidTr="00C13A84">
        <w:tc>
          <w:tcPr>
            <w:tcW w:w="2552" w:type="dxa"/>
            <w:tcBorders>
              <w:top w:val="nil"/>
              <w:left w:val="nil"/>
              <w:bottom w:val="nil"/>
              <w:right w:val="nil"/>
            </w:tcBorders>
          </w:tcPr>
          <w:p w14:paraId="6ADB6D93" w14:textId="2C6D1659" w:rsidR="00803172" w:rsidRDefault="00803172" w:rsidP="003151A9">
            <w:pPr>
              <w:jc w:val="both"/>
              <w:rPr>
                <w:rStyle w:val="A9"/>
                <w:rFonts w:cs="Times New Roman"/>
                <w:sz w:val="24"/>
                <w:szCs w:val="24"/>
                <w:lang w:eastAsia="en-US"/>
              </w:rPr>
            </w:pPr>
            <w:r>
              <w:rPr>
                <w:rStyle w:val="A9"/>
                <w:rFonts w:cs="Times New Roman"/>
                <w:sz w:val="24"/>
                <w:szCs w:val="24"/>
                <w:lang w:eastAsia="en-US"/>
              </w:rPr>
              <w:t>T</w:t>
            </w:r>
            <w:r>
              <w:rPr>
                <w:rStyle w:val="A9"/>
                <w:rFonts w:cs="Times New Roman"/>
                <w:sz w:val="24"/>
              </w:rPr>
              <w:t>CP MAAE</w:t>
            </w:r>
          </w:p>
        </w:tc>
        <w:tc>
          <w:tcPr>
            <w:tcW w:w="7548" w:type="dxa"/>
            <w:tcBorders>
              <w:top w:val="nil"/>
              <w:left w:val="nil"/>
              <w:bottom w:val="nil"/>
              <w:right w:val="nil"/>
            </w:tcBorders>
          </w:tcPr>
          <w:p w14:paraId="7F079EE1" w14:textId="66DB6D51" w:rsidR="00803172" w:rsidRDefault="00803172" w:rsidP="003151A9">
            <w:pPr>
              <w:jc w:val="both"/>
              <w:rPr>
                <w:rStyle w:val="A9"/>
                <w:rFonts w:cs="Times New Roman"/>
                <w:sz w:val="24"/>
                <w:szCs w:val="24"/>
                <w:lang w:eastAsia="en-US"/>
              </w:rPr>
            </w:pPr>
            <w:r>
              <w:rPr>
                <w:rStyle w:val="A9"/>
                <w:rFonts w:cs="Times New Roman"/>
                <w:sz w:val="24"/>
                <w:szCs w:val="24"/>
                <w:lang w:eastAsia="en-US"/>
              </w:rPr>
              <w:t>P</w:t>
            </w:r>
            <w:r>
              <w:rPr>
                <w:rStyle w:val="A9"/>
                <w:rFonts w:cs="Times New Roman"/>
                <w:sz w:val="24"/>
              </w:rPr>
              <w:t>rogram technickej spolupráce MAAE</w:t>
            </w:r>
            <w:r w:rsidR="00A94034">
              <w:rPr>
                <w:rStyle w:val="A9"/>
                <w:rFonts w:cs="Times New Roman"/>
                <w:sz w:val="24"/>
              </w:rPr>
              <w:t xml:space="preserve">, angl. IAEA </w:t>
            </w:r>
            <w:proofErr w:type="spellStart"/>
            <w:r w:rsidR="00A94034">
              <w:rPr>
                <w:rStyle w:val="A9"/>
                <w:rFonts w:cs="Times New Roman"/>
                <w:sz w:val="24"/>
              </w:rPr>
              <w:t>Technical</w:t>
            </w:r>
            <w:proofErr w:type="spellEnd"/>
            <w:r w:rsidR="00A94034">
              <w:rPr>
                <w:rStyle w:val="A9"/>
                <w:rFonts w:cs="Times New Roman"/>
                <w:sz w:val="24"/>
              </w:rPr>
              <w:t xml:space="preserve"> </w:t>
            </w:r>
            <w:proofErr w:type="spellStart"/>
            <w:r w:rsidR="00DF1E74">
              <w:rPr>
                <w:rStyle w:val="A9"/>
                <w:rFonts w:cs="Times New Roman"/>
                <w:sz w:val="24"/>
              </w:rPr>
              <w:t>C</w:t>
            </w:r>
            <w:r w:rsidR="00A94034">
              <w:rPr>
                <w:rStyle w:val="A9"/>
                <w:rFonts w:cs="Times New Roman"/>
                <w:sz w:val="24"/>
              </w:rPr>
              <w:t>ooperation</w:t>
            </w:r>
            <w:proofErr w:type="spellEnd"/>
            <w:r w:rsidR="00A94034">
              <w:rPr>
                <w:rStyle w:val="A9"/>
                <w:rFonts w:cs="Times New Roman"/>
                <w:sz w:val="24"/>
              </w:rPr>
              <w:t xml:space="preserve"> </w:t>
            </w:r>
            <w:proofErr w:type="spellStart"/>
            <w:r w:rsidR="00DF1E74">
              <w:rPr>
                <w:rStyle w:val="A9"/>
                <w:rFonts w:cs="Times New Roman"/>
                <w:sz w:val="24"/>
              </w:rPr>
              <w:t>P</w:t>
            </w:r>
            <w:r w:rsidR="00A94034">
              <w:rPr>
                <w:rStyle w:val="A9"/>
                <w:rFonts w:cs="Times New Roman"/>
                <w:sz w:val="24"/>
              </w:rPr>
              <w:t>rogramme</w:t>
            </w:r>
            <w:proofErr w:type="spellEnd"/>
          </w:p>
        </w:tc>
      </w:tr>
      <w:tr w:rsidR="00E9573A" w:rsidRPr="00C13965" w14:paraId="147EA000" w14:textId="77777777" w:rsidTr="00C13A84">
        <w:tc>
          <w:tcPr>
            <w:tcW w:w="2552" w:type="dxa"/>
            <w:tcBorders>
              <w:top w:val="nil"/>
              <w:left w:val="nil"/>
              <w:bottom w:val="nil"/>
              <w:right w:val="nil"/>
            </w:tcBorders>
          </w:tcPr>
          <w:p w14:paraId="0045576D" w14:textId="0DD17B0D" w:rsidR="00E9573A" w:rsidRDefault="00E9573A" w:rsidP="003151A9">
            <w:pPr>
              <w:jc w:val="both"/>
              <w:rPr>
                <w:rStyle w:val="A9"/>
                <w:rFonts w:cs="Times New Roman"/>
                <w:sz w:val="24"/>
                <w:szCs w:val="24"/>
                <w:lang w:eastAsia="en-US"/>
              </w:rPr>
            </w:pPr>
            <w:r>
              <w:rPr>
                <w:rStyle w:val="A9"/>
                <w:rFonts w:cs="Times New Roman"/>
                <w:sz w:val="24"/>
                <w:szCs w:val="24"/>
                <w:lang w:eastAsia="en-US"/>
              </w:rPr>
              <w:t>TSO</w:t>
            </w:r>
          </w:p>
        </w:tc>
        <w:tc>
          <w:tcPr>
            <w:tcW w:w="7548" w:type="dxa"/>
            <w:tcBorders>
              <w:top w:val="nil"/>
              <w:left w:val="nil"/>
              <w:bottom w:val="nil"/>
              <w:right w:val="nil"/>
            </w:tcBorders>
          </w:tcPr>
          <w:p w14:paraId="7F37A33F" w14:textId="2CDE15D8" w:rsidR="00E9573A" w:rsidRDefault="00E9573A" w:rsidP="003151A9">
            <w:pPr>
              <w:jc w:val="both"/>
              <w:rPr>
                <w:rStyle w:val="A9"/>
                <w:rFonts w:cs="Times New Roman"/>
                <w:sz w:val="24"/>
                <w:szCs w:val="24"/>
                <w:lang w:eastAsia="en-US"/>
              </w:rPr>
            </w:pPr>
            <w:r>
              <w:rPr>
                <w:rStyle w:val="A9"/>
                <w:rFonts w:cs="Times New Roman"/>
                <w:sz w:val="24"/>
                <w:szCs w:val="24"/>
                <w:lang w:eastAsia="en-US"/>
              </w:rPr>
              <w:t>technické podporné organizácie</w:t>
            </w:r>
            <w:r w:rsidR="00DF1E74">
              <w:rPr>
                <w:rStyle w:val="A9"/>
                <w:rFonts w:cs="Times New Roman"/>
                <w:sz w:val="24"/>
                <w:szCs w:val="24"/>
                <w:lang w:eastAsia="en-US"/>
              </w:rPr>
              <w:t xml:space="preserve">, angl. </w:t>
            </w:r>
            <w:proofErr w:type="spellStart"/>
            <w:r w:rsidR="00DF1E74">
              <w:rPr>
                <w:rStyle w:val="A9"/>
                <w:rFonts w:cs="Times New Roman"/>
                <w:sz w:val="24"/>
                <w:szCs w:val="24"/>
                <w:lang w:eastAsia="en-US"/>
              </w:rPr>
              <w:t>Technical</w:t>
            </w:r>
            <w:proofErr w:type="spellEnd"/>
            <w:r w:rsidR="00DF1E74">
              <w:rPr>
                <w:rStyle w:val="A9"/>
                <w:rFonts w:cs="Times New Roman"/>
                <w:sz w:val="24"/>
                <w:szCs w:val="24"/>
                <w:lang w:eastAsia="en-US"/>
              </w:rPr>
              <w:t xml:space="preserve"> </w:t>
            </w:r>
            <w:proofErr w:type="spellStart"/>
            <w:r w:rsidR="00DF1E74">
              <w:rPr>
                <w:rStyle w:val="A9"/>
                <w:rFonts w:cs="Times New Roman"/>
                <w:sz w:val="24"/>
                <w:szCs w:val="24"/>
                <w:lang w:eastAsia="en-US"/>
              </w:rPr>
              <w:t>Support</w:t>
            </w:r>
            <w:proofErr w:type="spellEnd"/>
            <w:r w:rsidR="00DF1E74">
              <w:rPr>
                <w:rStyle w:val="A9"/>
                <w:rFonts w:cs="Times New Roman"/>
                <w:sz w:val="24"/>
                <w:szCs w:val="24"/>
                <w:lang w:eastAsia="en-US"/>
              </w:rPr>
              <w:t xml:space="preserve"> </w:t>
            </w:r>
            <w:proofErr w:type="spellStart"/>
            <w:r w:rsidR="00DF1E74">
              <w:rPr>
                <w:rStyle w:val="A9"/>
                <w:rFonts w:cs="Times New Roman"/>
                <w:sz w:val="24"/>
                <w:szCs w:val="24"/>
                <w:lang w:eastAsia="en-US"/>
              </w:rPr>
              <w:t>Organisation</w:t>
            </w:r>
            <w:proofErr w:type="spellEnd"/>
          </w:p>
        </w:tc>
      </w:tr>
      <w:tr w:rsidR="00DF49C6" w:rsidRPr="00C13965" w14:paraId="5F18E1C1" w14:textId="77777777" w:rsidTr="00C13A84">
        <w:tc>
          <w:tcPr>
            <w:tcW w:w="2552" w:type="dxa"/>
            <w:tcBorders>
              <w:top w:val="nil"/>
              <w:left w:val="nil"/>
              <w:bottom w:val="nil"/>
              <w:right w:val="nil"/>
            </w:tcBorders>
          </w:tcPr>
          <w:p w14:paraId="6939706C" w14:textId="30EA97D9"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TSÚ RAO</w:t>
            </w:r>
          </w:p>
        </w:tc>
        <w:tc>
          <w:tcPr>
            <w:tcW w:w="7548" w:type="dxa"/>
            <w:tcBorders>
              <w:top w:val="nil"/>
              <w:left w:val="nil"/>
              <w:bottom w:val="nil"/>
              <w:right w:val="nil"/>
            </w:tcBorders>
          </w:tcPr>
          <w:p w14:paraId="5B9ADCE3" w14:textId="71030275" w:rsidR="00DF49C6" w:rsidRPr="00C13965" w:rsidRDefault="007D26CA" w:rsidP="003151A9">
            <w:pPr>
              <w:jc w:val="both"/>
              <w:rPr>
                <w:rStyle w:val="A9"/>
                <w:rFonts w:cs="Times New Roman"/>
                <w:sz w:val="24"/>
                <w:szCs w:val="24"/>
                <w:lang w:eastAsia="en-US"/>
              </w:rPr>
            </w:pPr>
            <w:r>
              <w:rPr>
                <w:rStyle w:val="A9"/>
                <w:rFonts w:cs="Times New Roman"/>
                <w:sz w:val="24"/>
                <w:szCs w:val="24"/>
                <w:lang w:eastAsia="en-US"/>
              </w:rPr>
              <w:t>t</w:t>
            </w:r>
            <w:r w:rsidR="00DF49C6" w:rsidRPr="00C13965">
              <w:rPr>
                <w:rStyle w:val="A9"/>
                <w:rFonts w:cs="Times New Roman"/>
                <w:sz w:val="24"/>
                <w:szCs w:val="24"/>
                <w:lang w:eastAsia="en-US"/>
              </w:rPr>
              <w:t>echnológie na spracovanie a úpravu RAO</w:t>
            </w:r>
          </w:p>
        </w:tc>
      </w:tr>
      <w:tr w:rsidR="00DF49C6" w:rsidRPr="00C13965" w14:paraId="6C1A21B0" w14:textId="77777777" w:rsidTr="00C13A84">
        <w:tc>
          <w:tcPr>
            <w:tcW w:w="2552" w:type="dxa"/>
            <w:tcBorders>
              <w:top w:val="nil"/>
              <w:left w:val="nil"/>
              <w:bottom w:val="nil"/>
              <w:right w:val="nil"/>
            </w:tcBorders>
            <w:hideMark/>
          </w:tcPr>
          <w:p w14:paraId="50CEADDD" w14:textId="39CB6E3F" w:rsidR="00DF49C6" w:rsidRPr="00C13965" w:rsidRDefault="00DF49C6" w:rsidP="003151A9">
            <w:pPr>
              <w:jc w:val="both"/>
              <w:rPr>
                <w:rStyle w:val="A9"/>
                <w:rFonts w:cs="Times New Roman"/>
                <w:sz w:val="24"/>
                <w:szCs w:val="24"/>
              </w:rPr>
            </w:pPr>
            <w:r>
              <w:rPr>
                <w:rStyle w:val="A9"/>
                <w:rFonts w:cs="Times New Roman"/>
                <w:sz w:val="24"/>
                <w:szCs w:val="24"/>
                <w:lang w:eastAsia="en-US"/>
              </w:rPr>
              <w:t>UA</w:t>
            </w:r>
          </w:p>
        </w:tc>
        <w:tc>
          <w:tcPr>
            <w:tcW w:w="7548" w:type="dxa"/>
            <w:tcBorders>
              <w:top w:val="nil"/>
              <w:left w:val="nil"/>
              <w:bottom w:val="nil"/>
              <w:right w:val="nil"/>
            </w:tcBorders>
            <w:hideMark/>
          </w:tcPr>
          <w:p w14:paraId="23F0E8A7" w14:textId="64804D7D" w:rsidR="00DF49C6" w:rsidRPr="00C13965" w:rsidRDefault="00DF49C6" w:rsidP="003151A9">
            <w:pPr>
              <w:jc w:val="both"/>
              <w:rPr>
                <w:rStyle w:val="A9"/>
                <w:rFonts w:cs="Times New Roman"/>
                <w:sz w:val="24"/>
                <w:szCs w:val="24"/>
              </w:rPr>
            </w:pPr>
            <w:r>
              <w:rPr>
                <w:rStyle w:val="A9"/>
                <w:rFonts w:cs="Times New Roman"/>
                <w:sz w:val="24"/>
                <w:szCs w:val="24"/>
                <w:lang w:eastAsia="en-US"/>
              </w:rPr>
              <w:t>Ukrajina</w:t>
            </w:r>
          </w:p>
        </w:tc>
      </w:tr>
      <w:tr w:rsidR="00EA1BAF" w:rsidRPr="00C13965" w14:paraId="1FCA57F7" w14:textId="77777777" w:rsidTr="00C13A84">
        <w:tc>
          <w:tcPr>
            <w:tcW w:w="2552" w:type="dxa"/>
            <w:tcBorders>
              <w:top w:val="nil"/>
              <w:left w:val="nil"/>
              <w:bottom w:val="nil"/>
              <w:right w:val="nil"/>
            </w:tcBorders>
          </w:tcPr>
          <w:p w14:paraId="2F67F2D5" w14:textId="251C8079" w:rsidR="00EA1BAF" w:rsidRDefault="00EA1BAF" w:rsidP="003151A9">
            <w:pPr>
              <w:jc w:val="both"/>
              <w:rPr>
                <w:rStyle w:val="A9"/>
                <w:rFonts w:cs="Times New Roman"/>
                <w:sz w:val="24"/>
                <w:szCs w:val="24"/>
                <w:lang w:eastAsia="en-US"/>
              </w:rPr>
            </w:pPr>
            <w:r>
              <w:rPr>
                <w:rStyle w:val="A9"/>
                <w:rFonts w:cs="Times New Roman"/>
                <w:sz w:val="24"/>
                <w:szCs w:val="24"/>
                <w:lang w:eastAsia="en-US"/>
              </w:rPr>
              <w:t>USA</w:t>
            </w:r>
          </w:p>
        </w:tc>
        <w:tc>
          <w:tcPr>
            <w:tcW w:w="7548" w:type="dxa"/>
            <w:tcBorders>
              <w:top w:val="nil"/>
              <w:left w:val="nil"/>
              <w:bottom w:val="nil"/>
              <w:right w:val="nil"/>
            </w:tcBorders>
          </w:tcPr>
          <w:p w14:paraId="41DB9405" w14:textId="30CDA1EA" w:rsidR="00EA1BAF" w:rsidRDefault="00EA1BAF" w:rsidP="003151A9">
            <w:pPr>
              <w:jc w:val="both"/>
              <w:rPr>
                <w:rStyle w:val="A9"/>
                <w:rFonts w:cs="Times New Roman"/>
                <w:sz w:val="24"/>
                <w:szCs w:val="24"/>
                <w:lang w:eastAsia="en-US"/>
              </w:rPr>
            </w:pPr>
            <w:r>
              <w:rPr>
                <w:rStyle w:val="A9"/>
                <w:rFonts w:cs="Times New Roman"/>
                <w:sz w:val="24"/>
                <w:szCs w:val="24"/>
                <w:lang w:eastAsia="en-US"/>
              </w:rPr>
              <w:t>Spojené štáty americké</w:t>
            </w:r>
          </w:p>
        </w:tc>
      </w:tr>
      <w:tr w:rsidR="00EA1BAF" w:rsidRPr="00C13965" w14:paraId="73DC3084" w14:textId="77777777" w:rsidTr="00C13A84">
        <w:tc>
          <w:tcPr>
            <w:tcW w:w="2552" w:type="dxa"/>
            <w:tcBorders>
              <w:top w:val="nil"/>
              <w:left w:val="nil"/>
              <w:bottom w:val="nil"/>
              <w:right w:val="nil"/>
            </w:tcBorders>
          </w:tcPr>
          <w:p w14:paraId="62811B93" w14:textId="1B50A31F" w:rsidR="00EA1BAF" w:rsidRDefault="00EA1BAF" w:rsidP="003151A9">
            <w:pPr>
              <w:jc w:val="both"/>
              <w:rPr>
                <w:rStyle w:val="A9"/>
                <w:rFonts w:cs="Times New Roman"/>
                <w:sz w:val="24"/>
                <w:szCs w:val="24"/>
                <w:lang w:eastAsia="en-US"/>
              </w:rPr>
            </w:pPr>
            <w:r>
              <w:rPr>
                <w:rStyle w:val="A9"/>
                <w:rFonts w:cs="Times New Roman"/>
                <w:sz w:val="24"/>
                <w:szCs w:val="24"/>
                <w:lang w:eastAsia="en-US"/>
              </w:rPr>
              <w:t>US NRC</w:t>
            </w:r>
          </w:p>
        </w:tc>
        <w:tc>
          <w:tcPr>
            <w:tcW w:w="7548" w:type="dxa"/>
            <w:tcBorders>
              <w:top w:val="nil"/>
              <w:left w:val="nil"/>
              <w:bottom w:val="nil"/>
              <w:right w:val="nil"/>
            </w:tcBorders>
          </w:tcPr>
          <w:p w14:paraId="0E0BC048" w14:textId="10C529B7" w:rsidR="00EA1BAF" w:rsidRDefault="00EA1BAF" w:rsidP="003151A9">
            <w:pPr>
              <w:jc w:val="both"/>
              <w:rPr>
                <w:rStyle w:val="A9"/>
                <w:rFonts w:cs="Times New Roman"/>
                <w:sz w:val="24"/>
                <w:szCs w:val="24"/>
                <w:lang w:eastAsia="en-US"/>
              </w:rPr>
            </w:pPr>
            <w:r>
              <w:rPr>
                <w:rStyle w:val="A9"/>
                <w:rFonts w:cs="Times New Roman"/>
                <w:sz w:val="24"/>
                <w:szCs w:val="24"/>
                <w:lang w:eastAsia="en-US"/>
              </w:rPr>
              <w:t>americký</w:t>
            </w:r>
            <w:r w:rsidRPr="00EA1BAF">
              <w:rPr>
                <w:rStyle w:val="A9"/>
                <w:rFonts w:cs="Times New Roman"/>
                <w:sz w:val="24"/>
                <w:szCs w:val="24"/>
                <w:lang w:eastAsia="en-US"/>
              </w:rPr>
              <w:t xml:space="preserve"> dozorný orgán nad jadrovou bezpečnosťou</w:t>
            </w:r>
            <w:r>
              <w:rPr>
                <w:rStyle w:val="A9"/>
                <w:rFonts w:cs="Times New Roman"/>
                <w:sz w:val="24"/>
                <w:szCs w:val="24"/>
                <w:lang w:eastAsia="en-US"/>
              </w:rPr>
              <w:t xml:space="preserve">, angl. </w:t>
            </w:r>
            <w:proofErr w:type="spellStart"/>
            <w:r w:rsidRPr="00EA1BAF">
              <w:rPr>
                <w:rStyle w:val="A9"/>
                <w:rFonts w:cs="Times New Roman"/>
                <w:sz w:val="24"/>
                <w:szCs w:val="24"/>
                <w:lang w:eastAsia="en-US"/>
              </w:rPr>
              <w:t>Nuclear</w:t>
            </w:r>
            <w:proofErr w:type="spellEnd"/>
            <w:r w:rsidRPr="00EA1BAF">
              <w:rPr>
                <w:rStyle w:val="A9"/>
                <w:rFonts w:cs="Times New Roman"/>
                <w:sz w:val="24"/>
                <w:szCs w:val="24"/>
                <w:lang w:eastAsia="en-US"/>
              </w:rPr>
              <w:t xml:space="preserve"> </w:t>
            </w:r>
            <w:proofErr w:type="spellStart"/>
            <w:r w:rsidRPr="00EA1BAF">
              <w:rPr>
                <w:rStyle w:val="A9"/>
                <w:rFonts w:cs="Times New Roman"/>
                <w:sz w:val="24"/>
                <w:szCs w:val="24"/>
                <w:lang w:eastAsia="en-US"/>
              </w:rPr>
              <w:t>Regulatory</w:t>
            </w:r>
            <w:proofErr w:type="spellEnd"/>
            <w:r w:rsidRPr="00EA1BAF">
              <w:rPr>
                <w:rStyle w:val="A9"/>
                <w:rFonts w:cs="Times New Roman"/>
                <w:sz w:val="24"/>
                <w:szCs w:val="24"/>
                <w:lang w:eastAsia="en-US"/>
              </w:rPr>
              <w:t xml:space="preserve"> </w:t>
            </w:r>
            <w:proofErr w:type="spellStart"/>
            <w:r w:rsidRPr="00EA1BAF">
              <w:rPr>
                <w:rStyle w:val="A9"/>
                <w:rFonts w:cs="Times New Roman"/>
                <w:sz w:val="24"/>
                <w:szCs w:val="24"/>
                <w:lang w:eastAsia="en-US"/>
              </w:rPr>
              <w:t>Commission</w:t>
            </w:r>
            <w:proofErr w:type="spellEnd"/>
          </w:p>
        </w:tc>
      </w:tr>
      <w:tr w:rsidR="00DF49C6" w:rsidRPr="00C13965" w14:paraId="7D56CCC9" w14:textId="77777777" w:rsidTr="00C13A84">
        <w:tc>
          <w:tcPr>
            <w:tcW w:w="2552" w:type="dxa"/>
            <w:tcBorders>
              <w:top w:val="nil"/>
              <w:left w:val="nil"/>
              <w:bottom w:val="nil"/>
              <w:right w:val="nil"/>
            </w:tcBorders>
          </w:tcPr>
          <w:p w14:paraId="46C05440" w14:textId="3F47E51D"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ÚJD</w:t>
            </w:r>
            <w:r>
              <w:rPr>
                <w:rStyle w:val="A9"/>
                <w:rFonts w:cs="Times New Roman"/>
                <w:sz w:val="24"/>
                <w:szCs w:val="24"/>
                <w:lang w:eastAsia="en-US"/>
              </w:rPr>
              <w:t> </w:t>
            </w:r>
            <w:r w:rsidRPr="00C13965">
              <w:rPr>
                <w:rStyle w:val="A9"/>
                <w:rFonts w:cs="Times New Roman"/>
                <w:sz w:val="24"/>
                <w:szCs w:val="24"/>
                <w:lang w:eastAsia="en-US"/>
              </w:rPr>
              <w:t>SR, úrad</w:t>
            </w:r>
          </w:p>
        </w:tc>
        <w:tc>
          <w:tcPr>
            <w:tcW w:w="7548" w:type="dxa"/>
            <w:tcBorders>
              <w:top w:val="nil"/>
              <w:left w:val="nil"/>
              <w:bottom w:val="nil"/>
              <w:right w:val="nil"/>
            </w:tcBorders>
          </w:tcPr>
          <w:p w14:paraId="5B6CF098" w14:textId="00910D6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Úrad jadrového dozoru S</w:t>
            </w:r>
            <w:r w:rsidR="001F1710">
              <w:rPr>
                <w:rStyle w:val="A9"/>
                <w:rFonts w:cs="Times New Roman"/>
                <w:sz w:val="24"/>
                <w:szCs w:val="24"/>
                <w:lang w:eastAsia="en-US"/>
              </w:rPr>
              <w:t>lovenskej republiky</w:t>
            </w:r>
          </w:p>
        </w:tc>
      </w:tr>
      <w:tr w:rsidR="004C5C2F" w:rsidRPr="00C13965" w14:paraId="24863757" w14:textId="77777777" w:rsidTr="00C13A84">
        <w:tc>
          <w:tcPr>
            <w:tcW w:w="2552" w:type="dxa"/>
            <w:tcBorders>
              <w:top w:val="nil"/>
              <w:left w:val="nil"/>
              <w:bottom w:val="nil"/>
              <w:right w:val="nil"/>
            </w:tcBorders>
          </w:tcPr>
          <w:p w14:paraId="6BD28B9B" w14:textId="28B26D81" w:rsidR="004C5C2F" w:rsidRPr="00C13965" w:rsidRDefault="004C5C2F" w:rsidP="003151A9">
            <w:pPr>
              <w:jc w:val="both"/>
              <w:rPr>
                <w:rStyle w:val="A9"/>
                <w:rFonts w:cs="Times New Roman"/>
                <w:sz w:val="24"/>
                <w:szCs w:val="24"/>
                <w:lang w:eastAsia="en-US"/>
              </w:rPr>
            </w:pPr>
            <w:r>
              <w:rPr>
                <w:rStyle w:val="A9"/>
                <w:rFonts w:cs="Times New Roman"/>
                <w:sz w:val="24"/>
                <w:szCs w:val="24"/>
                <w:lang w:eastAsia="en-US"/>
              </w:rPr>
              <w:t xml:space="preserve">ÚJV </w:t>
            </w:r>
          </w:p>
        </w:tc>
        <w:tc>
          <w:tcPr>
            <w:tcW w:w="7548" w:type="dxa"/>
            <w:tcBorders>
              <w:top w:val="nil"/>
              <w:left w:val="nil"/>
              <w:bottom w:val="nil"/>
              <w:right w:val="nil"/>
            </w:tcBorders>
          </w:tcPr>
          <w:p w14:paraId="0742B0D3" w14:textId="7D0F4CA9" w:rsidR="004C5C2F" w:rsidRPr="00C13965" w:rsidRDefault="004C5C2F" w:rsidP="003151A9">
            <w:pPr>
              <w:jc w:val="both"/>
              <w:rPr>
                <w:rStyle w:val="A9"/>
                <w:rFonts w:cs="Times New Roman"/>
                <w:sz w:val="24"/>
                <w:szCs w:val="24"/>
                <w:lang w:eastAsia="en-US"/>
              </w:rPr>
            </w:pPr>
            <w:r>
              <w:rPr>
                <w:rStyle w:val="A9"/>
                <w:rFonts w:cs="Times New Roman"/>
                <w:sz w:val="24"/>
                <w:szCs w:val="24"/>
                <w:lang w:eastAsia="en-US"/>
              </w:rPr>
              <w:t>Ústav jadrového výskumu v Českej republike</w:t>
            </w:r>
          </w:p>
        </w:tc>
      </w:tr>
      <w:tr w:rsidR="00FF18A1" w:rsidRPr="00C13965" w14:paraId="4541DE6C" w14:textId="77777777" w:rsidTr="00C13A84">
        <w:tc>
          <w:tcPr>
            <w:tcW w:w="2552" w:type="dxa"/>
            <w:tcBorders>
              <w:top w:val="nil"/>
              <w:left w:val="nil"/>
              <w:bottom w:val="nil"/>
              <w:right w:val="nil"/>
            </w:tcBorders>
          </w:tcPr>
          <w:p w14:paraId="103A7643" w14:textId="57F214F8" w:rsidR="00FF18A1" w:rsidRDefault="00FF18A1" w:rsidP="003151A9">
            <w:pPr>
              <w:jc w:val="both"/>
              <w:rPr>
                <w:rStyle w:val="A9"/>
                <w:rFonts w:cs="Times New Roman"/>
                <w:sz w:val="24"/>
                <w:szCs w:val="24"/>
                <w:lang w:eastAsia="en-US"/>
              </w:rPr>
            </w:pPr>
            <w:r>
              <w:rPr>
                <w:rStyle w:val="A9"/>
                <w:rFonts w:cs="Times New Roman"/>
                <w:sz w:val="24"/>
                <w:szCs w:val="24"/>
                <w:lang w:eastAsia="en-US"/>
              </w:rPr>
              <w:t>Ú</w:t>
            </w:r>
            <w:r>
              <w:rPr>
                <w:rStyle w:val="A9"/>
                <w:rFonts w:cs="Times New Roman"/>
                <w:sz w:val="24"/>
                <w:szCs w:val="24"/>
              </w:rPr>
              <w:t>VZ SR</w:t>
            </w:r>
          </w:p>
        </w:tc>
        <w:tc>
          <w:tcPr>
            <w:tcW w:w="7548" w:type="dxa"/>
            <w:tcBorders>
              <w:top w:val="nil"/>
              <w:left w:val="nil"/>
              <w:bottom w:val="nil"/>
              <w:right w:val="nil"/>
            </w:tcBorders>
          </w:tcPr>
          <w:p w14:paraId="2DD7A781" w14:textId="2F1513B8" w:rsidR="00FF18A1" w:rsidRDefault="00FF18A1" w:rsidP="003151A9">
            <w:pPr>
              <w:jc w:val="both"/>
              <w:rPr>
                <w:rStyle w:val="A9"/>
                <w:rFonts w:cs="Times New Roman"/>
                <w:sz w:val="24"/>
                <w:szCs w:val="24"/>
                <w:lang w:eastAsia="en-US"/>
              </w:rPr>
            </w:pPr>
            <w:r>
              <w:rPr>
                <w:rStyle w:val="A9"/>
                <w:rFonts w:cs="Times New Roman"/>
                <w:sz w:val="24"/>
                <w:szCs w:val="24"/>
                <w:lang w:eastAsia="en-US"/>
              </w:rPr>
              <w:t>Úrad verejného zdravotníctva Slovenskej republiky</w:t>
            </w:r>
          </w:p>
        </w:tc>
      </w:tr>
      <w:tr w:rsidR="00DF49C6" w:rsidRPr="00C13965" w14:paraId="3F15A867" w14:textId="77777777" w:rsidTr="00C13A84">
        <w:tc>
          <w:tcPr>
            <w:tcW w:w="2552" w:type="dxa"/>
            <w:tcBorders>
              <w:top w:val="nil"/>
              <w:left w:val="nil"/>
              <w:bottom w:val="nil"/>
              <w:right w:val="nil"/>
            </w:tcBorders>
          </w:tcPr>
          <w:p w14:paraId="64BF823F" w14:textId="20B522B7"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VBK</w:t>
            </w:r>
          </w:p>
        </w:tc>
        <w:tc>
          <w:tcPr>
            <w:tcW w:w="7548" w:type="dxa"/>
            <w:tcBorders>
              <w:top w:val="nil"/>
              <w:left w:val="nil"/>
              <w:bottom w:val="nil"/>
              <w:right w:val="nil"/>
            </w:tcBorders>
          </w:tcPr>
          <w:p w14:paraId="21F49570" w14:textId="35348C38" w:rsidR="00DF49C6" w:rsidRPr="00C13965" w:rsidRDefault="00DF49C6" w:rsidP="003151A9">
            <w:pPr>
              <w:jc w:val="both"/>
              <w:rPr>
                <w:rStyle w:val="A9"/>
                <w:rFonts w:cs="Times New Roman"/>
                <w:sz w:val="24"/>
                <w:szCs w:val="24"/>
                <w:lang w:eastAsia="en-US"/>
              </w:rPr>
            </w:pPr>
            <w:proofErr w:type="spellStart"/>
            <w:r w:rsidRPr="00C13965">
              <w:rPr>
                <w:rStyle w:val="A9"/>
                <w:rFonts w:cs="Times New Roman"/>
                <w:sz w:val="24"/>
                <w:szCs w:val="24"/>
                <w:lang w:eastAsia="en-US"/>
              </w:rPr>
              <w:t>vláknobetónový</w:t>
            </w:r>
            <w:proofErr w:type="spellEnd"/>
            <w:r w:rsidRPr="00C13965">
              <w:rPr>
                <w:rStyle w:val="A9"/>
                <w:rFonts w:cs="Times New Roman"/>
                <w:sz w:val="24"/>
                <w:szCs w:val="24"/>
                <w:lang w:eastAsia="en-US"/>
              </w:rPr>
              <w:t xml:space="preserve"> kontajner</w:t>
            </w:r>
          </w:p>
        </w:tc>
      </w:tr>
      <w:tr w:rsidR="00DF49C6" w:rsidRPr="00C13965" w14:paraId="530D3D4F" w14:textId="77777777" w:rsidTr="00C13A84">
        <w:tc>
          <w:tcPr>
            <w:tcW w:w="2552" w:type="dxa"/>
            <w:tcBorders>
              <w:top w:val="nil"/>
              <w:left w:val="nil"/>
              <w:bottom w:val="nil"/>
              <w:right w:val="nil"/>
            </w:tcBorders>
            <w:hideMark/>
          </w:tcPr>
          <w:p w14:paraId="2F6FA057" w14:textId="1BA950C3"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VJP</w:t>
            </w:r>
          </w:p>
        </w:tc>
        <w:tc>
          <w:tcPr>
            <w:tcW w:w="7548" w:type="dxa"/>
            <w:tcBorders>
              <w:top w:val="nil"/>
              <w:left w:val="nil"/>
              <w:bottom w:val="nil"/>
              <w:right w:val="nil"/>
            </w:tcBorders>
            <w:hideMark/>
          </w:tcPr>
          <w:p w14:paraId="686703E4" w14:textId="1BBD1131"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vyhoreté jadrové palivo</w:t>
            </w:r>
          </w:p>
        </w:tc>
      </w:tr>
      <w:tr w:rsidR="00DF49C6" w:rsidRPr="00C13965" w14:paraId="4DD608FB" w14:textId="77777777" w:rsidTr="00C13A84">
        <w:tc>
          <w:tcPr>
            <w:tcW w:w="2552" w:type="dxa"/>
            <w:tcBorders>
              <w:top w:val="nil"/>
              <w:left w:val="nil"/>
              <w:bottom w:val="nil"/>
              <w:right w:val="nil"/>
            </w:tcBorders>
            <w:hideMark/>
          </w:tcPr>
          <w:p w14:paraId="3DF5E6BA" w14:textId="7B75FA1E"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VNRAO</w:t>
            </w:r>
          </w:p>
        </w:tc>
        <w:tc>
          <w:tcPr>
            <w:tcW w:w="7548" w:type="dxa"/>
            <w:tcBorders>
              <w:top w:val="nil"/>
              <w:left w:val="nil"/>
              <w:bottom w:val="nil"/>
              <w:right w:val="nil"/>
            </w:tcBorders>
            <w:hideMark/>
          </w:tcPr>
          <w:p w14:paraId="1DA13E0C" w14:textId="1A702DA3"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veľmi nízkoaktívne rádioaktívne odpady</w:t>
            </w:r>
          </w:p>
        </w:tc>
      </w:tr>
      <w:tr w:rsidR="00DF49C6" w:rsidRPr="00C13965" w14:paraId="71D1B14B" w14:textId="77777777" w:rsidTr="00C13A84">
        <w:tc>
          <w:tcPr>
            <w:tcW w:w="2552" w:type="dxa"/>
            <w:tcBorders>
              <w:top w:val="nil"/>
              <w:left w:val="nil"/>
              <w:bottom w:val="nil"/>
              <w:right w:val="nil"/>
            </w:tcBorders>
            <w:hideMark/>
          </w:tcPr>
          <w:p w14:paraId="27236EFC" w14:textId="23E0A83F" w:rsidR="00DF49C6" w:rsidRPr="00C13965" w:rsidRDefault="00DF49C6" w:rsidP="003151A9">
            <w:pPr>
              <w:jc w:val="both"/>
              <w:rPr>
                <w:rStyle w:val="A9"/>
                <w:rFonts w:cs="Times New Roman"/>
                <w:sz w:val="24"/>
                <w:szCs w:val="24"/>
              </w:rPr>
            </w:pPr>
            <w:r>
              <w:rPr>
                <w:rStyle w:val="A9"/>
                <w:rFonts w:cs="Times New Roman"/>
                <w:sz w:val="24"/>
                <w:szCs w:val="24"/>
                <w:lang w:eastAsia="en-US"/>
              </w:rPr>
              <w:t>V</w:t>
            </w:r>
            <w:r>
              <w:rPr>
                <w:rStyle w:val="A9"/>
                <w:rFonts w:cs="Times New Roman"/>
                <w:sz w:val="24"/>
                <w:szCs w:val="24"/>
              </w:rPr>
              <w:t>T</w:t>
            </w:r>
          </w:p>
        </w:tc>
        <w:tc>
          <w:tcPr>
            <w:tcW w:w="7548" w:type="dxa"/>
            <w:tcBorders>
              <w:top w:val="nil"/>
              <w:left w:val="nil"/>
              <w:bottom w:val="nil"/>
              <w:right w:val="nil"/>
            </w:tcBorders>
            <w:hideMark/>
          </w:tcPr>
          <w:p w14:paraId="15657F4F" w14:textId="1DACDDA5" w:rsidR="00DF49C6" w:rsidRPr="00C13965" w:rsidRDefault="00DF49C6" w:rsidP="003151A9">
            <w:pPr>
              <w:jc w:val="both"/>
              <w:rPr>
                <w:rStyle w:val="A9"/>
                <w:rFonts w:cs="Times New Roman"/>
                <w:sz w:val="24"/>
                <w:szCs w:val="24"/>
              </w:rPr>
            </w:pPr>
            <w:proofErr w:type="spellStart"/>
            <w:r w:rsidRPr="00A408BF">
              <w:rPr>
                <w:color w:val="000000" w:themeColor="text1"/>
                <w:szCs w:val="24"/>
              </w:rPr>
              <w:t>vysokotlaké</w:t>
            </w:r>
            <w:proofErr w:type="spellEnd"/>
            <w:r w:rsidRPr="00A408BF">
              <w:rPr>
                <w:color w:val="000000" w:themeColor="text1"/>
                <w:szCs w:val="24"/>
              </w:rPr>
              <w:t xml:space="preserve"> havarijné doplňovani</w:t>
            </w:r>
            <w:r>
              <w:rPr>
                <w:color w:val="000000" w:themeColor="text1"/>
                <w:szCs w:val="24"/>
              </w:rPr>
              <w:t>e</w:t>
            </w:r>
          </w:p>
        </w:tc>
      </w:tr>
      <w:tr w:rsidR="00DF49C6" w:rsidRPr="00C13965" w14:paraId="319184B3" w14:textId="77777777" w:rsidTr="00C13A84">
        <w:tc>
          <w:tcPr>
            <w:tcW w:w="2552" w:type="dxa"/>
            <w:tcBorders>
              <w:top w:val="nil"/>
              <w:left w:val="nil"/>
              <w:bottom w:val="nil"/>
              <w:right w:val="nil"/>
            </w:tcBorders>
          </w:tcPr>
          <w:p w14:paraId="3A52648B" w14:textId="5801D34C" w:rsidR="00DF49C6" w:rsidRPr="000465E1" w:rsidRDefault="00DF49C6" w:rsidP="003151A9">
            <w:pPr>
              <w:jc w:val="both"/>
              <w:rPr>
                <w:rStyle w:val="A9"/>
                <w:rFonts w:cs="Times New Roman"/>
                <w:sz w:val="24"/>
                <w:szCs w:val="24"/>
                <w:lang w:eastAsia="en-US"/>
              </w:rPr>
            </w:pPr>
            <w:r w:rsidRPr="000465E1">
              <w:rPr>
                <w:rStyle w:val="A9"/>
                <w:rFonts w:cs="Times New Roman"/>
                <w:sz w:val="24"/>
                <w:szCs w:val="24"/>
                <w:lang w:eastAsia="en-US"/>
              </w:rPr>
              <w:t>VUJE, a. s.</w:t>
            </w:r>
          </w:p>
        </w:tc>
        <w:tc>
          <w:tcPr>
            <w:tcW w:w="7548" w:type="dxa"/>
            <w:tcBorders>
              <w:top w:val="nil"/>
              <w:left w:val="nil"/>
              <w:bottom w:val="nil"/>
              <w:right w:val="nil"/>
            </w:tcBorders>
          </w:tcPr>
          <w:p w14:paraId="05E80842" w14:textId="6B7A9E16" w:rsidR="00DF49C6" w:rsidRPr="000465E1" w:rsidRDefault="00DF49C6" w:rsidP="003151A9">
            <w:pPr>
              <w:jc w:val="both"/>
              <w:rPr>
                <w:rStyle w:val="A9"/>
                <w:rFonts w:cs="Times New Roman"/>
                <w:sz w:val="24"/>
                <w:szCs w:val="24"/>
                <w:lang w:eastAsia="en-US"/>
              </w:rPr>
            </w:pPr>
            <w:r w:rsidRPr="000465E1">
              <w:rPr>
                <w:rStyle w:val="A9"/>
                <w:rFonts w:cs="Times New Roman"/>
                <w:sz w:val="24"/>
                <w:szCs w:val="24"/>
                <w:lang w:eastAsia="en-US"/>
              </w:rPr>
              <w:t>VUJE, a. s., Trnava – inžinierska, projektová a výskumná organizácia</w:t>
            </w:r>
          </w:p>
        </w:tc>
      </w:tr>
      <w:tr w:rsidR="00DF49C6" w:rsidRPr="00C13965" w14:paraId="7E449320" w14:textId="77777777" w:rsidTr="00C13A84">
        <w:tc>
          <w:tcPr>
            <w:tcW w:w="2552" w:type="dxa"/>
            <w:tcBorders>
              <w:top w:val="nil"/>
              <w:left w:val="nil"/>
              <w:bottom w:val="nil"/>
              <w:right w:val="nil"/>
            </w:tcBorders>
          </w:tcPr>
          <w:p w14:paraId="6A7A8510" w14:textId="2293AF32"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VZ</w:t>
            </w:r>
          </w:p>
        </w:tc>
        <w:tc>
          <w:tcPr>
            <w:tcW w:w="7548" w:type="dxa"/>
            <w:tcBorders>
              <w:top w:val="nil"/>
              <w:left w:val="nil"/>
              <w:bottom w:val="nil"/>
              <w:right w:val="nil"/>
            </w:tcBorders>
          </w:tcPr>
          <w:p w14:paraId="794F9CF0" w14:textId="325E1CEE"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vybrané zariadenia</w:t>
            </w:r>
          </w:p>
        </w:tc>
      </w:tr>
      <w:tr w:rsidR="001F1710" w:rsidRPr="00C13965" w14:paraId="674D9CA1" w14:textId="77777777" w:rsidTr="00C13A84">
        <w:tc>
          <w:tcPr>
            <w:tcW w:w="2552" w:type="dxa"/>
            <w:tcBorders>
              <w:top w:val="nil"/>
              <w:left w:val="nil"/>
              <w:bottom w:val="nil"/>
              <w:right w:val="nil"/>
            </w:tcBorders>
          </w:tcPr>
          <w:p w14:paraId="3C3B32EB" w14:textId="6C37F918" w:rsidR="001F1710" w:rsidRPr="00C13965" w:rsidRDefault="001F1710" w:rsidP="003151A9">
            <w:pPr>
              <w:jc w:val="both"/>
              <w:rPr>
                <w:rStyle w:val="A9"/>
                <w:rFonts w:cs="Times New Roman"/>
                <w:sz w:val="24"/>
                <w:szCs w:val="24"/>
                <w:lang w:eastAsia="en-US"/>
              </w:rPr>
            </w:pPr>
            <w:r>
              <w:rPr>
                <w:rStyle w:val="A9"/>
                <w:rFonts w:cs="Times New Roman"/>
                <w:sz w:val="24"/>
                <w:szCs w:val="24"/>
                <w:lang w:eastAsia="en-US"/>
              </w:rPr>
              <w:t>V</w:t>
            </w:r>
            <w:r>
              <w:rPr>
                <w:rStyle w:val="A9"/>
                <w:rFonts w:cs="Times New Roman"/>
                <w:sz w:val="24"/>
              </w:rPr>
              <w:t>ZT</w:t>
            </w:r>
          </w:p>
        </w:tc>
        <w:tc>
          <w:tcPr>
            <w:tcW w:w="7548" w:type="dxa"/>
            <w:tcBorders>
              <w:top w:val="nil"/>
              <w:left w:val="nil"/>
              <w:bottom w:val="nil"/>
              <w:right w:val="nil"/>
            </w:tcBorders>
          </w:tcPr>
          <w:p w14:paraId="461D2628" w14:textId="51BEC5FE" w:rsidR="001F1710" w:rsidRPr="00C13965" w:rsidRDefault="00C37665" w:rsidP="003151A9">
            <w:pPr>
              <w:jc w:val="both"/>
              <w:rPr>
                <w:rStyle w:val="A9"/>
                <w:rFonts w:cs="Times New Roman"/>
                <w:sz w:val="24"/>
                <w:szCs w:val="24"/>
                <w:lang w:eastAsia="en-US"/>
              </w:rPr>
            </w:pPr>
            <w:r>
              <w:rPr>
                <w:rStyle w:val="A9"/>
                <w:rFonts w:cs="Times New Roman"/>
                <w:sz w:val="24"/>
                <w:szCs w:val="24"/>
                <w:lang w:eastAsia="en-US"/>
              </w:rPr>
              <w:t>v</w:t>
            </w:r>
            <w:r w:rsidR="001F1710">
              <w:rPr>
                <w:rStyle w:val="A9"/>
                <w:rFonts w:cs="Times New Roman"/>
                <w:sz w:val="24"/>
              </w:rPr>
              <w:t>zduchotechnika</w:t>
            </w:r>
          </w:p>
        </w:tc>
      </w:tr>
      <w:tr w:rsidR="001F1710" w:rsidRPr="00C13965" w14:paraId="52508155" w14:textId="77777777" w:rsidTr="00C13A84">
        <w:tc>
          <w:tcPr>
            <w:tcW w:w="2552" w:type="dxa"/>
            <w:tcBorders>
              <w:top w:val="nil"/>
              <w:left w:val="nil"/>
              <w:bottom w:val="nil"/>
              <w:right w:val="nil"/>
            </w:tcBorders>
          </w:tcPr>
          <w:p w14:paraId="450D07F2" w14:textId="324DDC16" w:rsidR="001F1710" w:rsidRDefault="001F1710" w:rsidP="003151A9">
            <w:pPr>
              <w:jc w:val="both"/>
              <w:rPr>
                <w:rStyle w:val="A9"/>
                <w:rFonts w:cs="Times New Roman"/>
                <w:sz w:val="24"/>
                <w:szCs w:val="24"/>
                <w:lang w:eastAsia="en-US"/>
              </w:rPr>
            </w:pPr>
            <w:r>
              <w:rPr>
                <w:rStyle w:val="A9"/>
                <w:rFonts w:cs="Times New Roman"/>
                <w:sz w:val="24"/>
                <w:szCs w:val="24"/>
                <w:lang w:eastAsia="en-US"/>
              </w:rPr>
              <w:t>WENRA</w:t>
            </w:r>
          </w:p>
        </w:tc>
        <w:tc>
          <w:tcPr>
            <w:tcW w:w="7548" w:type="dxa"/>
            <w:tcBorders>
              <w:top w:val="nil"/>
              <w:left w:val="nil"/>
              <w:bottom w:val="nil"/>
              <w:right w:val="nil"/>
            </w:tcBorders>
          </w:tcPr>
          <w:p w14:paraId="1FF698CC" w14:textId="12AE360B" w:rsidR="001F1710" w:rsidRDefault="00554679" w:rsidP="003151A9">
            <w:pPr>
              <w:jc w:val="both"/>
              <w:rPr>
                <w:rStyle w:val="A9"/>
                <w:rFonts w:cs="Times New Roman"/>
                <w:sz w:val="24"/>
                <w:szCs w:val="24"/>
                <w:lang w:eastAsia="en-US"/>
              </w:rPr>
            </w:pPr>
            <w:r>
              <w:rPr>
                <w:rStyle w:val="A9"/>
                <w:rFonts w:cs="Times New Roman"/>
                <w:sz w:val="24"/>
                <w:szCs w:val="24"/>
                <w:lang w:eastAsia="en-US"/>
              </w:rPr>
              <w:t>Z</w:t>
            </w:r>
            <w:r w:rsidRPr="00554679">
              <w:rPr>
                <w:rStyle w:val="A9"/>
                <w:rFonts w:cs="Times New Roman"/>
                <w:sz w:val="24"/>
                <w:szCs w:val="24"/>
                <w:lang w:eastAsia="en-US"/>
              </w:rPr>
              <w:t>druženie európskych národných jadrových dozorov</w:t>
            </w:r>
            <w:r w:rsidR="00DF1E74">
              <w:rPr>
                <w:rStyle w:val="A9"/>
                <w:rFonts w:cs="Times New Roman"/>
                <w:sz w:val="24"/>
                <w:szCs w:val="24"/>
                <w:lang w:eastAsia="en-US"/>
              </w:rPr>
              <w:t xml:space="preserve">, angl. </w:t>
            </w:r>
            <w:r w:rsidR="00DF1E74" w:rsidRPr="00DF1E74">
              <w:rPr>
                <w:rStyle w:val="A9"/>
                <w:rFonts w:cs="Times New Roman"/>
                <w:sz w:val="24"/>
                <w:szCs w:val="24"/>
                <w:lang w:eastAsia="en-US"/>
              </w:rPr>
              <w:t xml:space="preserve">Western </w:t>
            </w:r>
            <w:proofErr w:type="spellStart"/>
            <w:r w:rsidR="00DF1E74" w:rsidRPr="00DF1E74">
              <w:rPr>
                <w:rStyle w:val="A9"/>
                <w:rFonts w:cs="Times New Roman"/>
                <w:sz w:val="24"/>
                <w:szCs w:val="24"/>
                <w:lang w:eastAsia="en-US"/>
              </w:rPr>
              <w:t>European</w:t>
            </w:r>
            <w:proofErr w:type="spellEnd"/>
            <w:r w:rsidR="00DF1E74" w:rsidRPr="00DF1E74">
              <w:rPr>
                <w:rStyle w:val="A9"/>
                <w:rFonts w:cs="Times New Roman"/>
                <w:sz w:val="24"/>
                <w:szCs w:val="24"/>
                <w:lang w:eastAsia="en-US"/>
              </w:rPr>
              <w:t xml:space="preserve"> </w:t>
            </w:r>
            <w:proofErr w:type="spellStart"/>
            <w:r w:rsidR="00DF1E74" w:rsidRPr="00DF1E74">
              <w:rPr>
                <w:rStyle w:val="A9"/>
                <w:rFonts w:cs="Times New Roman"/>
                <w:sz w:val="24"/>
                <w:szCs w:val="24"/>
                <w:lang w:eastAsia="en-US"/>
              </w:rPr>
              <w:t>Nuclear</w:t>
            </w:r>
            <w:proofErr w:type="spellEnd"/>
            <w:r w:rsidR="00DF1E74" w:rsidRPr="00DF1E74">
              <w:rPr>
                <w:rStyle w:val="A9"/>
                <w:rFonts w:cs="Times New Roman"/>
                <w:sz w:val="24"/>
                <w:szCs w:val="24"/>
                <w:lang w:eastAsia="en-US"/>
              </w:rPr>
              <w:t xml:space="preserve"> </w:t>
            </w:r>
            <w:proofErr w:type="spellStart"/>
            <w:r w:rsidR="00DF1E74" w:rsidRPr="00DF1E74">
              <w:rPr>
                <w:rStyle w:val="A9"/>
                <w:rFonts w:cs="Times New Roman"/>
                <w:sz w:val="24"/>
                <w:szCs w:val="24"/>
                <w:lang w:eastAsia="en-US"/>
              </w:rPr>
              <w:t>Regulators</w:t>
            </w:r>
            <w:proofErr w:type="spellEnd"/>
            <w:r w:rsidR="00DF1E74" w:rsidRPr="00DF1E74">
              <w:rPr>
                <w:rStyle w:val="A9"/>
                <w:rFonts w:cs="Times New Roman"/>
                <w:sz w:val="24"/>
                <w:szCs w:val="24"/>
                <w:lang w:eastAsia="en-US"/>
              </w:rPr>
              <w:t>' Association</w:t>
            </w:r>
          </w:p>
        </w:tc>
      </w:tr>
      <w:tr w:rsidR="006B192E" w:rsidRPr="00C13965" w14:paraId="05382083" w14:textId="77777777" w:rsidTr="00C13A84">
        <w:tc>
          <w:tcPr>
            <w:tcW w:w="2552" w:type="dxa"/>
            <w:tcBorders>
              <w:top w:val="nil"/>
              <w:left w:val="nil"/>
              <w:bottom w:val="nil"/>
              <w:right w:val="nil"/>
            </w:tcBorders>
          </w:tcPr>
          <w:p w14:paraId="579D5245" w14:textId="5149F803" w:rsidR="006B192E" w:rsidRDefault="006B192E" w:rsidP="003151A9">
            <w:pPr>
              <w:jc w:val="both"/>
              <w:rPr>
                <w:rStyle w:val="A9"/>
                <w:rFonts w:cs="Times New Roman"/>
                <w:sz w:val="24"/>
                <w:szCs w:val="24"/>
                <w:lang w:eastAsia="en-US"/>
              </w:rPr>
            </w:pPr>
            <w:r>
              <w:rPr>
                <w:rStyle w:val="A9"/>
                <w:rFonts w:cs="Times New Roman"/>
                <w:sz w:val="24"/>
                <w:szCs w:val="24"/>
                <w:lang w:eastAsia="en-US"/>
              </w:rPr>
              <w:t>WGAMA</w:t>
            </w:r>
          </w:p>
        </w:tc>
        <w:tc>
          <w:tcPr>
            <w:tcW w:w="7548" w:type="dxa"/>
            <w:tcBorders>
              <w:top w:val="nil"/>
              <w:left w:val="nil"/>
              <w:bottom w:val="nil"/>
              <w:right w:val="nil"/>
            </w:tcBorders>
          </w:tcPr>
          <w:p w14:paraId="496A11C2" w14:textId="5370A668" w:rsidR="006B192E" w:rsidRDefault="006B192E" w:rsidP="003151A9">
            <w:pPr>
              <w:jc w:val="both"/>
              <w:rPr>
                <w:rStyle w:val="A9"/>
                <w:rFonts w:cs="Times New Roman"/>
                <w:sz w:val="24"/>
                <w:szCs w:val="24"/>
                <w:lang w:eastAsia="en-US"/>
              </w:rPr>
            </w:pPr>
            <w:r>
              <w:rPr>
                <w:rStyle w:val="A9"/>
                <w:rFonts w:cs="Times New Roman"/>
                <w:sz w:val="24"/>
                <w:szCs w:val="24"/>
                <w:lang w:eastAsia="en-US"/>
              </w:rPr>
              <w:t xml:space="preserve">PS </w:t>
            </w:r>
            <w:r w:rsidRPr="006B192E">
              <w:rPr>
                <w:rStyle w:val="A9"/>
                <w:rFonts w:cs="Times New Roman"/>
                <w:sz w:val="24"/>
                <w:szCs w:val="24"/>
                <w:lang w:eastAsia="en-US"/>
              </w:rPr>
              <w:t>analýz a riadenia havárií</w:t>
            </w:r>
            <w:r>
              <w:rPr>
                <w:rStyle w:val="A9"/>
                <w:rFonts w:cs="Times New Roman"/>
                <w:sz w:val="24"/>
                <w:szCs w:val="24"/>
                <w:lang w:eastAsia="en-US"/>
              </w:rPr>
              <w:t xml:space="preserve">, angl. </w:t>
            </w:r>
            <w:proofErr w:type="spellStart"/>
            <w:r w:rsidRPr="006B192E">
              <w:rPr>
                <w:rStyle w:val="A9"/>
                <w:rFonts w:cs="Times New Roman"/>
                <w:sz w:val="24"/>
                <w:szCs w:val="24"/>
                <w:lang w:eastAsia="en-US"/>
              </w:rPr>
              <w:t>W</w:t>
            </w:r>
            <w:r>
              <w:rPr>
                <w:rStyle w:val="A9"/>
                <w:rFonts w:cs="Times New Roman"/>
                <w:sz w:val="24"/>
                <w:szCs w:val="24"/>
                <w:lang w:eastAsia="en-US"/>
              </w:rPr>
              <w:t>orking</w:t>
            </w:r>
            <w:proofErr w:type="spellEnd"/>
            <w:r>
              <w:rPr>
                <w:rStyle w:val="A9"/>
                <w:rFonts w:cs="Times New Roman"/>
                <w:sz w:val="24"/>
                <w:szCs w:val="24"/>
                <w:lang w:eastAsia="en-US"/>
              </w:rPr>
              <w:t xml:space="preserve"> </w:t>
            </w:r>
            <w:r w:rsidRPr="006B192E">
              <w:rPr>
                <w:rStyle w:val="A9"/>
                <w:rFonts w:cs="Times New Roman"/>
                <w:sz w:val="24"/>
                <w:szCs w:val="24"/>
                <w:lang w:eastAsia="en-US"/>
              </w:rPr>
              <w:t>G</w:t>
            </w:r>
            <w:r>
              <w:rPr>
                <w:rStyle w:val="A9"/>
                <w:rFonts w:cs="Times New Roman"/>
                <w:sz w:val="24"/>
                <w:szCs w:val="24"/>
                <w:lang w:eastAsia="en-US"/>
              </w:rPr>
              <w:t>roup</w:t>
            </w:r>
            <w:r w:rsidRPr="006B192E">
              <w:rPr>
                <w:rStyle w:val="A9"/>
                <w:rFonts w:cs="Times New Roman"/>
                <w:sz w:val="24"/>
                <w:szCs w:val="24"/>
                <w:lang w:eastAsia="en-US"/>
              </w:rPr>
              <w:t xml:space="preserve"> on </w:t>
            </w:r>
            <w:proofErr w:type="spellStart"/>
            <w:r w:rsidRPr="006B192E">
              <w:rPr>
                <w:rStyle w:val="A9"/>
                <w:rFonts w:cs="Times New Roman"/>
                <w:sz w:val="24"/>
                <w:szCs w:val="24"/>
                <w:lang w:eastAsia="en-US"/>
              </w:rPr>
              <w:t>the</w:t>
            </w:r>
            <w:proofErr w:type="spellEnd"/>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Analysis</w:t>
            </w:r>
            <w:proofErr w:type="spellEnd"/>
            <w:r w:rsidRPr="006B192E">
              <w:rPr>
                <w:rStyle w:val="A9"/>
                <w:rFonts w:cs="Times New Roman"/>
                <w:sz w:val="24"/>
                <w:szCs w:val="24"/>
                <w:lang w:eastAsia="en-US"/>
              </w:rPr>
              <w:t xml:space="preserve"> and Management of </w:t>
            </w:r>
            <w:proofErr w:type="spellStart"/>
            <w:r w:rsidRPr="006B192E">
              <w:rPr>
                <w:rStyle w:val="A9"/>
                <w:rFonts w:cs="Times New Roman"/>
                <w:sz w:val="24"/>
                <w:szCs w:val="24"/>
                <w:lang w:eastAsia="en-US"/>
              </w:rPr>
              <w:t>Accidents</w:t>
            </w:r>
            <w:proofErr w:type="spellEnd"/>
          </w:p>
        </w:tc>
      </w:tr>
      <w:tr w:rsidR="006B192E" w:rsidRPr="00C13965" w14:paraId="62CFFF10" w14:textId="77777777" w:rsidTr="00C13A84">
        <w:tc>
          <w:tcPr>
            <w:tcW w:w="2552" w:type="dxa"/>
            <w:tcBorders>
              <w:top w:val="nil"/>
              <w:left w:val="nil"/>
              <w:bottom w:val="nil"/>
              <w:right w:val="nil"/>
            </w:tcBorders>
          </w:tcPr>
          <w:p w14:paraId="57181779" w14:textId="220A9CE7" w:rsidR="006B192E" w:rsidRDefault="006B192E" w:rsidP="003151A9">
            <w:pPr>
              <w:jc w:val="both"/>
              <w:rPr>
                <w:rStyle w:val="A9"/>
                <w:rFonts w:cs="Times New Roman"/>
                <w:sz w:val="24"/>
                <w:szCs w:val="24"/>
                <w:lang w:eastAsia="en-US"/>
              </w:rPr>
            </w:pPr>
            <w:r>
              <w:rPr>
                <w:rStyle w:val="A9"/>
                <w:rFonts w:cs="Times New Roman"/>
                <w:sz w:val="24"/>
                <w:szCs w:val="24"/>
                <w:lang w:eastAsia="en-US"/>
              </w:rPr>
              <w:t>WGLS</w:t>
            </w:r>
          </w:p>
        </w:tc>
        <w:tc>
          <w:tcPr>
            <w:tcW w:w="7548" w:type="dxa"/>
            <w:tcBorders>
              <w:top w:val="nil"/>
              <w:left w:val="nil"/>
              <w:bottom w:val="nil"/>
              <w:right w:val="nil"/>
            </w:tcBorders>
          </w:tcPr>
          <w:p w14:paraId="5249585E" w14:textId="369829E4" w:rsidR="006B192E" w:rsidRDefault="006B192E" w:rsidP="003151A9">
            <w:pPr>
              <w:jc w:val="both"/>
              <w:rPr>
                <w:rStyle w:val="A9"/>
                <w:rFonts w:cs="Times New Roman"/>
                <w:sz w:val="24"/>
                <w:szCs w:val="24"/>
                <w:lang w:eastAsia="en-US"/>
              </w:rPr>
            </w:pPr>
            <w:r>
              <w:rPr>
                <w:rStyle w:val="A9"/>
                <w:rFonts w:cs="Times New Roman"/>
                <w:sz w:val="24"/>
                <w:szCs w:val="24"/>
                <w:lang w:eastAsia="en-US"/>
              </w:rPr>
              <w:t xml:space="preserve">PS </w:t>
            </w:r>
            <w:r w:rsidRPr="006B192E">
              <w:rPr>
                <w:rStyle w:val="A9"/>
                <w:rFonts w:cs="Times New Roman"/>
                <w:sz w:val="24"/>
                <w:szCs w:val="24"/>
                <w:lang w:eastAsia="en-US"/>
              </w:rPr>
              <w:t>na vedenie k bezpečnosti a kultúru bezpečnosti</w:t>
            </w:r>
            <w:r>
              <w:rPr>
                <w:rStyle w:val="A9"/>
                <w:rFonts w:cs="Times New Roman"/>
                <w:sz w:val="24"/>
                <w:szCs w:val="24"/>
                <w:lang w:eastAsia="en-US"/>
              </w:rPr>
              <w:t>, angl.</w:t>
            </w:r>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W</w:t>
            </w:r>
            <w:r>
              <w:rPr>
                <w:rStyle w:val="A9"/>
                <w:rFonts w:cs="Times New Roman"/>
                <w:sz w:val="24"/>
                <w:szCs w:val="24"/>
                <w:lang w:eastAsia="en-US"/>
              </w:rPr>
              <w:t>orking</w:t>
            </w:r>
            <w:proofErr w:type="spellEnd"/>
            <w:r>
              <w:rPr>
                <w:rStyle w:val="A9"/>
                <w:rFonts w:cs="Times New Roman"/>
                <w:sz w:val="24"/>
                <w:szCs w:val="24"/>
                <w:lang w:eastAsia="en-US"/>
              </w:rPr>
              <w:t xml:space="preserve"> </w:t>
            </w:r>
            <w:r w:rsidRPr="006B192E">
              <w:rPr>
                <w:rStyle w:val="A9"/>
                <w:rFonts w:cs="Times New Roman"/>
                <w:sz w:val="24"/>
                <w:szCs w:val="24"/>
                <w:lang w:eastAsia="en-US"/>
              </w:rPr>
              <w:t>G</w:t>
            </w:r>
            <w:r>
              <w:rPr>
                <w:rStyle w:val="A9"/>
                <w:rFonts w:cs="Times New Roman"/>
                <w:sz w:val="24"/>
                <w:szCs w:val="24"/>
                <w:lang w:eastAsia="en-US"/>
              </w:rPr>
              <w:t>roup</w:t>
            </w:r>
            <w:r w:rsidRPr="006B192E">
              <w:rPr>
                <w:rStyle w:val="A9"/>
                <w:rFonts w:cs="Times New Roman"/>
                <w:sz w:val="24"/>
                <w:szCs w:val="24"/>
                <w:lang w:eastAsia="en-US"/>
              </w:rPr>
              <w:t xml:space="preserve"> on </w:t>
            </w:r>
            <w:proofErr w:type="spellStart"/>
            <w:r w:rsidRPr="006B192E">
              <w:rPr>
                <w:rStyle w:val="A9"/>
                <w:rFonts w:cs="Times New Roman"/>
                <w:sz w:val="24"/>
                <w:szCs w:val="24"/>
                <w:lang w:eastAsia="en-US"/>
              </w:rPr>
              <w:t>Leadership</w:t>
            </w:r>
            <w:proofErr w:type="spellEnd"/>
            <w:r w:rsidRPr="006B192E">
              <w:rPr>
                <w:rStyle w:val="A9"/>
                <w:rFonts w:cs="Times New Roman"/>
                <w:sz w:val="24"/>
                <w:szCs w:val="24"/>
                <w:lang w:eastAsia="en-US"/>
              </w:rPr>
              <w:t xml:space="preserve"> and </w:t>
            </w:r>
            <w:proofErr w:type="spellStart"/>
            <w:r w:rsidRPr="006B192E">
              <w:rPr>
                <w:rStyle w:val="A9"/>
                <w:rFonts w:cs="Times New Roman"/>
                <w:sz w:val="24"/>
                <w:szCs w:val="24"/>
                <w:lang w:eastAsia="en-US"/>
              </w:rPr>
              <w:t>Safety</w:t>
            </w:r>
            <w:proofErr w:type="spellEnd"/>
            <w:r w:rsidRPr="006B192E">
              <w:rPr>
                <w:rStyle w:val="A9"/>
                <w:rFonts w:cs="Times New Roman"/>
                <w:sz w:val="24"/>
                <w:szCs w:val="24"/>
                <w:lang w:eastAsia="en-US"/>
              </w:rPr>
              <w:t xml:space="preserve"> </w:t>
            </w:r>
            <w:proofErr w:type="spellStart"/>
            <w:r w:rsidRPr="006B192E">
              <w:rPr>
                <w:rStyle w:val="A9"/>
                <w:rFonts w:cs="Times New Roman"/>
                <w:sz w:val="24"/>
                <w:szCs w:val="24"/>
                <w:lang w:eastAsia="en-US"/>
              </w:rPr>
              <w:t>Culture</w:t>
            </w:r>
            <w:proofErr w:type="spellEnd"/>
          </w:p>
        </w:tc>
      </w:tr>
      <w:tr w:rsidR="001F1710" w:rsidRPr="00C13965" w14:paraId="2A149A17" w14:textId="77777777" w:rsidTr="00C13A84">
        <w:tc>
          <w:tcPr>
            <w:tcW w:w="2552" w:type="dxa"/>
            <w:tcBorders>
              <w:top w:val="nil"/>
              <w:left w:val="nil"/>
              <w:bottom w:val="nil"/>
              <w:right w:val="nil"/>
            </w:tcBorders>
          </w:tcPr>
          <w:p w14:paraId="72A8019C" w14:textId="2125BACD" w:rsidR="001F1710" w:rsidRDefault="001F1710" w:rsidP="003151A9">
            <w:pPr>
              <w:jc w:val="both"/>
              <w:rPr>
                <w:rStyle w:val="A9"/>
                <w:rFonts w:cs="Times New Roman"/>
                <w:sz w:val="24"/>
                <w:szCs w:val="24"/>
                <w:lang w:eastAsia="en-US"/>
              </w:rPr>
            </w:pPr>
            <w:r>
              <w:rPr>
                <w:rStyle w:val="A9"/>
                <w:rFonts w:cs="Times New Roman"/>
                <w:sz w:val="24"/>
                <w:szCs w:val="24"/>
                <w:lang w:eastAsia="en-US"/>
              </w:rPr>
              <w:t>WGRR</w:t>
            </w:r>
          </w:p>
        </w:tc>
        <w:tc>
          <w:tcPr>
            <w:tcW w:w="7548" w:type="dxa"/>
            <w:tcBorders>
              <w:top w:val="nil"/>
              <w:left w:val="nil"/>
              <w:bottom w:val="nil"/>
              <w:right w:val="nil"/>
            </w:tcBorders>
          </w:tcPr>
          <w:p w14:paraId="3252B5C8" w14:textId="51F2189E" w:rsidR="001F1710" w:rsidRDefault="00B46099" w:rsidP="003151A9">
            <w:pPr>
              <w:jc w:val="both"/>
              <w:rPr>
                <w:rStyle w:val="A9"/>
                <w:rFonts w:cs="Times New Roman"/>
                <w:sz w:val="24"/>
                <w:szCs w:val="24"/>
                <w:lang w:eastAsia="en-US"/>
              </w:rPr>
            </w:pPr>
            <w:r>
              <w:rPr>
                <w:rStyle w:val="A9"/>
                <w:rFonts w:cs="Times New Roman"/>
                <w:sz w:val="24"/>
                <w:szCs w:val="24"/>
                <w:lang w:eastAsia="en-US"/>
              </w:rPr>
              <w:t xml:space="preserve">PS </w:t>
            </w:r>
            <w:r w:rsidR="00BD4080">
              <w:rPr>
                <w:rStyle w:val="A9"/>
                <w:rFonts w:cs="Times New Roman"/>
                <w:sz w:val="24"/>
                <w:szCs w:val="24"/>
                <w:lang w:eastAsia="en-US"/>
              </w:rPr>
              <w:t>výskumných reaktorov</w:t>
            </w:r>
            <w:r w:rsidR="00DF1E74">
              <w:rPr>
                <w:rStyle w:val="A9"/>
                <w:rFonts w:cs="Times New Roman"/>
                <w:sz w:val="24"/>
                <w:szCs w:val="24"/>
                <w:lang w:eastAsia="en-US"/>
              </w:rPr>
              <w:t xml:space="preserve">, angl. </w:t>
            </w:r>
            <w:proofErr w:type="spellStart"/>
            <w:r w:rsidR="00DF1E74" w:rsidRPr="00DF1E74">
              <w:rPr>
                <w:rStyle w:val="A9"/>
                <w:rFonts w:cs="Times New Roman"/>
                <w:sz w:val="24"/>
                <w:szCs w:val="24"/>
                <w:lang w:eastAsia="en-US"/>
              </w:rPr>
              <w:t>Working</w:t>
            </w:r>
            <w:proofErr w:type="spellEnd"/>
            <w:r w:rsidR="00DF1E74" w:rsidRPr="00DF1E74">
              <w:rPr>
                <w:rStyle w:val="A9"/>
                <w:rFonts w:cs="Times New Roman"/>
                <w:sz w:val="24"/>
                <w:szCs w:val="24"/>
                <w:lang w:eastAsia="en-US"/>
              </w:rPr>
              <w:t xml:space="preserve"> Group on </w:t>
            </w:r>
            <w:proofErr w:type="spellStart"/>
            <w:r w:rsidR="00DF1E74" w:rsidRPr="00DF1E74">
              <w:rPr>
                <w:rStyle w:val="A9"/>
                <w:rFonts w:cs="Times New Roman"/>
                <w:sz w:val="24"/>
                <w:szCs w:val="24"/>
                <w:lang w:eastAsia="en-US"/>
              </w:rPr>
              <w:t>Research</w:t>
            </w:r>
            <w:proofErr w:type="spellEnd"/>
            <w:r w:rsidR="00DF1E74" w:rsidRPr="00DF1E74">
              <w:rPr>
                <w:rStyle w:val="A9"/>
                <w:rFonts w:cs="Times New Roman"/>
                <w:sz w:val="24"/>
                <w:szCs w:val="24"/>
                <w:lang w:eastAsia="en-US"/>
              </w:rPr>
              <w:t xml:space="preserve"> </w:t>
            </w:r>
            <w:proofErr w:type="spellStart"/>
            <w:r w:rsidR="00DF1E74" w:rsidRPr="00DF1E74">
              <w:rPr>
                <w:rStyle w:val="A9"/>
                <w:rFonts w:cs="Times New Roman"/>
                <w:sz w:val="24"/>
                <w:szCs w:val="24"/>
                <w:lang w:eastAsia="en-US"/>
              </w:rPr>
              <w:t>Reactors</w:t>
            </w:r>
            <w:proofErr w:type="spellEnd"/>
          </w:p>
        </w:tc>
      </w:tr>
      <w:tr w:rsidR="00DF49C6" w:rsidRPr="00903612" w14:paraId="1DEDEDF6" w14:textId="77777777" w:rsidTr="00C13A84">
        <w:tc>
          <w:tcPr>
            <w:tcW w:w="2552" w:type="dxa"/>
            <w:tcBorders>
              <w:top w:val="nil"/>
              <w:left w:val="nil"/>
              <w:bottom w:val="nil"/>
              <w:right w:val="nil"/>
            </w:tcBorders>
            <w:hideMark/>
          </w:tcPr>
          <w:p w14:paraId="071F18AB" w14:textId="16C9CF36" w:rsidR="00DF49C6" w:rsidRPr="00C13965" w:rsidRDefault="00DF49C6" w:rsidP="003151A9">
            <w:pPr>
              <w:jc w:val="both"/>
              <w:rPr>
                <w:rStyle w:val="A9"/>
                <w:rFonts w:cs="Times New Roman"/>
                <w:sz w:val="24"/>
                <w:szCs w:val="24"/>
              </w:rPr>
            </w:pPr>
            <w:r w:rsidRPr="006634D6">
              <w:t>WGWD</w:t>
            </w:r>
          </w:p>
        </w:tc>
        <w:tc>
          <w:tcPr>
            <w:tcW w:w="7548" w:type="dxa"/>
            <w:tcBorders>
              <w:top w:val="nil"/>
              <w:left w:val="nil"/>
              <w:bottom w:val="nil"/>
              <w:right w:val="nil"/>
            </w:tcBorders>
            <w:hideMark/>
          </w:tcPr>
          <w:p w14:paraId="4F02150A" w14:textId="7699AAA0" w:rsidR="00DF49C6" w:rsidRPr="00C13965" w:rsidRDefault="00DF49C6" w:rsidP="003151A9">
            <w:pPr>
              <w:jc w:val="both"/>
              <w:rPr>
                <w:rStyle w:val="A9"/>
                <w:rFonts w:cs="Times New Roman"/>
                <w:sz w:val="24"/>
                <w:szCs w:val="24"/>
              </w:rPr>
            </w:pPr>
            <w:r w:rsidRPr="006634D6">
              <w:t xml:space="preserve">PS pre harmonizáciu požiadaviek na bezpečnosť nakladania s </w:t>
            </w:r>
            <w:r>
              <w:t>RAO</w:t>
            </w:r>
            <w:r w:rsidRPr="006634D6">
              <w:t xml:space="preserve"> a</w:t>
            </w:r>
            <w:r>
              <w:t> </w:t>
            </w:r>
            <w:r w:rsidRPr="006634D6">
              <w:t>vyraďovania JZ z</w:t>
            </w:r>
            <w:r w:rsidR="00DF1E74">
              <w:t> </w:t>
            </w:r>
            <w:r w:rsidRPr="006634D6">
              <w:t>prevádzky</w:t>
            </w:r>
            <w:r w:rsidR="00DF1E74">
              <w:t xml:space="preserve">, angl. </w:t>
            </w:r>
            <w:proofErr w:type="spellStart"/>
            <w:r w:rsidR="00DF1E74" w:rsidRPr="00DF1E74">
              <w:t>Working</w:t>
            </w:r>
            <w:proofErr w:type="spellEnd"/>
            <w:r w:rsidR="00DF1E74" w:rsidRPr="00DF1E74">
              <w:t xml:space="preserve"> Group on </w:t>
            </w:r>
            <w:proofErr w:type="spellStart"/>
            <w:r w:rsidR="00DF1E74" w:rsidRPr="00DF1E74">
              <w:t>Waste</w:t>
            </w:r>
            <w:proofErr w:type="spellEnd"/>
            <w:r w:rsidR="00DF1E74" w:rsidRPr="00DF1E74">
              <w:t xml:space="preserve"> and </w:t>
            </w:r>
            <w:proofErr w:type="spellStart"/>
            <w:r w:rsidR="00DF1E74" w:rsidRPr="00DF1E74">
              <w:t>Decommissioning</w:t>
            </w:r>
            <w:proofErr w:type="spellEnd"/>
          </w:p>
        </w:tc>
      </w:tr>
    </w:tbl>
    <w:p w14:paraId="14B3CB70" w14:textId="0CE8FD55" w:rsidR="00241456" w:rsidRPr="00903612" w:rsidRDefault="00241456">
      <w:pPr>
        <w:spacing w:after="200" w:line="276" w:lineRule="auto"/>
        <w:rPr>
          <w:highlight w:val="yellow"/>
        </w:rPr>
      </w:pPr>
      <w:r w:rsidRPr="00903612">
        <w:rPr>
          <w:highlight w:val="yellow"/>
        </w:rPr>
        <w:br w:type="page"/>
      </w:r>
    </w:p>
    <w:p w14:paraId="614B5D66" w14:textId="68A2D781" w:rsidR="009F5796" w:rsidRPr="00866C2D" w:rsidRDefault="00241456" w:rsidP="00FA0505">
      <w:pPr>
        <w:tabs>
          <w:tab w:val="left" w:pos="2485"/>
        </w:tabs>
      </w:pPr>
      <w:r w:rsidRPr="00866C2D">
        <w:lastRenderedPageBreak/>
        <w:t>OBSAH</w:t>
      </w:r>
      <w:r w:rsidR="00FA0505">
        <w:tab/>
      </w:r>
    </w:p>
    <w:p w14:paraId="7521740F" w14:textId="77777777" w:rsidR="00155A3A" w:rsidRPr="00866C2D" w:rsidRDefault="00155A3A" w:rsidP="00936B36">
      <w:pPr>
        <w:pStyle w:val="Obsah1"/>
        <w:ind w:left="0" w:firstLine="0"/>
      </w:pPr>
    </w:p>
    <w:p w14:paraId="4BEB4A87" w14:textId="77777777" w:rsidR="008B5359" w:rsidRDefault="008B5359">
      <w:pPr>
        <w:pStyle w:val="Obsah1"/>
      </w:pPr>
    </w:p>
    <w:p w14:paraId="69FA378D" w14:textId="75E95060" w:rsidR="00AB1ED8" w:rsidRDefault="0026008A">
      <w:pPr>
        <w:pStyle w:val="Obsah1"/>
        <w:rPr>
          <w:rFonts w:asciiTheme="minorHAnsi" w:eastAsiaTheme="minorEastAsia" w:hAnsiTheme="minorHAnsi" w:cstheme="minorBidi"/>
          <w:b w:val="0"/>
          <w:bCs w:val="0"/>
          <w:caps w:val="0"/>
          <w:sz w:val="22"/>
          <w:szCs w:val="22"/>
        </w:rPr>
      </w:pPr>
      <w:r w:rsidRPr="00C35FB9">
        <w:fldChar w:fldCharType="begin"/>
      </w:r>
      <w:r w:rsidRPr="00C35FB9">
        <w:instrText xml:space="preserve"> TOC \o "1-4" \h \z </w:instrText>
      </w:r>
      <w:r w:rsidRPr="00C35FB9">
        <w:fldChar w:fldCharType="separate"/>
      </w:r>
      <w:hyperlink w:anchor="_Toc193697633" w:history="1">
        <w:r w:rsidR="00AB1ED8" w:rsidRPr="007101D9">
          <w:rPr>
            <w:rStyle w:val="Hypertextovprepojenie"/>
          </w:rPr>
          <w:t>Úvod</w:t>
        </w:r>
        <w:r w:rsidR="00AB1ED8">
          <w:rPr>
            <w:webHidden/>
          </w:rPr>
          <w:tab/>
        </w:r>
        <w:r w:rsidR="00AB1ED8">
          <w:rPr>
            <w:webHidden/>
          </w:rPr>
          <w:fldChar w:fldCharType="begin"/>
        </w:r>
        <w:r w:rsidR="00AB1ED8">
          <w:rPr>
            <w:webHidden/>
          </w:rPr>
          <w:instrText xml:space="preserve"> PAGEREF _Toc193697633 \h </w:instrText>
        </w:r>
        <w:r w:rsidR="00AB1ED8">
          <w:rPr>
            <w:webHidden/>
          </w:rPr>
        </w:r>
        <w:r w:rsidR="00AB1ED8">
          <w:rPr>
            <w:webHidden/>
          </w:rPr>
          <w:fldChar w:fldCharType="separate"/>
        </w:r>
        <w:r w:rsidR="007D4E33">
          <w:rPr>
            <w:webHidden/>
          </w:rPr>
          <w:t>1</w:t>
        </w:r>
        <w:r w:rsidR="00AB1ED8">
          <w:rPr>
            <w:webHidden/>
          </w:rPr>
          <w:fldChar w:fldCharType="end"/>
        </w:r>
      </w:hyperlink>
    </w:p>
    <w:p w14:paraId="3F3215FB" w14:textId="0D08BAF1" w:rsidR="00AB1ED8" w:rsidRDefault="007D4E33">
      <w:pPr>
        <w:pStyle w:val="Obsah1"/>
        <w:rPr>
          <w:rFonts w:asciiTheme="minorHAnsi" w:eastAsiaTheme="minorEastAsia" w:hAnsiTheme="minorHAnsi" w:cstheme="minorBidi"/>
          <w:b w:val="0"/>
          <w:bCs w:val="0"/>
          <w:caps w:val="0"/>
          <w:sz w:val="22"/>
          <w:szCs w:val="22"/>
        </w:rPr>
      </w:pPr>
      <w:hyperlink w:anchor="_Toc193697634" w:history="1">
        <w:r w:rsidR="00AB1ED8" w:rsidRPr="007101D9">
          <w:rPr>
            <w:rStyle w:val="Hypertextovprepojenie"/>
          </w:rPr>
          <w:t>1.</w:t>
        </w:r>
        <w:r w:rsidR="00AB1ED8">
          <w:rPr>
            <w:rFonts w:asciiTheme="minorHAnsi" w:eastAsiaTheme="minorEastAsia" w:hAnsiTheme="minorHAnsi" w:cstheme="minorBidi"/>
            <w:b w:val="0"/>
            <w:bCs w:val="0"/>
            <w:caps w:val="0"/>
            <w:sz w:val="22"/>
            <w:szCs w:val="22"/>
          </w:rPr>
          <w:tab/>
        </w:r>
        <w:r w:rsidR="00AB1ED8" w:rsidRPr="007101D9">
          <w:rPr>
            <w:rStyle w:val="Hypertextovprepojenie"/>
          </w:rPr>
          <w:t>Hlavné činnosti</w:t>
        </w:r>
        <w:r w:rsidR="00AB1ED8">
          <w:rPr>
            <w:webHidden/>
          </w:rPr>
          <w:tab/>
        </w:r>
        <w:r w:rsidR="00AB1ED8">
          <w:rPr>
            <w:webHidden/>
          </w:rPr>
          <w:fldChar w:fldCharType="begin"/>
        </w:r>
        <w:r w:rsidR="00AB1ED8">
          <w:rPr>
            <w:webHidden/>
          </w:rPr>
          <w:instrText xml:space="preserve"> PAGEREF _Toc193697634 \h </w:instrText>
        </w:r>
        <w:r w:rsidR="00AB1ED8">
          <w:rPr>
            <w:webHidden/>
          </w:rPr>
        </w:r>
        <w:r w:rsidR="00AB1ED8">
          <w:rPr>
            <w:webHidden/>
          </w:rPr>
          <w:fldChar w:fldCharType="separate"/>
        </w:r>
        <w:r>
          <w:rPr>
            <w:webHidden/>
          </w:rPr>
          <w:t>1</w:t>
        </w:r>
        <w:r w:rsidR="00AB1ED8">
          <w:rPr>
            <w:webHidden/>
          </w:rPr>
          <w:fldChar w:fldCharType="end"/>
        </w:r>
      </w:hyperlink>
    </w:p>
    <w:p w14:paraId="7F821E63" w14:textId="2D46BD5D" w:rsidR="00AB1ED8" w:rsidRDefault="007D4E33">
      <w:pPr>
        <w:pStyle w:val="Obsah2"/>
        <w:rPr>
          <w:rFonts w:asciiTheme="minorHAnsi" w:eastAsiaTheme="minorEastAsia" w:hAnsiTheme="minorHAnsi" w:cstheme="minorBidi"/>
          <w:smallCaps w:val="0"/>
          <w:noProof/>
          <w:sz w:val="22"/>
          <w:szCs w:val="22"/>
        </w:rPr>
      </w:pPr>
      <w:hyperlink w:anchor="_Toc193697635" w:history="1">
        <w:r w:rsidR="00AB1ED8" w:rsidRPr="007101D9">
          <w:rPr>
            <w:rStyle w:val="Hypertextovprepojenie"/>
            <w:bCs/>
            <w:noProof/>
          </w:rPr>
          <w:t>1.1.</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Legislatívna činnosť</w:t>
        </w:r>
        <w:r w:rsidR="00AB1ED8">
          <w:rPr>
            <w:noProof/>
            <w:webHidden/>
          </w:rPr>
          <w:tab/>
        </w:r>
        <w:r w:rsidR="00AB1ED8">
          <w:rPr>
            <w:noProof/>
            <w:webHidden/>
          </w:rPr>
          <w:fldChar w:fldCharType="begin"/>
        </w:r>
        <w:r w:rsidR="00AB1ED8">
          <w:rPr>
            <w:noProof/>
            <w:webHidden/>
          </w:rPr>
          <w:instrText xml:space="preserve"> PAGEREF _Toc193697635 \h </w:instrText>
        </w:r>
        <w:r w:rsidR="00AB1ED8">
          <w:rPr>
            <w:noProof/>
            <w:webHidden/>
          </w:rPr>
        </w:r>
        <w:r w:rsidR="00AB1ED8">
          <w:rPr>
            <w:noProof/>
            <w:webHidden/>
          </w:rPr>
          <w:fldChar w:fldCharType="separate"/>
        </w:r>
        <w:r>
          <w:rPr>
            <w:noProof/>
            <w:webHidden/>
          </w:rPr>
          <w:t>1</w:t>
        </w:r>
        <w:r w:rsidR="00AB1ED8">
          <w:rPr>
            <w:noProof/>
            <w:webHidden/>
          </w:rPr>
          <w:fldChar w:fldCharType="end"/>
        </w:r>
      </w:hyperlink>
    </w:p>
    <w:p w14:paraId="3DD4C4DC" w14:textId="3561E5F7" w:rsidR="00AB1ED8" w:rsidRDefault="007D4E33">
      <w:pPr>
        <w:pStyle w:val="Obsah2"/>
        <w:rPr>
          <w:rFonts w:asciiTheme="minorHAnsi" w:eastAsiaTheme="minorEastAsia" w:hAnsiTheme="minorHAnsi" w:cstheme="minorBidi"/>
          <w:smallCaps w:val="0"/>
          <w:noProof/>
          <w:sz w:val="22"/>
          <w:szCs w:val="22"/>
        </w:rPr>
      </w:pPr>
      <w:hyperlink w:anchor="_Toc193697636" w:history="1">
        <w:r w:rsidR="00AB1ED8" w:rsidRPr="007101D9">
          <w:rPr>
            <w:rStyle w:val="Hypertextovprepojenie"/>
            <w:bCs/>
            <w:noProof/>
          </w:rPr>
          <w:t>1.2.</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Strategické aktivity a vízia</w:t>
        </w:r>
        <w:r w:rsidR="00AB1ED8">
          <w:rPr>
            <w:noProof/>
            <w:webHidden/>
          </w:rPr>
          <w:tab/>
        </w:r>
        <w:r w:rsidR="00AB1ED8">
          <w:rPr>
            <w:noProof/>
            <w:webHidden/>
          </w:rPr>
          <w:fldChar w:fldCharType="begin"/>
        </w:r>
        <w:r w:rsidR="00AB1ED8">
          <w:rPr>
            <w:noProof/>
            <w:webHidden/>
          </w:rPr>
          <w:instrText xml:space="preserve"> PAGEREF _Toc193697636 \h </w:instrText>
        </w:r>
        <w:r w:rsidR="00AB1ED8">
          <w:rPr>
            <w:noProof/>
            <w:webHidden/>
          </w:rPr>
        </w:r>
        <w:r w:rsidR="00AB1ED8">
          <w:rPr>
            <w:noProof/>
            <w:webHidden/>
          </w:rPr>
          <w:fldChar w:fldCharType="separate"/>
        </w:r>
        <w:r>
          <w:rPr>
            <w:noProof/>
            <w:webHidden/>
          </w:rPr>
          <w:t>3</w:t>
        </w:r>
        <w:r w:rsidR="00AB1ED8">
          <w:rPr>
            <w:noProof/>
            <w:webHidden/>
          </w:rPr>
          <w:fldChar w:fldCharType="end"/>
        </w:r>
      </w:hyperlink>
    </w:p>
    <w:p w14:paraId="2691005E" w14:textId="6AA04F61"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37" w:history="1">
        <w:r w:rsidR="00AB1ED8" w:rsidRPr="007101D9">
          <w:rPr>
            <w:rStyle w:val="Hypertextovprepojenie"/>
            <w:noProof/>
          </w:rPr>
          <w:t>1.2.1.</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Politika, zásady a stratégia bezpečného využívania jadrovej energie a ionizujúceho žiarenia v Slovenskej republike</w:t>
        </w:r>
        <w:r w:rsidR="00AB1ED8">
          <w:rPr>
            <w:noProof/>
            <w:webHidden/>
          </w:rPr>
          <w:tab/>
        </w:r>
        <w:r w:rsidR="00AB1ED8">
          <w:rPr>
            <w:noProof/>
            <w:webHidden/>
          </w:rPr>
          <w:fldChar w:fldCharType="begin"/>
        </w:r>
        <w:r w:rsidR="00AB1ED8">
          <w:rPr>
            <w:noProof/>
            <w:webHidden/>
          </w:rPr>
          <w:instrText xml:space="preserve"> PAGEREF _Toc193697637 \h </w:instrText>
        </w:r>
        <w:r w:rsidR="00AB1ED8">
          <w:rPr>
            <w:noProof/>
            <w:webHidden/>
          </w:rPr>
        </w:r>
        <w:r w:rsidR="00AB1ED8">
          <w:rPr>
            <w:noProof/>
            <w:webHidden/>
          </w:rPr>
          <w:fldChar w:fldCharType="separate"/>
        </w:r>
        <w:r>
          <w:rPr>
            <w:noProof/>
            <w:webHidden/>
          </w:rPr>
          <w:t>3</w:t>
        </w:r>
        <w:r w:rsidR="00AB1ED8">
          <w:rPr>
            <w:noProof/>
            <w:webHidden/>
          </w:rPr>
          <w:fldChar w:fldCharType="end"/>
        </w:r>
      </w:hyperlink>
    </w:p>
    <w:p w14:paraId="23C7E4D3" w14:textId="0883E7D4"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38" w:history="1">
        <w:r w:rsidR="00AB1ED8" w:rsidRPr="007101D9">
          <w:rPr>
            <w:rStyle w:val="Hypertextovprepojenie"/>
            <w:noProof/>
          </w:rPr>
          <w:t>1.2.2.</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Koordinačný výbor štátnych orgánov v oblasti bezpečného využívania jadrovej energie</w:t>
        </w:r>
        <w:r w:rsidR="00AB1ED8">
          <w:rPr>
            <w:noProof/>
            <w:webHidden/>
          </w:rPr>
          <w:tab/>
        </w:r>
        <w:r w:rsidR="00AB1ED8">
          <w:rPr>
            <w:noProof/>
            <w:webHidden/>
          </w:rPr>
          <w:tab/>
        </w:r>
        <w:r w:rsidR="00AB1ED8">
          <w:rPr>
            <w:noProof/>
            <w:webHidden/>
          </w:rPr>
          <w:fldChar w:fldCharType="begin"/>
        </w:r>
        <w:r w:rsidR="00AB1ED8">
          <w:rPr>
            <w:noProof/>
            <w:webHidden/>
          </w:rPr>
          <w:instrText xml:space="preserve"> PAGEREF _Toc193697638 \h </w:instrText>
        </w:r>
        <w:r w:rsidR="00AB1ED8">
          <w:rPr>
            <w:noProof/>
            <w:webHidden/>
          </w:rPr>
        </w:r>
        <w:r w:rsidR="00AB1ED8">
          <w:rPr>
            <w:noProof/>
            <w:webHidden/>
          </w:rPr>
          <w:fldChar w:fldCharType="separate"/>
        </w:r>
        <w:r>
          <w:rPr>
            <w:noProof/>
            <w:webHidden/>
          </w:rPr>
          <w:t>4</w:t>
        </w:r>
        <w:r w:rsidR="00AB1ED8">
          <w:rPr>
            <w:noProof/>
            <w:webHidden/>
          </w:rPr>
          <w:fldChar w:fldCharType="end"/>
        </w:r>
      </w:hyperlink>
    </w:p>
    <w:p w14:paraId="46A241DA" w14:textId="7EA88524" w:rsidR="00AB1ED8" w:rsidRDefault="007D4E33">
      <w:pPr>
        <w:pStyle w:val="Obsah2"/>
        <w:rPr>
          <w:rFonts w:asciiTheme="minorHAnsi" w:eastAsiaTheme="minorEastAsia" w:hAnsiTheme="minorHAnsi" w:cstheme="minorBidi"/>
          <w:smallCaps w:val="0"/>
          <w:noProof/>
          <w:sz w:val="22"/>
          <w:szCs w:val="22"/>
        </w:rPr>
      </w:pPr>
      <w:hyperlink w:anchor="_Toc193697639" w:history="1">
        <w:r w:rsidR="00AB1ED8" w:rsidRPr="007101D9">
          <w:rPr>
            <w:rStyle w:val="Hypertextovprepojenie"/>
            <w:bCs/>
            <w:noProof/>
          </w:rPr>
          <w:t>1.3.</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Spôsoby výkonu dozoru</w:t>
        </w:r>
        <w:r w:rsidR="00AB1ED8">
          <w:rPr>
            <w:noProof/>
            <w:webHidden/>
          </w:rPr>
          <w:tab/>
        </w:r>
        <w:r w:rsidR="00AB1ED8">
          <w:rPr>
            <w:noProof/>
            <w:webHidden/>
          </w:rPr>
          <w:fldChar w:fldCharType="begin"/>
        </w:r>
        <w:r w:rsidR="00AB1ED8">
          <w:rPr>
            <w:noProof/>
            <w:webHidden/>
          </w:rPr>
          <w:instrText xml:space="preserve"> PAGEREF _Toc193697639 \h </w:instrText>
        </w:r>
        <w:r w:rsidR="00AB1ED8">
          <w:rPr>
            <w:noProof/>
            <w:webHidden/>
          </w:rPr>
        </w:r>
        <w:r w:rsidR="00AB1ED8">
          <w:rPr>
            <w:noProof/>
            <w:webHidden/>
          </w:rPr>
          <w:fldChar w:fldCharType="separate"/>
        </w:r>
        <w:r>
          <w:rPr>
            <w:noProof/>
            <w:webHidden/>
          </w:rPr>
          <w:t>4</w:t>
        </w:r>
        <w:r w:rsidR="00AB1ED8">
          <w:rPr>
            <w:noProof/>
            <w:webHidden/>
          </w:rPr>
          <w:fldChar w:fldCharType="end"/>
        </w:r>
      </w:hyperlink>
    </w:p>
    <w:p w14:paraId="59C521CF" w14:textId="40E17586"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40" w:history="1">
        <w:r w:rsidR="00AB1ED8" w:rsidRPr="007101D9">
          <w:rPr>
            <w:rStyle w:val="Hypertextovprepojenie"/>
            <w:noProof/>
          </w:rPr>
          <w:t>1.3.1.</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Vydávanie povolení</w:t>
        </w:r>
        <w:r w:rsidR="00AB1ED8">
          <w:rPr>
            <w:noProof/>
            <w:webHidden/>
          </w:rPr>
          <w:tab/>
        </w:r>
        <w:r w:rsidR="00AB1ED8">
          <w:rPr>
            <w:noProof/>
            <w:webHidden/>
          </w:rPr>
          <w:fldChar w:fldCharType="begin"/>
        </w:r>
        <w:r w:rsidR="00AB1ED8">
          <w:rPr>
            <w:noProof/>
            <w:webHidden/>
          </w:rPr>
          <w:instrText xml:space="preserve"> PAGEREF _Toc193697640 \h </w:instrText>
        </w:r>
        <w:r w:rsidR="00AB1ED8">
          <w:rPr>
            <w:noProof/>
            <w:webHidden/>
          </w:rPr>
        </w:r>
        <w:r w:rsidR="00AB1ED8">
          <w:rPr>
            <w:noProof/>
            <w:webHidden/>
          </w:rPr>
          <w:fldChar w:fldCharType="separate"/>
        </w:r>
        <w:r>
          <w:rPr>
            <w:noProof/>
            <w:webHidden/>
          </w:rPr>
          <w:t>5</w:t>
        </w:r>
        <w:r w:rsidR="00AB1ED8">
          <w:rPr>
            <w:noProof/>
            <w:webHidden/>
          </w:rPr>
          <w:fldChar w:fldCharType="end"/>
        </w:r>
      </w:hyperlink>
    </w:p>
    <w:p w14:paraId="7AAEE553" w14:textId="0A27239A"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41" w:history="1">
        <w:r w:rsidR="00AB1ED8" w:rsidRPr="007101D9">
          <w:rPr>
            <w:rStyle w:val="Hypertextovprepojenie"/>
            <w:noProof/>
          </w:rPr>
          <w:t>1.3.2.</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Posudzovacia a hodnotiaca činnosť</w:t>
        </w:r>
        <w:r w:rsidR="00AB1ED8">
          <w:rPr>
            <w:noProof/>
            <w:webHidden/>
          </w:rPr>
          <w:tab/>
        </w:r>
        <w:r w:rsidR="00AB1ED8">
          <w:rPr>
            <w:noProof/>
            <w:webHidden/>
          </w:rPr>
          <w:fldChar w:fldCharType="begin"/>
        </w:r>
        <w:r w:rsidR="00AB1ED8">
          <w:rPr>
            <w:noProof/>
            <w:webHidden/>
          </w:rPr>
          <w:instrText xml:space="preserve"> PAGEREF _Toc193697641 \h </w:instrText>
        </w:r>
        <w:r w:rsidR="00AB1ED8">
          <w:rPr>
            <w:noProof/>
            <w:webHidden/>
          </w:rPr>
        </w:r>
        <w:r w:rsidR="00AB1ED8">
          <w:rPr>
            <w:noProof/>
            <w:webHidden/>
          </w:rPr>
          <w:fldChar w:fldCharType="separate"/>
        </w:r>
        <w:r>
          <w:rPr>
            <w:noProof/>
            <w:webHidden/>
          </w:rPr>
          <w:t>5</w:t>
        </w:r>
        <w:r w:rsidR="00AB1ED8">
          <w:rPr>
            <w:noProof/>
            <w:webHidden/>
          </w:rPr>
          <w:fldChar w:fldCharType="end"/>
        </w:r>
      </w:hyperlink>
    </w:p>
    <w:p w14:paraId="22A0AD45" w14:textId="42659954"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42" w:history="1">
        <w:r w:rsidR="00AB1ED8" w:rsidRPr="007101D9">
          <w:rPr>
            <w:rStyle w:val="Hypertextovprepojenie"/>
            <w:noProof/>
          </w:rPr>
          <w:t>1.3.3.</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Inšpekčná činnosť</w:t>
        </w:r>
        <w:r w:rsidR="00AB1ED8">
          <w:rPr>
            <w:noProof/>
            <w:webHidden/>
          </w:rPr>
          <w:tab/>
        </w:r>
        <w:r w:rsidR="00AB1ED8">
          <w:rPr>
            <w:noProof/>
            <w:webHidden/>
          </w:rPr>
          <w:fldChar w:fldCharType="begin"/>
        </w:r>
        <w:r w:rsidR="00AB1ED8">
          <w:rPr>
            <w:noProof/>
            <w:webHidden/>
          </w:rPr>
          <w:instrText xml:space="preserve"> PAGEREF _Toc193697642 \h </w:instrText>
        </w:r>
        <w:r w:rsidR="00AB1ED8">
          <w:rPr>
            <w:noProof/>
            <w:webHidden/>
          </w:rPr>
        </w:r>
        <w:r w:rsidR="00AB1ED8">
          <w:rPr>
            <w:noProof/>
            <w:webHidden/>
          </w:rPr>
          <w:fldChar w:fldCharType="separate"/>
        </w:r>
        <w:r>
          <w:rPr>
            <w:noProof/>
            <w:webHidden/>
          </w:rPr>
          <w:t>6</w:t>
        </w:r>
        <w:r w:rsidR="00AB1ED8">
          <w:rPr>
            <w:noProof/>
            <w:webHidden/>
          </w:rPr>
          <w:fldChar w:fldCharType="end"/>
        </w:r>
      </w:hyperlink>
    </w:p>
    <w:p w14:paraId="0923FD52" w14:textId="0305F901"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43" w:history="1">
        <w:r w:rsidR="00AB1ED8" w:rsidRPr="007101D9">
          <w:rPr>
            <w:rStyle w:val="Hypertextovprepojenie"/>
            <w:noProof/>
          </w:rPr>
          <w:t>1.3.4.</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Vynucovanie práva</w:t>
        </w:r>
        <w:r w:rsidR="00AB1ED8">
          <w:rPr>
            <w:noProof/>
            <w:webHidden/>
          </w:rPr>
          <w:tab/>
        </w:r>
        <w:r w:rsidR="00AB1ED8">
          <w:rPr>
            <w:noProof/>
            <w:webHidden/>
          </w:rPr>
          <w:fldChar w:fldCharType="begin"/>
        </w:r>
        <w:r w:rsidR="00AB1ED8">
          <w:rPr>
            <w:noProof/>
            <w:webHidden/>
          </w:rPr>
          <w:instrText xml:space="preserve"> PAGEREF _Toc193697643 \h </w:instrText>
        </w:r>
        <w:r w:rsidR="00AB1ED8">
          <w:rPr>
            <w:noProof/>
            <w:webHidden/>
          </w:rPr>
        </w:r>
        <w:r w:rsidR="00AB1ED8">
          <w:rPr>
            <w:noProof/>
            <w:webHidden/>
          </w:rPr>
          <w:fldChar w:fldCharType="separate"/>
        </w:r>
        <w:r>
          <w:rPr>
            <w:noProof/>
            <w:webHidden/>
          </w:rPr>
          <w:t>7</w:t>
        </w:r>
        <w:r w:rsidR="00AB1ED8">
          <w:rPr>
            <w:noProof/>
            <w:webHidden/>
          </w:rPr>
          <w:fldChar w:fldCharType="end"/>
        </w:r>
      </w:hyperlink>
    </w:p>
    <w:p w14:paraId="44B9F0AE" w14:textId="668AC02A"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44" w:history="1">
        <w:r w:rsidR="00AB1ED8" w:rsidRPr="007101D9">
          <w:rPr>
            <w:rStyle w:val="Hypertextovprepojenie"/>
            <w:noProof/>
          </w:rPr>
          <w:t>1.3.5.</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Rozvoj dozorných činností</w:t>
        </w:r>
        <w:r w:rsidR="00AB1ED8">
          <w:rPr>
            <w:noProof/>
            <w:webHidden/>
          </w:rPr>
          <w:tab/>
        </w:r>
        <w:r w:rsidR="00AB1ED8">
          <w:rPr>
            <w:noProof/>
            <w:webHidden/>
          </w:rPr>
          <w:fldChar w:fldCharType="begin"/>
        </w:r>
        <w:r w:rsidR="00AB1ED8">
          <w:rPr>
            <w:noProof/>
            <w:webHidden/>
          </w:rPr>
          <w:instrText xml:space="preserve"> PAGEREF _Toc193697644 \h </w:instrText>
        </w:r>
        <w:r w:rsidR="00AB1ED8">
          <w:rPr>
            <w:noProof/>
            <w:webHidden/>
          </w:rPr>
        </w:r>
        <w:r w:rsidR="00AB1ED8">
          <w:rPr>
            <w:noProof/>
            <w:webHidden/>
          </w:rPr>
          <w:fldChar w:fldCharType="separate"/>
        </w:r>
        <w:r>
          <w:rPr>
            <w:noProof/>
            <w:webHidden/>
          </w:rPr>
          <w:t>7</w:t>
        </w:r>
        <w:r w:rsidR="00AB1ED8">
          <w:rPr>
            <w:noProof/>
            <w:webHidden/>
          </w:rPr>
          <w:fldChar w:fldCharType="end"/>
        </w:r>
      </w:hyperlink>
    </w:p>
    <w:p w14:paraId="2C531E66" w14:textId="006F457E" w:rsidR="00AB1ED8" w:rsidRDefault="007D4E33">
      <w:pPr>
        <w:pStyle w:val="Obsah2"/>
        <w:rPr>
          <w:rFonts w:asciiTheme="minorHAnsi" w:eastAsiaTheme="minorEastAsia" w:hAnsiTheme="minorHAnsi" w:cstheme="minorBidi"/>
          <w:smallCaps w:val="0"/>
          <w:noProof/>
          <w:sz w:val="22"/>
          <w:szCs w:val="22"/>
        </w:rPr>
      </w:pPr>
      <w:hyperlink w:anchor="_Toc193697645" w:history="1">
        <w:r w:rsidR="00AB1ED8" w:rsidRPr="007101D9">
          <w:rPr>
            <w:rStyle w:val="Hypertextovprepojenie"/>
            <w:bCs/>
            <w:noProof/>
          </w:rPr>
          <w:t>1.4.</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Oblasti výkonu dozoru</w:t>
        </w:r>
        <w:r w:rsidR="00AB1ED8">
          <w:rPr>
            <w:noProof/>
            <w:webHidden/>
          </w:rPr>
          <w:tab/>
        </w:r>
        <w:r w:rsidR="00AB1ED8">
          <w:rPr>
            <w:noProof/>
            <w:webHidden/>
          </w:rPr>
          <w:fldChar w:fldCharType="begin"/>
        </w:r>
        <w:r w:rsidR="00AB1ED8">
          <w:rPr>
            <w:noProof/>
            <w:webHidden/>
          </w:rPr>
          <w:instrText xml:space="preserve"> PAGEREF _Toc193697645 \h </w:instrText>
        </w:r>
        <w:r w:rsidR="00AB1ED8">
          <w:rPr>
            <w:noProof/>
            <w:webHidden/>
          </w:rPr>
        </w:r>
        <w:r w:rsidR="00AB1ED8">
          <w:rPr>
            <w:noProof/>
            <w:webHidden/>
          </w:rPr>
          <w:fldChar w:fldCharType="separate"/>
        </w:r>
        <w:r>
          <w:rPr>
            <w:noProof/>
            <w:webHidden/>
          </w:rPr>
          <w:t>9</w:t>
        </w:r>
        <w:r w:rsidR="00AB1ED8">
          <w:rPr>
            <w:noProof/>
            <w:webHidden/>
          </w:rPr>
          <w:fldChar w:fldCharType="end"/>
        </w:r>
      </w:hyperlink>
    </w:p>
    <w:p w14:paraId="0BC20B12" w14:textId="1D943B95"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46" w:history="1">
        <w:r w:rsidR="00AB1ED8" w:rsidRPr="007101D9">
          <w:rPr>
            <w:rStyle w:val="Hypertextovprepojenie"/>
            <w:noProof/>
          </w:rPr>
          <w:t>1.4.1.</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Jadrové zariadenia</w:t>
        </w:r>
        <w:r w:rsidR="00AB1ED8">
          <w:rPr>
            <w:noProof/>
            <w:webHidden/>
          </w:rPr>
          <w:tab/>
        </w:r>
        <w:r w:rsidR="00AB1ED8">
          <w:rPr>
            <w:noProof/>
            <w:webHidden/>
          </w:rPr>
          <w:fldChar w:fldCharType="begin"/>
        </w:r>
        <w:r w:rsidR="00AB1ED8">
          <w:rPr>
            <w:noProof/>
            <w:webHidden/>
          </w:rPr>
          <w:instrText xml:space="preserve"> PAGEREF _Toc193697646 \h </w:instrText>
        </w:r>
        <w:r w:rsidR="00AB1ED8">
          <w:rPr>
            <w:noProof/>
            <w:webHidden/>
          </w:rPr>
        </w:r>
        <w:r w:rsidR="00AB1ED8">
          <w:rPr>
            <w:noProof/>
            <w:webHidden/>
          </w:rPr>
          <w:fldChar w:fldCharType="separate"/>
        </w:r>
        <w:r>
          <w:rPr>
            <w:noProof/>
            <w:webHidden/>
          </w:rPr>
          <w:t>9</w:t>
        </w:r>
        <w:r w:rsidR="00AB1ED8">
          <w:rPr>
            <w:noProof/>
            <w:webHidden/>
          </w:rPr>
          <w:fldChar w:fldCharType="end"/>
        </w:r>
      </w:hyperlink>
    </w:p>
    <w:p w14:paraId="2E2F671D" w14:textId="58BBFFC3"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47" w:history="1">
        <w:r w:rsidR="00AB1ED8" w:rsidRPr="007101D9">
          <w:rPr>
            <w:rStyle w:val="Hypertextovprepojenie"/>
            <w:noProof/>
          </w:rPr>
          <w:t>1.4.1.1.</w:t>
        </w:r>
        <w:r w:rsidR="00AB1ED8">
          <w:rPr>
            <w:rFonts w:asciiTheme="minorHAnsi" w:eastAsiaTheme="minorEastAsia" w:hAnsiTheme="minorHAnsi" w:cstheme="minorBidi"/>
            <w:noProof/>
            <w:sz w:val="22"/>
            <w:szCs w:val="22"/>
          </w:rPr>
          <w:tab/>
        </w:r>
        <w:r w:rsidR="00AB1ED8" w:rsidRPr="007101D9">
          <w:rPr>
            <w:rStyle w:val="Hypertextovprepojenie"/>
            <w:noProof/>
          </w:rPr>
          <w:t>Prevádzkované jadrové elektrárne</w:t>
        </w:r>
        <w:r w:rsidR="00AB1ED8">
          <w:rPr>
            <w:noProof/>
            <w:webHidden/>
          </w:rPr>
          <w:tab/>
        </w:r>
        <w:r w:rsidR="00AB1ED8">
          <w:rPr>
            <w:noProof/>
            <w:webHidden/>
          </w:rPr>
          <w:fldChar w:fldCharType="begin"/>
        </w:r>
        <w:r w:rsidR="00AB1ED8">
          <w:rPr>
            <w:noProof/>
            <w:webHidden/>
          </w:rPr>
          <w:instrText xml:space="preserve"> PAGEREF _Toc193697647 \h </w:instrText>
        </w:r>
        <w:r w:rsidR="00AB1ED8">
          <w:rPr>
            <w:noProof/>
            <w:webHidden/>
          </w:rPr>
        </w:r>
        <w:r w:rsidR="00AB1ED8">
          <w:rPr>
            <w:noProof/>
            <w:webHidden/>
          </w:rPr>
          <w:fldChar w:fldCharType="separate"/>
        </w:r>
        <w:r>
          <w:rPr>
            <w:noProof/>
            <w:webHidden/>
          </w:rPr>
          <w:t>9</w:t>
        </w:r>
        <w:r w:rsidR="00AB1ED8">
          <w:rPr>
            <w:noProof/>
            <w:webHidden/>
          </w:rPr>
          <w:fldChar w:fldCharType="end"/>
        </w:r>
      </w:hyperlink>
    </w:p>
    <w:p w14:paraId="6B939880" w14:textId="72DC64A5"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48" w:history="1">
        <w:r w:rsidR="00AB1ED8" w:rsidRPr="007101D9">
          <w:rPr>
            <w:rStyle w:val="Hypertextovprepojenie"/>
            <w:noProof/>
          </w:rPr>
          <w:t>1.4.1.2.</w:t>
        </w:r>
        <w:r w:rsidR="00AB1ED8">
          <w:rPr>
            <w:rFonts w:asciiTheme="minorHAnsi" w:eastAsiaTheme="minorEastAsia" w:hAnsiTheme="minorHAnsi" w:cstheme="minorBidi"/>
            <w:noProof/>
            <w:sz w:val="22"/>
            <w:szCs w:val="22"/>
          </w:rPr>
          <w:tab/>
        </w:r>
        <w:r w:rsidR="00AB1ED8" w:rsidRPr="007101D9">
          <w:rPr>
            <w:rStyle w:val="Hypertextovprepojenie"/>
            <w:noProof/>
          </w:rPr>
          <w:t>Jadrové elektrárne vo fáze uvádzania do prevádzky</w:t>
        </w:r>
        <w:r w:rsidR="00AB1ED8">
          <w:rPr>
            <w:noProof/>
            <w:webHidden/>
          </w:rPr>
          <w:tab/>
        </w:r>
        <w:r w:rsidR="00AB1ED8">
          <w:rPr>
            <w:noProof/>
            <w:webHidden/>
          </w:rPr>
          <w:fldChar w:fldCharType="begin"/>
        </w:r>
        <w:r w:rsidR="00AB1ED8">
          <w:rPr>
            <w:noProof/>
            <w:webHidden/>
          </w:rPr>
          <w:instrText xml:space="preserve"> PAGEREF _Toc193697648 \h </w:instrText>
        </w:r>
        <w:r w:rsidR="00AB1ED8">
          <w:rPr>
            <w:noProof/>
            <w:webHidden/>
          </w:rPr>
        </w:r>
        <w:r w:rsidR="00AB1ED8">
          <w:rPr>
            <w:noProof/>
            <w:webHidden/>
          </w:rPr>
          <w:fldChar w:fldCharType="separate"/>
        </w:r>
        <w:r>
          <w:rPr>
            <w:noProof/>
            <w:webHidden/>
          </w:rPr>
          <w:t>13</w:t>
        </w:r>
        <w:r w:rsidR="00AB1ED8">
          <w:rPr>
            <w:noProof/>
            <w:webHidden/>
          </w:rPr>
          <w:fldChar w:fldCharType="end"/>
        </w:r>
      </w:hyperlink>
    </w:p>
    <w:p w14:paraId="184E65F5" w14:textId="0EB23C43"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49" w:history="1">
        <w:r w:rsidR="00AB1ED8" w:rsidRPr="007101D9">
          <w:rPr>
            <w:rStyle w:val="Hypertextovprepojenie"/>
            <w:noProof/>
          </w:rPr>
          <w:t>1.4.1.3.</w:t>
        </w:r>
        <w:r w:rsidR="00AB1ED8">
          <w:rPr>
            <w:rFonts w:asciiTheme="minorHAnsi" w:eastAsiaTheme="minorEastAsia" w:hAnsiTheme="minorHAnsi" w:cstheme="minorBidi"/>
            <w:noProof/>
            <w:sz w:val="22"/>
            <w:szCs w:val="22"/>
          </w:rPr>
          <w:tab/>
        </w:r>
        <w:r w:rsidR="00AB1ED8" w:rsidRPr="007101D9">
          <w:rPr>
            <w:rStyle w:val="Hypertextovprepojenie"/>
            <w:noProof/>
          </w:rPr>
          <w:t>Jadrové elektrárne vo výstavbe</w:t>
        </w:r>
        <w:r w:rsidR="00AB1ED8">
          <w:rPr>
            <w:noProof/>
            <w:webHidden/>
          </w:rPr>
          <w:tab/>
        </w:r>
        <w:r w:rsidR="00AB1ED8">
          <w:rPr>
            <w:noProof/>
            <w:webHidden/>
          </w:rPr>
          <w:fldChar w:fldCharType="begin"/>
        </w:r>
        <w:r w:rsidR="00AB1ED8">
          <w:rPr>
            <w:noProof/>
            <w:webHidden/>
          </w:rPr>
          <w:instrText xml:space="preserve"> PAGEREF _Toc193697649 \h </w:instrText>
        </w:r>
        <w:r w:rsidR="00AB1ED8">
          <w:rPr>
            <w:noProof/>
            <w:webHidden/>
          </w:rPr>
        </w:r>
        <w:r w:rsidR="00AB1ED8">
          <w:rPr>
            <w:noProof/>
            <w:webHidden/>
          </w:rPr>
          <w:fldChar w:fldCharType="separate"/>
        </w:r>
        <w:r>
          <w:rPr>
            <w:noProof/>
            <w:webHidden/>
          </w:rPr>
          <w:t>14</w:t>
        </w:r>
        <w:r w:rsidR="00AB1ED8">
          <w:rPr>
            <w:noProof/>
            <w:webHidden/>
          </w:rPr>
          <w:fldChar w:fldCharType="end"/>
        </w:r>
      </w:hyperlink>
    </w:p>
    <w:p w14:paraId="12AA1A6F" w14:textId="390CEDD4"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50" w:history="1">
        <w:r w:rsidR="00AB1ED8" w:rsidRPr="007101D9">
          <w:rPr>
            <w:rStyle w:val="Hypertextovprepojenie"/>
            <w:noProof/>
          </w:rPr>
          <w:t>1.4.1.4.</w:t>
        </w:r>
        <w:r w:rsidR="00AB1ED8">
          <w:rPr>
            <w:rFonts w:asciiTheme="minorHAnsi" w:eastAsiaTheme="minorEastAsia" w:hAnsiTheme="minorHAnsi" w:cstheme="minorBidi"/>
            <w:noProof/>
            <w:sz w:val="22"/>
            <w:szCs w:val="22"/>
          </w:rPr>
          <w:tab/>
        </w:r>
        <w:r w:rsidR="00AB1ED8" w:rsidRPr="007101D9">
          <w:rPr>
            <w:rStyle w:val="Hypertextovprepojenie"/>
            <w:noProof/>
          </w:rPr>
          <w:t>Jadrové elektrárne vo vyraďovaní</w:t>
        </w:r>
        <w:r w:rsidR="00AB1ED8">
          <w:rPr>
            <w:noProof/>
            <w:webHidden/>
          </w:rPr>
          <w:tab/>
        </w:r>
        <w:r w:rsidR="00AB1ED8">
          <w:rPr>
            <w:noProof/>
            <w:webHidden/>
          </w:rPr>
          <w:fldChar w:fldCharType="begin"/>
        </w:r>
        <w:r w:rsidR="00AB1ED8">
          <w:rPr>
            <w:noProof/>
            <w:webHidden/>
          </w:rPr>
          <w:instrText xml:space="preserve"> PAGEREF _Toc193697650 \h </w:instrText>
        </w:r>
        <w:r w:rsidR="00AB1ED8">
          <w:rPr>
            <w:noProof/>
            <w:webHidden/>
          </w:rPr>
        </w:r>
        <w:r w:rsidR="00AB1ED8">
          <w:rPr>
            <w:noProof/>
            <w:webHidden/>
          </w:rPr>
          <w:fldChar w:fldCharType="separate"/>
        </w:r>
        <w:r>
          <w:rPr>
            <w:noProof/>
            <w:webHidden/>
          </w:rPr>
          <w:t>14</w:t>
        </w:r>
        <w:r w:rsidR="00AB1ED8">
          <w:rPr>
            <w:noProof/>
            <w:webHidden/>
          </w:rPr>
          <w:fldChar w:fldCharType="end"/>
        </w:r>
      </w:hyperlink>
    </w:p>
    <w:p w14:paraId="22C4D12B" w14:textId="41890EA8"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51" w:history="1">
        <w:r w:rsidR="00AB1ED8" w:rsidRPr="007101D9">
          <w:rPr>
            <w:rStyle w:val="Hypertextovprepojenie"/>
            <w:noProof/>
          </w:rPr>
          <w:t>1.4.1.5.</w:t>
        </w:r>
        <w:r w:rsidR="00AB1ED8">
          <w:rPr>
            <w:rFonts w:asciiTheme="minorHAnsi" w:eastAsiaTheme="minorEastAsia" w:hAnsiTheme="minorHAnsi" w:cstheme="minorBidi"/>
            <w:noProof/>
            <w:sz w:val="22"/>
            <w:szCs w:val="22"/>
          </w:rPr>
          <w:tab/>
        </w:r>
        <w:r w:rsidR="00AB1ED8" w:rsidRPr="007101D9">
          <w:rPr>
            <w:rStyle w:val="Hypertextovprepojenie"/>
            <w:noProof/>
          </w:rPr>
          <w:t>Iné jadrové zariadenia</w:t>
        </w:r>
        <w:r w:rsidR="00AB1ED8">
          <w:rPr>
            <w:noProof/>
            <w:webHidden/>
          </w:rPr>
          <w:tab/>
        </w:r>
        <w:r w:rsidR="00AB1ED8">
          <w:rPr>
            <w:noProof/>
            <w:webHidden/>
          </w:rPr>
          <w:fldChar w:fldCharType="begin"/>
        </w:r>
        <w:r w:rsidR="00AB1ED8">
          <w:rPr>
            <w:noProof/>
            <w:webHidden/>
          </w:rPr>
          <w:instrText xml:space="preserve"> PAGEREF _Toc193697651 \h </w:instrText>
        </w:r>
        <w:r w:rsidR="00AB1ED8">
          <w:rPr>
            <w:noProof/>
            <w:webHidden/>
          </w:rPr>
        </w:r>
        <w:r w:rsidR="00AB1ED8">
          <w:rPr>
            <w:noProof/>
            <w:webHidden/>
          </w:rPr>
          <w:fldChar w:fldCharType="separate"/>
        </w:r>
        <w:r>
          <w:rPr>
            <w:noProof/>
            <w:webHidden/>
          </w:rPr>
          <w:t>16</w:t>
        </w:r>
        <w:r w:rsidR="00AB1ED8">
          <w:rPr>
            <w:noProof/>
            <w:webHidden/>
          </w:rPr>
          <w:fldChar w:fldCharType="end"/>
        </w:r>
      </w:hyperlink>
    </w:p>
    <w:p w14:paraId="739924FA" w14:textId="30B52121"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52" w:history="1">
        <w:r w:rsidR="00AB1ED8" w:rsidRPr="007101D9">
          <w:rPr>
            <w:rStyle w:val="Hypertextovprepojenie"/>
            <w:noProof/>
          </w:rPr>
          <w:t>1.4.2.</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Jadrové materiály</w:t>
        </w:r>
        <w:r w:rsidR="00AB1ED8">
          <w:rPr>
            <w:noProof/>
            <w:webHidden/>
          </w:rPr>
          <w:tab/>
        </w:r>
        <w:r w:rsidR="00AB1ED8">
          <w:rPr>
            <w:noProof/>
            <w:webHidden/>
          </w:rPr>
          <w:fldChar w:fldCharType="begin"/>
        </w:r>
        <w:r w:rsidR="00AB1ED8">
          <w:rPr>
            <w:noProof/>
            <w:webHidden/>
          </w:rPr>
          <w:instrText xml:space="preserve"> PAGEREF _Toc193697652 \h </w:instrText>
        </w:r>
        <w:r w:rsidR="00AB1ED8">
          <w:rPr>
            <w:noProof/>
            <w:webHidden/>
          </w:rPr>
        </w:r>
        <w:r w:rsidR="00AB1ED8">
          <w:rPr>
            <w:noProof/>
            <w:webHidden/>
          </w:rPr>
          <w:fldChar w:fldCharType="separate"/>
        </w:r>
        <w:r>
          <w:rPr>
            <w:noProof/>
            <w:webHidden/>
          </w:rPr>
          <w:t>19</w:t>
        </w:r>
        <w:r w:rsidR="00AB1ED8">
          <w:rPr>
            <w:noProof/>
            <w:webHidden/>
          </w:rPr>
          <w:fldChar w:fldCharType="end"/>
        </w:r>
      </w:hyperlink>
    </w:p>
    <w:p w14:paraId="552C7A2A" w14:textId="2745CDA2"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53" w:history="1">
        <w:r w:rsidR="00AB1ED8" w:rsidRPr="007101D9">
          <w:rPr>
            <w:rStyle w:val="Hypertextovprepojenie"/>
            <w:noProof/>
          </w:rPr>
          <w:t>1.4.2.1.</w:t>
        </w:r>
        <w:r w:rsidR="00AB1ED8">
          <w:rPr>
            <w:rFonts w:asciiTheme="minorHAnsi" w:eastAsiaTheme="minorEastAsia" w:hAnsiTheme="minorHAnsi" w:cstheme="minorBidi"/>
            <w:noProof/>
            <w:sz w:val="22"/>
            <w:szCs w:val="22"/>
          </w:rPr>
          <w:tab/>
        </w:r>
        <w:r w:rsidR="00AB1ED8" w:rsidRPr="007101D9">
          <w:rPr>
            <w:rStyle w:val="Hypertextovprepojenie"/>
            <w:noProof/>
          </w:rPr>
          <w:t>Evidencia a kontrola jadrových materiálov</w:t>
        </w:r>
        <w:r w:rsidR="00AB1ED8">
          <w:rPr>
            <w:noProof/>
            <w:webHidden/>
          </w:rPr>
          <w:tab/>
        </w:r>
        <w:r w:rsidR="00AB1ED8">
          <w:rPr>
            <w:noProof/>
            <w:webHidden/>
          </w:rPr>
          <w:fldChar w:fldCharType="begin"/>
        </w:r>
        <w:r w:rsidR="00AB1ED8">
          <w:rPr>
            <w:noProof/>
            <w:webHidden/>
          </w:rPr>
          <w:instrText xml:space="preserve"> PAGEREF _Toc193697653 \h </w:instrText>
        </w:r>
        <w:r w:rsidR="00AB1ED8">
          <w:rPr>
            <w:noProof/>
            <w:webHidden/>
          </w:rPr>
        </w:r>
        <w:r w:rsidR="00AB1ED8">
          <w:rPr>
            <w:noProof/>
            <w:webHidden/>
          </w:rPr>
          <w:fldChar w:fldCharType="separate"/>
        </w:r>
        <w:r>
          <w:rPr>
            <w:noProof/>
            <w:webHidden/>
          </w:rPr>
          <w:t>19</w:t>
        </w:r>
        <w:r w:rsidR="00AB1ED8">
          <w:rPr>
            <w:noProof/>
            <w:webHidden/>
          </w:rPr>
          <w:fldChar w:fldCharType="end"/>
        </w:r>
      </w:hyperlink>
    </w:p>
    <w:p w14:paraId="2657741A" w14:textId="4B710E23"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54" w:history="1">
        <w:r w:rsidR="00AB1ED8" w:rsidRPr="007101D9">
          <w:rPr>
            <w:rStyle w:val="Hypertextovprepojenie"/>
            <w:noProof/>
          </w:rPr>
          <w:t>1.4.2.2.</w:t>
        </w:r>
        <w:r w:rsidR="00AB1ED8">
          <w:rPr>
            <w:rFonts w:asciiTheme="minorHAnsi" w:eastAsiaTheme="minorEastAsia" w:hAnsiTheme="minorHAnsi" w:cstheme="minorBidi"/>
            <w:noProof/>
            <w:sz w:val="22"/>
            <w:szCs w:val="22"/>
          </w:rPr>
          <w:tab/>
        </w:r>
        <w:r w:rsidR="00AB1ED8" w:rsidRPr="007101D9">
          <w:rPr>
            <w:rStyle w:val="Hypertextovprepojenie"/>
            <w:noProof/>
          </w:rPr>
          <w:t>Preprava jadrových materiálov</w:t>
        </w:r>
        <w:r w:rsidR="00AB1ED8">
          <w:rPr>
            <w:noProof/>
            <w:webHidden/>
          </w:rPr>
          <w:tab/>
        </w:r>
        <w:r w:rsidR="00AB1ED8">
          <w:rPr>
            <w:noProof/>
            <w:webHidden/>
          </w:rPr>
          <w:fldChar w:fldCharType="begin"/>
        </w:r>
        <w:r w:rsidR="00AB1ED8">
          <w:rPr>
            <w:noProof/>
            <w:webHidden/>
          </w:rPr>
          <w:instrText xml:space="preserve"> PAGEREF _Toc193697654 \h </w:instrText>
        </w:r>
        <w:r w:rsidR="00AB1ED8">
          <w:rPr>
            <w:noProof/>
            <w:webHidden/>
          </w:rPr>
        </w:r>
        <w:r w:rsidR="00AB1ED8">
          <w:rPr>
            <w:noProof/>
            <w:webHidden/>
          </w:rPr>
          <w:fldChar w:fldCharType="separate"/>
        </w:r>
        <w:r>
          <w:rPr>
            <w:noProof/>
            <w:webHidden/>
          </w:rPr>
          <w:t>20</w:t>
        </w:r>
        <w:r w:rsidR="00AB1ED8">
          <w:rPr>
            <w:noProof/>
            <w:webHidden/>
          </w:rPr>
          <w:fldChar w:fldCharType="end"/>
        </w:r>
      </w:hyperlink>
    </w:p>
    <w:p w14:paraId="040DD0EE" w14:textId="451CB23B"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55" w:history="1">
        <w:r w:rsidR="00AB1ED8" w:rsidRPr="007101D9">
          <w:rPr>
            <w:rStyle w:val="Hypertextovprepojenie"/>
            <w:noProof/>
          </w:rPr>
          <w:t>1.4.2.3.</w:t>
        </w:r>
        <w:r w:rsidR="00AB1ED8">
          <w:rPr>
            <w:rFonts w:asciiTheme="minorHAnsi" w:eastAsiaTheme="minorEastAsia" w:hAnsiTheme="minorHAnsi" w:cstheme="minorBidi"/>
            <w:noProof/>
            <w:sz w:val="22"/>
            <w:szCs w:val="22"/>
          </w:rPr>
          <w:tab/>
        </w:r>
        <w:r w:rsidR="00AB1ED8" w:rsidRPr="007101D9">
          <w:rPr>
            <w:rStyle w:val="Hypertextovprepojenie"/>
            <w:noProof/>
          </w:rPr>
          <w:t>Nezákonné nakladanie s jadrovými a rádioaktívnymi materiálmi</w:t>
        </w:r>
        <w:r w:rsidR="00AB1ED8">
          <w:rPr>
            <w:noProof/>
            <w:webHidden/>
          </w:rPr>
          <w:tab/>
        </w:r>
        <w:r w:rsidR="00AB1ED8">
          <w:rPr>
            <w:noProof/>
            <w:webHidden/>
          </w:rPr>
          <w:fldChar w:fldCharType="begin"/>
        </w:r>
        <w:r w:rsidR="00AB1ED8">
          <w:rPr>
            <w:noProof/>
            <w:webHidden/>
          </w:rPr>
          <w:instrText xml:space="preserve"> PAGEREF _Toc193697655 \h </w:instrText>
        </w:r>
        <w:r w:rsidR="00AB1ED8">
          <w:rPr>
            <w:noProof/>
            <w:webHidden/>
          </w:rPr>
        </w:r>
        <w:r w:rsidR="00AB1ED8">
          <w:rPr>
            <w:noProof/>
            <w:webHidden/>
          </w:rPr>
          <w:fldChar w:fldCharType="separate"/>
        </w:r>
        <w:r>
          <w:rPr>
            <w:noProof/>
            <w:webHidden/>
          </w:rPr>
          <w:t>21</w:t>
        </w:r>
        <w:r w:rsidR="00AB1ED8">
          <w:rPr>
            <w:noProof/>
            <w:webHidden/>
          </w:rPr>
          <w:fldChar w:fldCharType="end"/>
        </w:r>
      </w:hyperlink>
    </w:p>
    <w:p w14:paraId="2114F8E1" w14:textId="6DD3DFB5" w:rsidR="00AB1ED8" w:rsidRDefault="007D4E33">
      <w:pPr>
        <w:pStyle w:val="Obsah4"/>
        <w:tabs>
          <w:tab w:val="left" w:pos="1760"/>
          <w:tab w:val="right" w:leader="dot" w:pos="9062"/>
        </w:tabs>
        <w:rPr>
          <w:rFonts w:asciiTheme="minorHAnsi" w:eastAsiaTheme="minorEastAsia" w:hAnsiTheme="minorHAnsi" w:cstheme="minorBidi"/>
          <w:noProof/>
          <w:sz w:val="22"/>
          <w:szCs w:val="22"/>
        </w:rPr>
      </w:pPr>
      <w:hyperlink w:anchor="_Toc193697656" w:history="1">
        <w:r w:rsidR="00AB1ED8" w:rsidRPr="007101D9">
          <w:rPr>
            <w:rStyle w:val="Hypertextovprepojenie"/>
            <w:noProof/>
          </w:rPr>
          <w:t>1.4.2.4.</w:t>
        </w:r>
        <w:r w:rsidR="00AB1ED8">
          <w:rPr>
            <w:rFonts w:asciiTheme="minorHAnsi" w:eastAsiaTheme="minorEastAsia" w:hAnsiTheme="minorHAnsi" w:cstheme="minorBidi"/>
            <w:noProof/>
            <w:sz w:val="22"/>
            <w:szCs w:val="22"/>
          </w:rPr>
          <w:tab/>
        </w:r>
        <w:r w:rsidR="00AB1ED8" w:rsidRPr="007101D9">
          <w:rPr>
            <w:rStyle w:val="Hypertextovprepojenie"/>
            <w:noProof/>
          </w:rPr>
          <w:t>Kontrola skladovania čerstvého a vyhoretého jadrového paliva</w:t>
        </w:r>
        <w:r w:rsidR="00AB1ED8">
          <w:rPr>
            <w:noProof/>
            <w:webHidden/>
          </w:rPr>
          <w:tab/>
        </w:r>
        <w:r w:rsidR="00AB1ED8">
          <w:rPr>
            <w:noProof/>
            <w:webHidden/>
          </w:rPr>
          <w:fldChar w:fldCharType="begin"/>
        </w:r>
        <w:r w:rsidR="00AB1ED8">
          <w:rPr>
            <w:noProof/>
            <w:webHidden/>
          </w:rPr>
          <w:instrText xml:space="preserve"> PAGEREF _Toc193697656 \h </w:instrText>
        </w:r>
        <w:r w:rsidR="00AB1ED8">
          <w:rPr>
            <w:noProof/>
            <w:webHidden/>
          </w:rPr>
        </w:r>
        <w:r w:rsidR="00AB1ED8">
          <w:rPr>
            <w:noProof/>
            <w:webHidden/>
          </w:rPr>
          <w:fldChar w:fldCharType="separate"/>
        </w:r>
        <w:r>
          <w:rPr>
            <w:noProof/>
            <w:webHidden/>
          </w:rPr>
          <w:t>21</w:t>
        </w:r>
        <w:r w:rsidR="00AB1ED8">
          <w:rPr>
            <w:noProof/>
            <w:webHidden/>
          </w:rPr>
          <w:fldChar w:fldCharType="end"/>
        </w:r>
      </w:hyperlink>
    </w:p>
    <w:p w14:paraId="3C9C8EFA" w14:textId="73E6338F"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57" w:history="1">
        <w:r w:rsidR="00AB1ED8" w:rsidRPr="007101D9">
          <w:rPr>
            <w:rStyle w:val="Hypertextovprepojenie"/>
            <w:noProof/>
          </w:rPr>
          <w:t>1.4.3.</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Fyzická ochrana JZ a JM</w:t>
        </w:r>
        <w:r w:rsidR="00AB1ED8">
          <w:rPr>
            <w:noProof/>
            <w:webHidden/>
          </w:rPr>
          <w:tab/>
        </w:r>
        <w:r w:rsidR="00AB1ED8">
          <w:rPr>
            <w:noProof/>
            <w:webHidden/>
          </w:rPr>
          <w:fldChar w:fldCharType="begin"/>
        </w:r>
        <w:r w:rsidR="00AB1ED8">
          <w:rPr>
            <w:noProof/>
            <w:webHidden/>
          </w:rPr>
          <w:instrText xml:space="preserve"> PAGEREF _Toc193697657 \h </w:instrText>
        </w:r>
        <w:r w:rsidR="00AB1ED8">
          <w:rPr>
            <w:noProof/>
            <w:webHidden/>
          </w:rPr>
        </w:r>
        <w:r w:rsidR="00AB1ED8">
          <w:rPr>
            <w:noProof/>
            <w:webHidden/>
          </w:rPr>
          <w:fldChar w:fldCharType="separate"/>
        </w:r>
        <w:r>
          <w:rPr>
            <w:noProof/>
            <w:webHidden/>
          </w:rPr>
          <w:t>21</w:t>
        </w:r>
        <w:r w:rsidR="00AB1ED8">
          <w:rPr>
            <w:noProof/>
            <w:webHidden/>
          </w:rPr>
          <w:fldChar w:fldCharType="end"/>
        </w:r>
      </w:hyperlink>
    </w:p>
    <w:p w14:paraId="5D25F259" w14:textId="1416E1DD"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58" w:history="1">
        <w:r w:rsidR="00AB1ED8" w:rsidRPr="007101D9">
          <w:rPr>
            <w:rStyle w:val="Hypertextovprepojenie"/>
            <w:noProof/>
          </w:rPr>
          <w:t>1.4.4.</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Špeciálny stavebný úrad</w:t>
        </w:r>
        <w:r w:rsidR="00AB1ED8">
          <w:rPr>
            <w:noProof/>
            <w:webHidden/>
          </w:rPr>
          <w:tab/>
        </w:r>
        <w:r w:rsidR="00AB1ED8">
          <w:rPr>
            <w:noProof/>
            <w:webHidden/>
          </w:rPr>
          <w:fldChar w:fldCharType="begin"/>
        </w:r>
        <w:r w:rsidR="00AB1ED8">
          <w:rPr>
            <w:noProof/>
            <w:webHidden/>
          </w:rPr>
          <w:instrText xml:space="preserve"> PAGEREF _Toc193697658 \h </w:instrText>
        </w:r>
        <w:r w:rsidR="00AB1ED8">
          <w:rPr>
            <w:noProof/>
            <w:webHidden/>
          </w:rPr>
        </w:r>
        <w:r w:rsidR="00AB1ED8">
          <w:rPr>
            <w:noProof/>
            <w:webHidden/>
          </w:rPr>
          <w:fldChar w:fldCharType="separate"/>
        </w:r>
        <w:r>
          <w:rPr>
            <w:noProof/>
            <w:webHidden/>
          </w:rPr>
          <w:t>23</w:t>
        </w:r>
        <w:r w:rsidR="00AB1ED8">
          <w:rPr>
            <w:noProof/>
            <w:webHidden/>
          </w:rPr>
          <w:fldChar w:fldCharType="end"/>
        </w:r>
      </w:hyperlink>
    </w:p>
    <w:p w14:paraId="13CF1EE5" w14:textId="54A5D572"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59" w:history="1">
        <w:r w:rsidR="00AB1ED8" w:rsidRPr="007101D9">
          <w:rPr>
            <w:rStyle w:val="Hypertextovprepojenie"/>
            <w:noProof/>
          </w:rPr>
          <w:t>1.4.5.</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Havarijné plánovanie a pripravenosť</w:t>
        </w:r>
        <w:r w:rsidR="00AB1ED8">
          <w:rPr>
            <w:noProof/>
            <w:webHidden/>
          </w:rPr>
          <w:tab/>
        </w:r>
        <w:r w:rsidR="00AB1ED8">
          <w:rPr>
            <w:noProof/>
            <w:webHidden/>
          </w:rPr>
          <w:fldChar w:fldCharType="begin"/>
        </w:r>
        <w:r w:rsidR="00AB1ED8">
          <w:rPr>
            <w:noProof/>
            <w:webHidden/>
          </w:rPr>
          <w:instrText xml:space="preserve"> PAGEREF _Toc193697659 \h </w:instrText>
        </w:r>
        <w:r w:rsidR="00AB1ED8">
          <w:rPr>
            <w:noProof/>
            <w:webHidden/>
          </w:rPr>
        </w:r>
        <w:r w:rsidR="00AB1ED8">
          <w:rPr>
            <w:noProof/>
            <w:webHidden/>
          </w:rPr>
          <w:fldChar w:fldCharType="separate"/>
        </w:r>
        <w:r>
          <w:rPr>
            <w:noProof/>
            <w:webHidden/>
          </w:rPr>
          <w:t>23</w:t>
        </w:r>
        <w:r w:rsidR="00AB1ED8">
          <w:rPr>
            <w:noProof/>
            <w:webHidden/>
          </w:rPr>
          <w:fldChar w:fldCharType="end"/>
        </w:r>
      </w:hyperlink>
    </w:p>
    <w:p w14:paraId="0BE0F383" w14:textId="3724B0EE" w:rsidR="00AB1ED8" w:rsidRDefault="007D4E33">
      <w:pPr>
        <w:pStyle w:val="Obsah2"/>
        <w:rPr>
          <w:rFonts w:asciiTheme="minorHAnsi" w:eastAsiaTheme="minorEastAsia" w:hAnsiTheme="minorHAnsi" w:cstheme="minorBidi"/>
          <w:smallCaps w:val="0"/>
          <w:noProof/>
          <w:sz w:val="22"/>
          <w:szCs w:val="22"/>
        </w:rPr>
      </w:pPr>
      <w:hyperlink w:anchor="_Toc193697660" w:history="1">
        <w:r w:rsidR="00AB1ED8" w:rsidRPr="007101D9">
          <w:rPr>
            <w:rStyle w:val="Hypertextovprepojenie"/>
            <w:bCs/>
            <w:noProof/>
          </w:rPr>
          <w:t>1.5.</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Medzinárodná spolupráca</w:t>
        </w:r>
        <w:r w:rsidR="00AB1ED8">
          <w:rPr>
            <w:noProof/>
            <w:webHidden/>
          </w:rPr>
          <w:tab/>
        </w:r>
        <w:r w:rsidR="00AB1ED8">
          <w:rPr>
            <w:noProof/>
            <w:webHidden/>
          </w:rPr>
          <w:fldChar w:fldCharType="begin"/>
        </w:r>
        <w:r w:rsidR="00AB1ED8">
          <w:rPr>
            <w:noProof/>
            <w:webHidden/>
          </w:rPr>
          <w:instrText xml:space="preserve"> PAGEREF _Toc193697660 \h </w:instrText>
        </w:r>
        <w:r w:rsidR="00AB1ED8">
          <w:rPr>
            <w:noProof/>
            <w:webHidden/>
          </w:rPr>
        </w:r>
        <w:r w:rsidR="00AB1ED8">
          <w:rPr>
            <w:noProof/>
            <w:webHidden/>
          </w:rPr>
          <w:fldChar w:fldCharType="separate"/>
        </w:r>
        <w:r>
          <w:rPr>
            <w:noProof/>
            <w:webHidden/>
          </w:rPr>
          <w:t>25</w:t>
        </w:r>
        <w:r w:rsidR="00AB1ED8">
          <w:rPr>
            <w:noProof/>
            <w:webHidden/>
          </w:rPr>
          <w:fldChar w:fldCharType="end"/>
        </w:r>
      </w:hyperlink>
    </w:p>
    <w:p w14:paraId="4FEAA488" w14:textId="61703B3F"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1" w:history="1">
        <w:r w:rsidR="00AB1ED8" w:rsidRPr="007101D9">
          <w:rPr>
            <w:rStyle w:val="Hypertextovprepojenie"/>
            <w:noProof/>
          </w:rPr>
          <w:t>1.5.1.</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Spolupráca v rámci Európskej únie a Európskeho spoločenstva pre atómovú energiu</w:t>
        </w:r>
        <w:r w:rsidR="00AB1ED8">
          <w:rPr>
            <w:noProof/>
            <w:webHidden/>
          </w:rPr>
          <w:tab/>
        </w:r>
        <w:r w:rsidR="00AB1ED8">
          <w:rPr>
            <w:noProof/>
            <w:webHidden/>
          </w:rPr>
          <w:tab/>
        </w:r>
        <w:r w:rsidR="00AB1ED8">
          <w:rPr>
            <w:noProof/>
            <w:webHidden/>
          </w:rPr>
          <w:fldChar w:fldCharType="begin"/>
        </w:r>
        <w:r w:rsidR="00AB1ED8">
          <w:rPr>
            <w:noProof/>
            <w:webHidden/>
          </w:rPr>
          <w:instrText xml:space="preserve"> PAGEREF _Toc193697661 \h </w:instrText>
        </w:r>
        <w:r w:rsidR="00AB1ED8">
          <w:rPr>
            <w:noProof/>
            <w:webHidden/>
          </w:rPr>
        </w:r>
        <w:r w:rsidR="00AB1ED8">
          <w:rPr>
            <w:noProof/>
            <w:webHidden/>
          </w:rPr>
          <w:fldChar w:fldCharType="separate"/>
        </w:r>
        <w:r>
          <w:rPr>
            <w:noProof/>
            <w:webHidden/>
          </w:rPr>
          <w:t>25</w:t>
        </w:r>
        <w:r w:rsidR="00AB1ED8">
          <w:rPr>
            <w:noProof/>
            <w:webHidden/>
          </w:rPr>
          <w:fldChar w:fldCharType="end"/>
        </w:r>
      </w:hyperlink>
    </w:p>
    <w:p w14:paraId="77B6DB3B" w14:textId="24D95000"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2" w:history="1">
        <w:r w:rsidR="00AB1ED8" w:rsidRPr="007101D9">
          <w:rPr>
            <w:rStyle w:val="Hypertextovprepojenie"/>
            <w:noProof/>
          </w:rPr>
          <w:t>1.5.2.</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Spolupráca európskych dozorov (WENRA)</w:t>
        </w:r>
        <w:r w:rsidR="00AB1ED8">
          <w:rPr>
            <w:noProof/>
            <w:webHidden/>
          </w:rPr>
          <w:tab/>
        </w:r>
        <w:r w:rsidR="00AB1ED8">
          <w:rPr>
            <w:noProof/>
            <w:webHidden/>
          </w:rPr>
          <w:fldChar w:fldCharType="begin"/>
        </w:r>
        <w:r w:rsidR="00AB1ED8">
          <w:rPr>
            <w:noProof/>
            <w:webHidden/>
          </w:rPr>
          <w:instrText xml:space="preserve"> PAGEREF _Toc193697662 \h </w:instrText>
        </w:r>
        <w:r w:rsidR="00AB1ED8">
          <w:rPr>
            <w:noProof/>
            <w:webHidden/>
          </w:rPr>
        </w:r>
        <w:r w:rsidR="00AB1ED8">
          <w:rPr>
            <w:noProof/>
            <w:webHidden/>
          </w:rPr>
          <w:fldChar w:fldCharType="separate"/>
        </w:r>
        <w:r>
          <w:rPr>
            <w:noProof/>
            <w:webHidden/>
          </w:rPr>
          <w:t>27</w:t>
        </w:r>
        <w:r w:rsidR="00AB1ED8">
          <w:rPr>
            <w:noProof/>
            <w:webHidden/>
          </w:rPr>
          <w:fldChar w:fldCharType="end"/>
        </w:r>
      </w:hyperlink>
    </w:p>
    <w:p w14:paraId="3D0560DE" w14:textId="62EF0F1B"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3" w:history="1">
        <w:r w:rsidR="00AB1ED8" w:rsidRPr="007101D9">
          <w:rPr>
            <w:rStyle w:val="Hypertextovprepojenie"/>
            <w:noProof/>
          </w:rPr>
          <w:t>1.5.3.</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Spolupráca s Medzinárodnou agentúrou pre atómovú energiu (MAAE)</w:t>
        </w:r>
        <w:r w:rsidR="00AB1ED8">
          <w:rPr>
            <w:noProof/>
            <w:webHidden/>
          </w:rPr>
          <w:tab/>
        </w:r>
        <w:r w:rsidR="00AB1ED8">
          <w:rPr>
            <w:noProof/>
            <w:webHidden/>
          </w:rPr>
          <w:fldChar w:fldCharType="begin"/>
        </w:r>
        <w:r w:rsidR="00AB1ED8">
          <w:rPr>
            <w:noProof/>
            <w:webHidden/>
          </w:rPr>
          <w:instrText xml:space="preserve"> PAGEREF _Toc193697663 \h </w:instrText>
        </w:r>
        <w:r w:rsidR="00AB1ED8">
          <w:rPr>
            <w:noProof/>
            <w:webHidden/>
          </w:rPr>
        </w:r>
        <w:r w:rsidR="00AB1ED8">
          <w:rPr>
            <w:noProof/>
            <w:webHidden/>
          </w:rPr>
          <w:fldChar w:fldCharType="separate"/>
        </w:r>
        <w:r>
          <w:rPr>
            <w:noProof/>
            <w:webHidden/>
          </w:rPr>
          <w:t>27</w:t>
        </w:r>
        <w:r w:rsidR="00AB1ED8">
          <w:rPr>
            <w:noProof/>
            <w:webHidden/>
          </w:rPr>
          <w:fldChar w:fldCharType="end"/>
        </w:r>
      </w:hyperlink>
    </w:p>
    <w:p w14:paraId="1261F6FF" w14:textId="53E6721B"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4" w:history="1">
        <w:r w:rsidR="00AB1ED8" w:rsidRPr="007101D9">
          <w:rPr>
            <w:rStyle w:val="Hypertextovprepojenie"/>
            <w:noProof/>
          </w:rPr>
          <w:t>1.5.4.</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Spolupráca s Organizáciou Zmluvy o všeobecnom zákaze jadrových skúšok (CTBTO)</w:t>
        </w:r>
        <w:r w:rsidR="00AB1ED8">
          <w:rPr>
            <w:noProof/>
            <w:webHidden/>
          </w:rPr>
          <w:tab/>
        </w:r>
        <w:r w:rsidR="00AB1ED8">
          <w:rPr>
            <w:noProof/>
            <w:webHidden/>
          </w:rPr>
          <w:fldChar w:fldCharType="begin"/>
        </w:r>
        <w:r w:rsidR="00AB1ED8">
          <w:rPr>
            <w:noProof/>
            <w:webHidden/>
          </w:rPr>
          <w:instrText xml:space="preserve"> PAGEREF _Toc193697664 \h </w:instrText>
        </w:r>
        <w:r w:rsidR="00AB1ED8">
          <w:rPr>
            <w:noProof/>
            <w:webHidden/>
          </w:rPr>
        </w:r>
        <w:r w:rsidR="00AB1ED8">
          <w:rPr>
            <w:noProof/>
            <w:webHidden/>
          </w:rPr>
          <w:fldChar w:fldCharType="separate"/>
        </w:r>
        <w:r>
          <w:rPr>
            <w:noProof/>
            <w:webHidden/>
          </w:rPr>
          <w:t>28</w:t>
        </w:r>
        <w:r w:rsidR="00AB1ED8">
          <w:rPr>
            <w:noProof/>
            <w:webHidden/>
          </w:rPr>
          <w:fldChar w:fldCharType="end"/>
        </w:r>
      </w:hyperlink>
    </w:p>
    <w:p w14:paraId="534D6004" w14:textId="05B8FE71"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5" w:history="1">
        <w:r w:rsidR="00AB1ED8" w:rsidRPr="007101D9">
          <w:rPr>
            <w:rStyle w:val="Hypertextovprepojenie"/>
            <w:noProof/>
          </w:rPr>
          <w:t>1.5.5.</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Spolupráca s Agentúrou pre jadrovú energiu pri Organizácii pre hospodársku spoluprácu a rozvoj (OECD/NEA)</w:t>
        </w:r>
        <w:r w:rsidR="00AB1ED8">
          <w:rPr>
            <w:noProof/>
            <w:webHidden/>
          </w:rPr>
          <w:tab/>
        </w:r>
        <w:r w:rsidR="00AB1ED8">
          <w:rPr>
            <w:noProof/>
            <w:webHidden/>
          </w:rPr>
          <w:fldChar w:fldCharType="begin"/>
        </w:r>
        <w:r w:rsidR="00AB1ED8">
          <w:rPr>
            <w:noProof/>
            <w:webHidden/>
          </w:rPr>
          <w:instrText xml:space="preserve"> PAGEREF _Toc193697665 \h </w:instrText>
        </w:r>
        <w:r w:rsidR="00AB1ED8">
          <w:rPr>
            <w:noProof/>
            <w:webHidden/>
          </w:rPr>
        </w:r>
        <w:r w:rsidR="00AB1ED8">
          <w:rPr>
            <w:noProof/>
            <w:webHidden/>
          </w:rPr>
          <w:fldChar w:fldCharType="separate"/>
        </w:r>
        <w:r>
          <w:rPr>
            <w:noProof/>
            <w:webHidden/>
          </w:rPr>
          <w:t>28</w:t>
        </w:r>
        <w:r w:rsidR="00AB1ED8">
          <w:rPr>
            <w:noProof/>
            <w:webHidden/>
          </w:rPr>
          <w:fldChar w:fldCharType="end"/>
        </w:r>
      </w:hyperlink>
    </w:p>
    <w:p w14:paraId="5A6948F3" w14:textId="6E93D644"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6" w:history="1">
        <w:r w:rsidR="00AB1ED8" w:rsidRPr="007101D9">
          <w:rPr>
            <w:rStyle w:val="Hypertextovprepojenie"/>
            <w:noProof/>
          </w:rPr>
          <w:t>1.5.6.</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Plnenie záväzkov vyplývajúcich z medzinárodných zmluvných dokumentov</w:t>
        </w:r>
        <w:r w:rsidR="00AB1ED8">
          <w:rPr>
            <w:noProof/>
            <w:webHidden/>
          </w:rPr>
          <w:tab/>
        </w:r>
        <w:r w:rsidR="00AB1ED8">
          <w:rPr>
            <w:noProof/>
            <w:webHidden/>
          </w:rPr>
          <w:fldChar w:fldCharType="begin"/>
        </w:r>
        <w:r w:rsidR="00AB1ED8">
          <w:rPr>
            <w:noProof/>
            <w:webHidden/>
          </w:rPr>
          <w:instrText xml:space="preserve"> PAGEREF _Toc193697666 \h </w:instrText>
        </w:r>
        <w:r w:rsidR="00AB1ED8">
          <w:rPr>
            <w:noProof/>
            <w:webHidden/>
          </w:rPr>
        </w:r>
        <w:r w:rsidR="00AB1ED8">
          <w:rPr>
            <w:noProof/>
            <w:webHidden/>
          </w:rPr>
          <w:fldChar w:fldCharType="separate"/>
        </w:r>
        <w:r>
          <w:rPr>
            <w:noProof/>
            <w:webHidden/>
          </w:rPr>
          <w:t>29</w:t>
        </w:r>
        <w:r w:rsidR="00AB1ED8">
          <w:rPr>
            <w:noProof/>
            <w:webHidden/>
          </w:rPr>
          <w:fldChar w:fldCharType="end"/>
        </w:r>
      </w:hyperlink>
    </w:p>
    <w:p w14:paraId="142087C5" w14:textId="00A57BE2" w:rsidR="00AB1ED8" w:rsidRDefault="007D4E33">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93697667" w:history="1">
        <w:r w:rsidR="00AB1ED8" w:rsidRPr="007101D9">
          <w:rPr>
            <w:rStyle w:val="Hypertextovprepojenie"/>
            <w:noProof/>
          </w:rPr>
          <w:t>1.5.7.</w:t>
        </w:r>
        <w:r w:rsidR="00AB1ED8">
          <w:rPr>
            <w:rFonts w:asciiTheme="minorHAnsi" w:eastAsiaTheme="minorEastAsia" w:hAnsiTheme="minorHAnsi" w:cstheme="minorBidi"/>
            <w:i w:val="0"/>
            <w:iCs w:val="0"/>
            <w:noProof/>
            <w:sz w:val="22"/>
            <w:szCs w:val="22"/>
          </w:rPr>
          <w:tab/>
        </w:r>
        <w:r w:rsidR="00AB1ED8" w:rsidRPr="007101D9">
          <w:rPr>
            <w:rStyle w:val="Hypertextovprepojenie"/>
            <w:noProof/>
          </w:rPr>
          <w:t>Bilaterálna spolupráca</w:t>
        </w:r>
        <w:r w:rsidR="00AB1ED8">
          <w:rPr>
            <w:noProof/>
            <w:webHidden/>
          </w:rPr>
          <w:tab/>
        </w:r>
        <w:r w:rsidR="00AB1ED8">
          <w:rPr>
            <w:noProof/>
            <w:webHidden/>
          </w:rPr>
          <w:fldChar w:fldCharType="begin"/>
        </w:r>
        <w:r w:rsidR="00AB1ED8">
          <w:rPr>
            <w:noProof/>
            <w:webHidden/>
          </w:rPr>
          <w:instrText xml:space="preserve"> PAGEREF _Toc193697667 \h </w:instrText>
        </w:r>
        <w:r w:rsidR="00AB1ED8">
          <w:rPr>
            <w:noProof/>
            <w:webHidden/>
          </w:rPr>
        </w:r>
        <w:r w:rsidR="00AB1ED8">
          <w:rPr>
            <w:noProof/>
            <w:webHidden/>
          </w:rPr>
          <w:fldChar w:fldCharType="separate"/>
        </w:r>
        <w:r>
          <w:rPr>
            <w:noProof/>
            <w:webHidden/>
          </w:rPr>
          <w:t>29</w:t>
        </w:r>
        <w:r w:rsidR="00AB1ED8">
          <w:rPr>
            <w:noProof/>
            <w:webHidden/>
          </w:rPr>
          <w:fldChar w:fldCharType="end"/>
        </w:r>
      </w:hyperlink>
    </w:p>
    <w:p w14:paraId="3F053CD9" w14:textId="56D4A500" w:rsidR="00AB1ED8" w:rsidRDefault="007D4E33">
      <w:pPr>
        <w:pStyle w:val="Obsah2"/>
        <w:rPr>
          <w:rFonts w:asciiTheme="minorHAnsi" w:eastAsiaTheme="minorEastAsia" w:hAnsiTheme="minorHAnsi" w:cstheme="minorBidi"/>
          <w:smallCaps w:val="0"/>
          <w:noProof/>
          <w:sz w:val="22"/>
          <w:szCs w:val="22"/>
        </w:rPr>
      </w:pPr>
      <w:hyperlink w:anchor="_Toc193697668" w:history="1">
        <w:r w:rsidR="00AB1ED8" w:rsidRPr="007101D9">
          <w:rPr>
            <w:rStyle w:val="Hypertextovprepojenie"/>
            <w:bCs/>
            <w:noProof/>
          </w:rPr>
          <w:t>1.6.</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Komunikácia s verejnosťou</w:t>
        </w:r>
        <w:r w:rsidR="00AB1ED8">
          <w:rPr>
            <w:noProof/>
            <w:webHidden/>
          </w:rPr>
          <w:tab/>
        </w:r>
        <w:r w:rsidR="00AB1ED8">
          <w:rPr>
            <w:noProof/>
            <w:webHidden/>
          </w:rPr>
          <w:fldChar w:fldCharType="begin"/>
        </w:r>
        <w:r w:rsidR="00AB1ED8">
          <w:rPr>
            <w:noProof/>
            <w:webHidden/>
          </w:rPr>
          <w:instrText xml:space="preserve"> PAGEREF _Toc193697668 \h </w:instrText>
        </w:r>
        <w:r w:rsidR="00AB1ED8">
          <w:rPr>
            <w:noProof/>
            <w:webHidden/>
          </w:rPr>
        </w:r>
        <w:r w:rsidR="00AB1ED8">
          <w:rPr>
            <w:noProof/>
            <w:webHidden/>
          </w:rPr>
          <w:fldChar w:fldCharType="separate"/>
        </w:r>
        <w:r>
          <w:rPr>
            <w:noProof/>
            <w:webHidden/>
          </w:rPr>
          <w:t>30</w:t>
        </w:r>
        <w:r w:rsidR="00AB1ED8">
          <w:rPr>
            <w:noProof/>
            <w:webHidden/>
          </w:rPr>
          <w:fldChar w:fldCharType="end"/>
        </w:r>
      </w:hyperlink>
    </w:p>
    <w:p w14:paraId="46FC3815" w14:textId="1C4A71FD" w:rsidR="00AB1ED8" w:rsidRDefault="007D4E33">
      <w:pPr>
        <w:pStyle w:val="Obsah1"/>
        <w:rPr>
          <w:rFonts w:asciiTheme="minorHAnsi" w:eastAsiaTheme="minorEastAsia" w:hAnsiTheme="minorHAnsi" w:cstheme="minorBidi"/>
          <w:b w:val="0"/>
          <w:bCs w:val="0"/>
          <w:caps w:val="0"/>
          <w:sz w:val="22"/>
          <w:szCs w:val="22"/>
        </w:rPr>
      </w:pPr>
      <w:hyperlink w:anchor="_Toc193697669" w:history="1">
        <w:r w:rsidR="00AB1ED8" w:rsidRPr="007101D9">
          <w:rPr>
            <w:rStyle w:val="Hypertextovprepojenie"/>
          </w:rPr>
          <w:t>2.</w:t>
        </w:r>
        <w:r w:rsidR="00AB1ED8">
          <w:rPr>
            <w:rFonts w:asciiTheme="minorHAnsi" w:eastAsiaTheme="minorEastAsia" w:hAnsiTheme="minorHAnsi" w:cstheme="minorBidi"/>
            <w:b w:val="0"/>
            <w:bCs w:val="0"/>
            <w:caps w:val="0"/>
            <w:sz w:val="22"/>
            <w:szCs w:val="22"/>
          </w:rPr>
          <w:tab/>
        </w:r>
        <w:r w:rsidR="00AB1ED8" w:rsidRPr="007101D9">
          <w:rPr>
            <w:rStyle w:val="Hypertextovprepojenie"/>
          </w:rPr>
          <w:t>VNÚTROÚRADNÉ ČINNOSTI</w:t>
        </w:r>
        <w:r w:rsidR="00AB1ED8">
          <w:rPr>
            <w:webHidden/>
          </w:rPr>
          <w:tab/>
        </w:r>
        <w:r w:rsidR="00AB1ED8">
          <w:rPr>
            <w:webHidden/>
          </w:rPr>
          <w:fldChar w:fldCharType="begin"/>
        </w:r>
        <w:r w:rsidR="00AB1ED8">
          <w:rPr>
            <w:webHidden/>
          </w:rPr>
          <w:instrText xml:space="preserve"> PAGEREF _Toc193697669 \h </w:instrText>
        </w:r>
        <w:r w:rsidR="00AB1ED8">
          <w:rPr>
            <w:webHidden/>
          </w:rPr>
        </w:r>
        <w:r w:rsidR="00AB1ED8">
          <w:rPr>
            <w:webHidden/>
          </w:rPr>
          <w:fldChar w:fldCharType="separate"/>
        </w:r>
        <w:r>
          <w:rPr>
            <w:webHidden/>
          </w:rPr>
          <w:t>32</w:t>
        </w:r>
        <w:r w:rsidR="00AB1ED8">
          <w:rPr>
            <w:webHidden/>
          </w:rPr>
          <w:fldChar w:fldCharType="end"/>
        </w:r>
      </w:hyperlink>
    </w:p>
    <w:p w14:paraId="55006302" w14:textId="7B812010" w:rsidR="00AB1ED8" w:rsidRDefault="007D4E33">
      <w:pPr>
        <w:pStyle w:val="Obsah2"/>
        <w:rPr>
          <w:rFonts w:asciiTheme="minorHAnsi" w:eastAsiaTheme="minorEastAsia" w:hAnsiTheme="minorHAnsi" w:cstheme="minorBidi"/>
          <w:smallCaps w:val="0"/>
          <w:noProof/>
          <w:sz w:val="22"/>
          <w:szCs w:val="22"/>
        </w:rPr>
      </w:pPr>
      <w:hyperlink w:anchor="_Toc193697670" w:history="1">
        <w:r w:rsidR="00AB1ED8" w:rsidRPr="007101D9">
          <w:rPr>
            <w:rStyle w:val="Hypertextovprepojenie"/>
            <w:bCs/>
            <w:noProof/>
          </w:rPr>
          <w:t>2.1.</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Manažérsky systém</w:t>
        </w:r>
        <w:r w:rsidR="00AB1ED8">
          <w:rPr>
            <w:noProof/>
            <w:webHidden/>
          </w:rPr>
          <w:tab/>
        </w:r>
        <w:r w:rsidR="00AB1ED8">
          <w:rPr>
            <w:noProof/>
            <w:webHidden/>
          </w:rPr>
          <w:fldChar w:fldCharType="begin"/>
        </w:r>
        <w:r w:rsidR="00AB1ED8">
          <w:rPr>
            <w:noProof/>
            <w:webHidden/>
          </w:rPr>
          <w:instrText xml:space="preserve"> PAGEREF _Toc193697670 \h </w:instrText>
        </w:r>
        <w:r w:rsidR="00AB1ED8">
          <w:rPr>
            <w:noProof/>
            <w:webHidden/>
          </w:rPr>
        </w:r>
        <w:r w:rsidR="00AB1ED8">
          <w:rPr>
            <w:noProof/>
            <w:webHidden/>
          </w:rPr>
          <w:fldChar w:fldCharType="separate"/>
        </w:r>
        <w:r>
          <w:rPr>
            <w:noProof/>
            <w:webHidden/>
          </w:rPr>
          <w:t>32</w:t>
        </w:r>
        <w:r w:rsidR="00AB1ED8">
          <w:rPr>
            <w:noProof/>
            <w:webHidden/>
          </w:rPr>
          <w:fldChar w:fldCharType="end"/>
        </w:r>
      </w:hyperlink>
    </w:p>
    <w:p w14:paraId="0AE3145A" w14:textId="6605169D" w:rsidR="00AB1ED8" w:rsidRDefault="007D4E33">
      <w:pPr>
        <w:pStyle w:val="Obsah2"/>
        <w:rPr>
          <w:rFonts w:asciiTheme="minorHAnsi" w:eastAsiaTheme="minorEastAsia" w:hAnsiTheme="minorHAnsi" w:cstheme="minorBidi"/>
          <w:smallCaps w:val="0"/>
          <w:noProof/>
          <w:sz w:val="22"/>
          <w:szCs w:val="22"/>
        </w:rPr>
      </w:pPr>
      <w:hyperlink w:anchor="_Toc193697671" w:history="1">
        <w:r w:rsidR="00AB1ED8" w:rsidRPr="007101D9">
          <w:rPr>
            <w:rStyle w:val="Hypertextovprepojenie"/>
            <w:bCs/>
            <w:noProof/>
          </w:rPr>
          <w:t>2.2.</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Informačná a kybernetická bezpečnosť</w:t>
        </w:r>
        <w:r w:rsidR="00AB1ED8">
          <w:rPr>
            <w:noProof/>
            <w:webHidden/>
          </w:rPr>
          <w:tab/>
        </w:r>
        <w:r w:rsidR="00AB1ED8">
          <w:rPr>
            <w:noProof/>
            <w:webHidden/>
          </w:rPr>
          <w:fldChar w:fldCharType="begin"/>
        </w:r>
        <w:r w:rsidR="00AB1ED8">
          <w:rPr>
            <w:noProof/>
            <w:webHidden/>
          </w:rPr>
          <w:instrText xml:space="preserve"> PAGEREF _Toc193697671 \h </w:instrText>
        </w:r>
        <w:r w:rsidR="00AB1ED8">
          <w:rPr>
            <w:noProof/>
            <w:webHidden/>
          </w:rPr>
        </w:r>
        <w:r w:rsidR="00AB1ED8">
          <w:rPr>
            <w:noProof/>
            <w:webHidden/>
          </w:rPr>
          <w:fldChar w:fldCharType="separate"/>
        </w:r>
        <w:r>
          <w:rPr>
            <w:noProof/>
            <w:webHidden/>
          </w:rPr>
          <w:t>33</w:t>
        </w:r>
        <w:r w:rsidR="00AB1ED8">
          <w:rPr>
            <w:noProof/>
            <w:webHidden/>
          </w:rPr>
          <w:fldChar w:fldCharType="end"/>
        </w:r>
      </w:hyperlink>
    </w:p>
    <w:p w14:paraId="44908541" w14:textId="230127A0" w:rsidR="00AB1ED8" w:rsidRDefault="007D4E33">
      <w:pPr>
        <w:pStyle w:val="Obsah2"/>
        <w:rPr>
          <w:rFonts w:asciiTheme="minorHAnsi" w:eastAsiaTheme="minorEastAsia" w:hAnsiTheme="minorHAnsi" w:cstheme="minorBidi"/>
          <w:smallCaps w:val="0"/>
          <w:noProof/>
          <w:sz w:val="22"/>
          <w:szCs w:val="22"/>
        </w:rPr>
      </w:pPr>
      <w:hyperlink w:anchor="_Toc193697672" w:history="1">
        <w:r w:rsidR="00AB1ED8" w:rsidRPr="007101D9">
          <w:rPr>
            <w:rStyle w:val="Hypertextovprepojenie"/>
            <w:bCs/>
            <w:noProof/>
          </w:rPr>
          <w:t>2.3.</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Ľudské zdroje</w:t>
        </w:r>
        <w:r w:rsidR="00AB1ED8">
          <w:rPr>
            <w:noProof/>
            <w:webHidden/>
          </w:rPr>
          <w:tab/>
        </w:r>
        <w:r w:rsidR="00AB1ED8">
          <w:rPr>
            <w:noProof/>
            <w:webHidden/>
          </w:rPr>
          <w:fldChar w:fldCharType="begin"/>
        </w:r>
        <w:r w:rsidR="00AB1ED8">
          <w:rPr>
            <w:noProof/>
            <w:webHidden/>
          </w:rPr>
          <w:instrText xml:space="preserve"> PAGEREF _Toc193697672 \h </w:instrText>
        </w:r>
        <w:r w:rsidR="00AB1ED8">
          <w:rPr>
            <w:noProof/>
            <w:webHidden/>
          </w:rPr>
        </w:r>
        <w:r w:rsidR="00AB1ED8">
          <w:rPr>
            <w:noProof/>
            <w:webHidden/>
          </w:rPr>
          <w:fldChar w:fldCharType="separate"/>
        </w:r>
        <w:r>
          <w:rPr>
            <w:noProof/>
            <w:webHidden/>
          </w:rPr>
          <w:t>34</w:t>
        </w:r>
        <w:r w:rsidR="00AB1ED8">
          <w:rPr>
            <w:noProof/>
            <w:webHidden/>
          </w:rPr>
          <w:fldChar w:fldCharType="end"/>
        </w:r>
      </w:hyperlink>
    </w:p>
    <w:p w14:paraId="7754F02B" w14:textId="5C7D6813" w:rsidR="00AB1ED8" w:rsidRDefault="007D4E33">
      <w:pPr>
        <w:pStyle w:val="Obsah2"/>
        <w:rPr>
          <w:rFonts w:asciiTheme="minorHAnsi" w:eastAsiaTheme="minorEastAsia" w:hAnsiTheme="minorHAnsi" w:cstheme="minorBidi"/>
          <w:smallCaps w:val="0"/>
          <w:noProof/>
          <w:sz w:val="22"/>
          <w:szCs w:val="22"/>
        </w:rPr>
      </w:pPr>
      <w:hyperlink w:anchor="_Toc193697673" w:history="1">
        <w:r w:rsidR="00AB1ED8" w:rsidRPr="007101D9">
          <w:rPr>
            <w:rStyle w:val="Hypertextovprepojenie"/>
            <w:bCs/>
            <w:noProof/>
          </w:rPr>
          <w:t>2.4.</w:t>
        </w:r>
        <w:r w:rsidR="00AB1ED8">
          <w:rPr>
            <w:rFonts w:asciiTheme="minorHAnsi" w:eastAsiaTheme="minorEastAsia" w:hAnsiTheme="minorHAnsi" w:cstheme="minorBidi"/>
            <w:smallCaps w:val="0"/>
            <w:noProof/>
            <w:sz w:val="22"/>
            <w:szCs w:val="22"/>
          </w:rPr>
          <w:tab/>
        </w:r>
        <w:r w:rsidR="00AB1ED8" w:rsidRPr="007101D9">
          <w:rPr>
            <w:rStyle w:val="Hypertextovprepojenie"/>
            <w:bCs/>
            <w:noProof/>
          </w:rPr>
          <w:t>Ekonomické údaje</w:t>
        </w:r>
        <w:r w:rsidR="00AB1ED8">
          <w:rPr>
            <w:noProof/>
            <w:webHidden/>
          </w:rPr>
          <w:tab/>
        </w:r>
        <w:r w:rsidR="00AB1ED8">
          <w:rPr>
            <w:noProof/>
            <w:webHidden/>
          </w:rPr>
          <w:fldChar w:fldCharType="begin"/>
        </w:r>
        <w:r w:rsidR="00AB1ED8">
          <w:rPr>
            <w:noProof/>
            <w:webHidden/>
          </w:rPr>
          <w:instrText xml:space="preserve"> PAGEREF _Toc193697673 \h </w:instrText>
        </w:r>
        <w:r w:rsidR="00AB1ED8">
          <w:rPr>
            <w:noProof/>
            <w:webHidden/>
          </w:rPr>
        </w:r>
        <w:r w:rsidR="00AB1ED8">
          <w:rPr>
            <w:noProof/>
            <w:webHidden/>
          </w:rPr>
          <w:fldChar w:fldCharType="separate"/>
        </w:r>
        <w:r>
          <w:rPr>
            <w:noProof/>
            <w:webHidden/>
          </w:rPr>
          <w:t>37</w:t>
        </w:r>
        <w:r w:rsidR="00AB1ED8">
          <w:rPr>
            <w:noProof/>
            <w:webHidden/>
          </w:rPr>
          <w:fldChar w:fldCharType="end"/>
        </w:r>
      </w:hyperlink>
    </w:p>
    <w:p w14:paraId="108E8E7F" w14:textId="137E7A8E" w:rsidR="00AB1ED8" w:rsidRDefault="007D4E33">
      <w:pPr>
        <w:pStyle w:val="Obsah1"/>
        <w:rPr>
          <w:rFonts w:asciiTheme="minorHAnsi" w:eastAsiaTheme="minorEastAsia" w:hAnsiTheme="minorHAnsi" w:cstheme="minorBidi"/>
          <w:b w:val="0"/>
          <w:bCs w:val="0"/>
          <w:caps w:val="0"/>
          <w:sz w:val="22"/>
          <w:szCs w:val="22"/>
        </w:rPr>
      </w:pPr>
      <w:hyperlink w:anchor="_Toc193697674" w:history="1">
        <w:r w:rsidR="00AB1ED8" w:rsidRPr="007101D9">
          <w:rPr>
            <w:rStyle w:val="Hypertextovprepojenie"/>
          </w:rPr>
          <w:t>3.</w:t>
        </w:r>
        <w:r w:rsidR="00AB1ED8">
          <w:rPr>
            <w:rFonts w:asciiTheme="minorHAnsi" w:eastAsiaTheme="minorEastAsia" w:hAnsiTheme="minorHAnsi" w:cstheme="minorBidi"/>
            <w:b w:val="0"/>
            <w:bCs w:val="0"/>
            <w:caps w:val="0"/>
            <w:sz w:val="22"/>
            <w:szCs w:val="22"/>
          </w:rPr>
          <w:tab/>
        </w:r>
        <w:r w:rsidR="00AB1ED8" w:rsidRPr="007101D9">
          <w:rPr>
            <w:rStyle w:val="Hypertextovprepojenie"/>
          </w:rPr>
          <w:t>Vysvetlenie SKRATIEK</w:t>
        </w:r>
        <w:r w:rsidR="00AB1ED8">
          <w:rPr>
            <w:webHidden/>
          </w:rPr>
          <w:tab/>
        </w:r>
        <w:r w:rsidR="00AB1ED8">
          <w:rPr>
            <w:webHidden/>
          </w:rPr>
          <w:fldChar w:fldCharType="begin"/>
        </w:r>
        <w:r w:rsidR="00AB1ED8">
          <w:rPr>
            <w:webHidden/>
          </w:rPr>
          <w:instrText xml:space="preserve"> PAGEREF _Toc193697674 \h </w:instrText>
        </w:r>
        <w:r w:rsidR="00AB1ED8">
          <w:rPr>
            <w:webHidden/>
          </w:rPr>
        </w:r>
        <w:r w:rsidR="00AB1ED8">
          <w:rPr>
            <w:webHidden/>
          </w:rPr>
          <w:fldChar w:fldCharType="separate"/>
        </w:r>
        <w:r>
          <w:rPr>
            <w:webHidden/>
          </w:rPr>
          <w:t>41</w:t>
        </w:r>
        <w:r w:rsidR="00AB1ED8">
          <w:rPr>
            <w:webHidden/>
          </w:rPr>
          <w:fldChar w:fldCharType="end"/>
        </w:r>
      </w:hyperlink>
    </w:p>
    <w:p w14:paraId="7593A9E0" w14:textId="47FD4EC4" w:rsidR="0026008A" w:rsidRPr="00683A4E" w:rsidRDefault="0026008A" w:rsidP="00BB78F4">
      <w:pPr>
        <w:autoSpaceDE w:val="0"/>
        <w:autoSpaceDN w:val="0"/>
        <w:adjustRightInd w:val="0"/>
        <w:spacing w:after="120"/>
        <w:jc w:val="both"/>
        <w:rPr>
          <w:sz w:val="2"/>
          <w:szCs w:val="2"/>
        </w:rPr>
      </w:pPr>
      <w:r w:rsidRPr="00C35FB9">
        <w:rPr>
          <w:bCs/>
          <w:szCs w:val="26"/>
        </w:rPr>
        <w:fldChar w:fldCharType="end"/>
      </w:r>
    </w:p>
    <w:sectPr w:rsidR="0026008A" w:rsidRPr="00683A4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6EFF" w14:textId="77777777" w:rsidR="00C27E9A" w:rsidRDefault="00C27E9A" w:rsidP="008F4C3F">
      <w:r>
        <w:separator/>
      </w:r>
    </w:p>
  </w:endnote>
  <w:endnote w:type="continuationSeparator" w:id="0">
    <w:p w14:paraId="0C4E161C" w14:textId="77777777" w:rsidR="00C27E9A" w:rsidRDefault="00C27E9A" w:rsidP="008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oxima Nova Rg">
    <w:altName w:val="Arial"/>
    <w:panose1 w:val="00000000000000000000"/>
    <w:charset w:val="00"/>
    <w:family w:val="swiss"/>
    <w:notTrueType/>
    <w:pitch w:val="default"/>
    <w:sig w:usb0="00000003" w:usb1="00000000" w:usb2="00000000" w:usb3="00000000" w:csb0="00000001" w:csb1="00000000"/>
  </w:font>
  <w:font w:name="Proxima Nova Lt">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58208"/>
      <w:docPartObj>
        <w:docPartGallery w:val="Page Numbers (Bottom of Page)"/>
        <w:docPartUnique/>
      </w:docPartObj>
    </w:sdtPr>
    <w:sdtEndPr/>
    <w:sdtContent>
      <w:p w14:paraId="77AE1351" w14:textId="7FC0ADA9" w:rsidR="00917F28" w:rsidRDefault="00917F28">
        <w:pPr>
          <w:pStyle w:val="Pta"/>
          <w:jc w:val="center"/>
        </w:pPr>
        <w:r>
          <w:fldChar w:fldCharType="begin"/>
        </w:r>
        <w:r>
          <w:instrText>PAGE   \* MERGEFORMAT</w:instrText>
        </w:r>
        <w:r>
          <w:fldChar w:fldCharType="separate"/>
        </w:r>
        <w:r w:rsidR="00C37665">
          <w:rPr>
            <w:noProof/>
          </w:rPr>
          <w:t>44</w:t>
        </w:r>
        <w:r>
          <w:fldChar w:fldCharType="end"/>
        </w:r>
      </w:p>
    </w:sdtContent>
  </w:sdt>
  <w:p w14:paraId="2602083A" w14:textId="77777777" w:rsidR="00917F28" w:rsidRDefault="00917F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039B" w14:textId="77777777" w:rsidR="00C27E9A" w:rsidRDefault="00C27E9A" w:rsidP="008F4C3F">
      <w:r>
        <w:separator/>
      </w:r>
    </w:p>
  </w:footnote>
  <w:footnote w:type="continuationSeparator" w:id="0">
    <w:p w14:paraId="60DB5846" w14:textId="77777777" w:rsidR="00C27E9A" w:rsidRDefault="00C27E9A" w:rsidP="008F4C3F">
      <w:r>
        <w:continuationSeparator/>
      </w:r>
    </w:p>
  </w:footnote>
  <w:footnote w:id="1">
    <w:p w14:paraId="0E031F17" w14:textId="7C349703" w:rsidR="00917F28" w:rsidRDefault="00917F28" w:rsidP="008D7BFB">
      <w:pPr>
        <w:pStyle w:val="Textpoznmkypodiarou"/>
        <w:jc w:val="both"/>
      </w:pPr>
      <w:r w:rsidRPr="00607CDC">
        <w:rPr>
          <w:rStyle w:val="Odkaznapoznmkupodiarou"/>
        </w:rPr>
        <w:sym w:font="Symbol" w:char="F02A"/>
      </w:r>
      <w:r>
        <w:t xml:space="preserve"> Ku koncu kalendárneho roka sa platia preddavky členských príspevkov na nasledujúci rok. Následne sa na začiatku daného roka dopláca zvyšok vypočítaných členských príspevkov. Z uvedeného dôvodu nemusí súhlasiť celková suma zaplatená v kalendárnom roku s členským príspevkom do medzinárodnej organizácie na daný kalendárny rok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E18D962"/>
    <w:lvl w:ilvl="0">
      <w:start w:val="1"/>
      <w:numFmt w:val="decimal"/>
      <w:pStyle w:val="slovanzoznam"/>
      <w:lvlText w:val="%1."/>
      <w:lvlJc w:val="left"/>
      <w:pPr>
        <w:tabs>
          <w:tab w:val="num" w:pos="360"/>
        </w:tabs>
        <w:ind w:left="360" w:hanging="360"/>
      </w:pPr>
      <w:rPr>
        <w:rFonts w:cs="Times New Roman"/>
      </w:rPr>
    </w:lvl>
  </w:abstractNum>
  <w:abstractNum w:abstractNumId="1" w15:restartNumberingAfterBreak="0">
    <w:nsid w:val="18BF1823"/>
    <w:multiLevelType w:val="hybridMultilevel"/>
    <w:tmpl w:val="50683D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A757F83"/>
    <w:multiLevelType w:val="multilevel"/>
    <w:tmpl w:val="D6F0443E"/>
    <w:lvl w:ilvl="0">
      <w:numFmt w:val="none"/>
      <w:suff w:val="nothing"/>
      <w:lvlText w:val=""/>
      <w:lvlJc w:val="left"/>
      <w:rPr>
        <w:rFonts w:cs="Times New Roman" w:hint="default"/>
      </w:rPr>
    </w:lvl>
    <w:lvl w:ilvl="1">
      <w:start w:val="3"/>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FA20976"/>
    <w:multiLevelType w:val="multilevel"/>
    <w:tmpl w:val="E1ECB17A"/>
    <w:lvl w:ilvl="0">
      <w:start w:val="1"/>
      <w:numFmt w:val="decimal"/>
      <w:lvlText w:val="%1."/>
      <w:lvlJc w:val="left"/>
      <w:pPr>
        <w:tabs>
          <w:tab w:val="num" w:pos="360"/>
        </w:tabs>
        <w:ind w:hanging="360"/>
      </w:pPr>
      <w:rPr>
        <w:rFonts w:cs="Times New Roman" w:hint="default"/>
        <w:b/>
        <w:i w:val="0"/>
        <w:sz w:val="28"/>
      </w:rPr>
    </w:lvl>
    <w:lvl w:ilvl="1">
      <w:start w:val="1"/>
      <w:numFmt w:val="decimal"/>
      <w:pStyle w:val="Nadpis2"/>
      <w:lvlText w:val="%1.%2."/>
      <w:lvlJc w:val="left"/>
      <w:pPr>
        <w:tabs>
          <w:tab w:val="num" w:pos="556"/>
        </w:tabs>
        <w:ind w:left="556" w:hanging="414"/>
      </w:pPr>
      <w:rPr>
        <w:rFonts w:cs="Times New Roman" w:hint="default"/>
        <w:b/>
        <w:i w:val="0"/>
        <w:sz w:val="24"/>
      </w:rPr>
    </w:lvl>
    <w:lvl w:ilvl="2">
      <w:start w:val="1"/>
      <w:numFmt w:val="decimal"/>
      <w:pStyle w:val="Nadpis3"/>
      <w:lvlText w:val="%1.%2.%3."/>
      <w:lvlJc w:val="left"/>
      <w:pPr>
        <w:tabs>
          <w:tab w:val="num" w:pos="1440"/>
        </w:tabs>
        <w:ind w:left="1224" w:hanging="504"/>
      </w:pPr>
      <w:rPr>
        <w:rFonts w:cs="Times New Roman" w:hint="default"/>
        <w:b/>
        <w:i w:val="0"/>
        <w:sz w:val="24"/>
      </w:rPr>
    </w:lvl>
    <w:lvl w:ilvl="3">
      <w:start w:val="1"/>
      <w:numFmt w:val="decimal"/>
      <w:pStyle w:val="Nadpis4"/>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5CB69BB"/>
    <w:multiLevelType w:val="hybridMultilevel"/>
    <w:tmpl w:val="ED241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C7F11CD"/>
    <w:multiLevelType w:val="hybridMultilevel"/>
    <w:tmpl w:val="B6BAA0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FBAC9478">
      <w:numFmt w:val="bullet"/>
      <w:lvlText w:val="-"/>
      <w:lvlJc w:val="left"/>
      <w:pPr>
        <w:ind w:left="2685" w:hanging="705"/>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5AD2D86"/>
    <w:multiLevelType w:val="multilevel"/>
    <w:tmpl w:val="95BE004E"/>
    <w:styleLink w:val="tl1"/>
    <w:lvl w:ilvl="0">
      <w:start w:val="9"/>
      <w:numFmt w:val="decimal"/>
      <w:lvlText w:val="%1."/>
      <w:lvlJc w:val="left"/>
      <w:pPr>
        <w:tabs>
          <w:tab w:val="num" w:pos="0"/>
        </w:tabs>
        <w:ind w:left="0" w:hanging="360"/>
      </w:pPr>
      <w:rPr>
        <w:b/>
        <w:i w:val="0"/>
        <w:sz w:val="28"/>
      </w:rPr>
    </w:lvl>
    <w:lvl w:ilvl="1">
      <w:start w:val="1"/>
      <w:numFmt w:val="decimal"/>
      <w:lvlText w:val="%1.%2."/>
      <w:lvlJc w:val="left"/>
      <w:pPr>
        <w:tabs>
          <w:tab w:val="num" w:pos="414"/>
        </w:tabs>
        <w:ind w:left="414" w:hanging="414"/>
      </w:pPr>
      <w:rPr>
        <w:b/>
        <w:i w:val="0"/>
        <w:sz w:val="24"/>
      </w:rPr>
    </w:lvl>
    <w:lvl w:ilvl="2">
      <w:start w:val="1"/>
      <w:numFmt w:val="decimal"/>
      <w:lvlText w:val="%1.%2.%3."/>
      <w:lvlJc w:val="left"/>
      <w:pPr>
        <w:tabs>
          <w:tab w:val="num" w:pos="1080"/>
        </w:tabs>
        <w:ind w:left="864" w:hanging="504"/>
      </w:pPr>
      <w:rPr>
        <w:b/>
        <w:i w:val="0"/>
        <w:sz w:val="24"/>
      </w:rPr>
    </w:lvl>
    <w:lvl w:ilvl="3">
      <w:start w:val="1"/>
      <w:numFmt w:val="decimal"/>
      <w:lvlText w:val="%1.%2.%3.%4."/>
      <w:lvlJc w:val="left"/>
      <w:pPr>
        <w:tabs>
          <w:tab w:val="num" w:pos="1800"/>
        </w:tabs>
        <w:ind w:left="1368" w:hanging="648"/>
      </w:pPr>
      <w:rPr>
        <w:b w:val="0"/>
        <w:i w:val="0"/>
      </w:r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7" w15:restartNumberingAfterBreak="0">
    <w:nsid w:val="76D1758D"/>
    <w:multiLevelType w:val="hybridMultilevel"/>
    <w:tmpl w:val="E2F425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 w:numId="8">
    <w:abstractNumId w:val="7"/>
  </w:num>
  <w:num w:numId="9">
    <w:abstractNumId w:val="3"/>
  </w:num>
  <w:num w:numId="10">
    <w:abstractNumId w:val="3"/>
  </w:num>
  <w:num w:numId="11">
    <w:abstractNumId w:val="0"/>
  </w:num>
  <w:num w:numId="12">
    <w:abstractNumId w:val="3"/>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1F"/>
    <w:rsid w:val="00000EB2"/>
    <w:rsid w:val="000028F6"/>
    <w:rsid w:val="00002942"/>
    <w:rsid w:val="00002ABA"/>
    <w:rsid w:val="00002B3A"/>
    <w:rsid w:val="00003695"/>
    <w:rsid w:val="00003DDD"/>
    <w:rsid w:val="000040AF"/>
    <w:rsid w:val="000060FC"/>
    <w:rsid w:val="00007D61"/>
    <w:rsid w:val="00012936"/>
    <w:rsid w:val="00012EEB"/>
    <w:rsid w:val="00013BE5"/>
    <w:rsid w:val="00014065"/>
    <w:rsid w:val="00014C02"/>
    <w:rsid w:val="000151CB"/>
    <w:rsid w:val="0001739D"/>
    <w:rsid w:val="0001748E"/>
    <w:rsid w:val="00017868"/>
    <w:rsid w:val="00017955"/>
    <w:rsid w:val="000204D6"/>
    <w:rsid w:val="000205E9"/>
    <w:rsid w:val="00020E9F"/>
    <w:rsid w:val="000219FA"/>
    <w:rsid w:val="000220AC"/>
    <w:rsid w:val="00022784"/>
    <w:rsid w:val="000228D7"/>
    <w:rsid w:val="000239C7"/>
    <w:rsid w:val="00023AB4"/>
    <w:rsid w:val="00024DB5"/>
    <w:rsid w:val="00025D7A"/>
    <w:rsid w:val="000263F8"/>
    <w:rsid w:val="000305C3"/>
    <w:rsid w:val="00031121"/>
    <w:rsid w:val="00032899"/>
    <w:rsid w:val="00033008"/>
    <w:rsid w:val="00033101"/>
    <w:rsid w:val="0003524E"/>
    <w:rsid w:val="0003544B"/>
    <w:rsid w:val="0003688A"/>
    <w:rsid w:val="00037111"/>
    <w:rsid w:val="00037591"/>
    <w:rsid w:val="0003782F"/>
    <w:rsid w:val="00037AA6"/>
    <w:rsid w:val="000404A3"/>
    <w:rsid w:val="000406EA"/>
    <w:rsid w:val="00040A0F"/>
    <w:rsid w:val="00040B75"/>
    <w:rsid w:val="0004175D"/>
    <w:rsid w:val="000422DB"/>
    <w:rsid w:val="00042FE1"/>
    <w:rsid w:val="0004348C"/>
    <w:rsid w:val="000454C5"/>
    <w:rsid w:val="000458C2"/>
    <w:rsid w:val="000465E1"/>
    <w:rsid w:val="0004710F"/>
    <w:rsid w:val="00047556"/>
    <w:rsid w:val="000475A4"/>
    <w:rsid w:val="00047ADD"/>
    <w:rsid w:val="000520AF"/>
    <w:rsid w:val="00052A8A"/>
    <w:rsid w:val="00054B80"/>
    <w:rsid w:val="00056693"/>
    <w:rsid w:val="00056BC7"/>
    <w:rsid w:val="000571B9"/>
    <w:rsid w:val="000572FF"/>
    <w:rsid w:val="000603EE"/>
    <w:rsid w:val="0006052B"/>
    <w:rsid w:val="00060825"/>
    <w:rsid w:val="00060B5F"/>
    <w:rsid w:val="00060B93"/>
    <w:rsid w:val="00064525"/>
    <w:rsid w:val="00064BBD"/>
    <w:rsid w:val="00066BA1"/>
    <w:rsid w:val="00067453"/>
    <w:rsid w:val="00070197"/>
    <w:rsid w:val="00072DE3"/>
    <w:rsid w:val="00073131"/>
    <w:rsid w:val="00073415"/>
    <w:rsid w:val="00074218"/>
    <w:rsid w:val="00074CBC"/>
    <w:rsid w:val="00074CD2"/>
    <w:rsid w:val="00074CEA"/>
    <w:rsid w:val="000768FE"/>
    <w:rsid w:val="00077A26"/>
    <w:rsid w:val="00077CE6"/>
    <w:rsid w:val="0008096D"/>
    <w:rsid w:val="000817F5"/>
    <w:rsid w:val="000822F3"/>
    <w:rsid w:val="00082D34"/>
    <w:rsid w:val="000831CA"/>
    <w:rsid w:val="0008324B"/>
    <w:rsid w:val="000834A2"/>
    <w:rsid w:val="00083666"/>
    <w:rsid w:val="00084DFD"/>
    <w:rsid w:val="00084E79"/>
    <w:rsid w:val="000862D8"/>
    <w:rsid w:val="000876B5"/>
    <w:rsid w:val="00087989"/>
    <w:rsid w:val="00090018"/>
    <w:rsid w:val="00091052"/>
    <w:rsid w:val="00091B59"/>
    <w:rsid w:val="00093163"/>
    <w:rsid w:val="00093F60"/>
    <w:rsid w:val="00094067"/>
    <w:rsid w:val="00094BB3"/>
    <w:rsid w:val="00094F0B"/>
    <w:rsid w:val="00095F34"/>
    <w:rsid w:val="00096AB3"/>
    <w:rsid w:val="000971C2"/>
    <w:rsid w:val="00097E5B"/>
    <w:rsid w:val="000A021C"/>
    <w:rsid w:val="000A143B"/>
    <w:rsid w:val="000A15AD"/>
    <w:rsid w:val="000A24F9"/>
    <w:rsid w:val="000A303F"/>
    <w:rsid w:val="000A38D8"/>
    <w:rsid w:val="000A4DC1"/>
    <w:rsid w:val="000A68E5"/>
    <w:rsid w:val="000A727A"/>
    <w:rsid w:val="000B052E"/>
    <w:rsid w:val="000B0B32"/>
    <w:rsid w:val="000B0F69"/>
    <w:rsid w:val="000B145F"/>
    <w:rsid w:val="000B14CC"/>
    <w:rsid w:val="000B1555"/>
    <w:rsid w:val="000B3B3F"/>
    <w:rsid w:val="000B4159"/>
    <w:rsid w:val="000B42F3"/>
    <w:rsid w:val="000B47FC"/>
    <w:rsid w:val="000B52AE"/>
    <w:rsid w:val="000B6170"/>
    <w:rsid w:val="000B7816"/>
    <w:rsid w:val="000C0B5F"/>
    <w:rsid w:val="000C17F4"/>
    <w:rsid w:val="000C1D24"/>
    <w:rsid w:val="000C3445"/>
    <w:rsid w:val="000C416E"/>
    <w:rsid w:val="000C4534"/>
    <w:rsid w:val="000C491B"/>
    <w:rsid w:val="000C5127"/>
    <w:rsid w:val="000C603E"/>
    <w:rsid w:val="000C6B3F"/>
    <w:rsid w:val="000C6C53"/>
    <w:rsid w:val="000C70A9"/>
    <w:rsid w:val="000D1AB8"/>
    <w:rsid w:val="000D31A5"/>
    <w:rsid w:val="000D3D8A"/>
    <w:rsid w:val="000D475E"/>
    <w:rsid w:val="000D4823"/>
    <w:rsid w:val="000D5015"/>
    <w:rsid w:val="000D52CC"/>
    <w:rsid w:val="000D57F0"/>
    <w:rsid w:val="000D6607"/>
    <w:rsid w:val="000D6625"/>
    <w:rsid w:val="000D66F1"/>
    <w:rsid w:val="000D6735"/>
    <w:rsid w:val="000D67B9"/>
    <w:rsid w:val="000E0E2C"/>
    <w:rsid w:val="000E1BEB"/>
    <w:rsid w:val="000E234A"/>
    <w:rsid w:val="000E2903"/>
    <w:rsid w:val="000E2919"/>
    <w:rsid w:val="000E31D1"/>
    <w:rsid w:val="000E4702"/>
    <w:rsid w:val="000E4BA6"/>
    <w:rsid w:val="000E4C62"/>
    <w:rsid w:val="000E5C54"/>
    <w:rsid w:val="000E6857"/>
    <w:rsid w:val="000E6CD9"/>
    <w:rsid w:val="000E7AFB"/>
    <w:rsid w:val="000F23D7"/>
    <w:rsid w:val="000F273D"/>
    <w:rsid w:val="000F50E8"/>
    <w:rsid w:val="000F5E42"/>
    <w:rsid w:val="000F6829"/>
    <w:rsid w:val="000F7CE4"/>
    <w:rsid w:val="00100769"/>
    <w:rsid w:val="00101CB2"/>
    <w:rsid w:val="00101DC8"/>
    <w:rsid w:val="001034D4"/>
    <w:rsid w:val="00103AC8"/>
    <w:rsid w:val="00104053"/>
    <w:rsid w:val="00104ABD"/>
    <w:rsid w:val="001051E8"/>
    <w:rsid w:val="0010576E"/>
    <w:rsid w:val="001076B2"/>
    <w:rsid w:val="00107944"/>
    <w:rsid w:val="00111306"/>
    <w:rsid w:val="00112F3A"/>
    <w:rsid w:val="00113392"/>
    <w:rsid w:val="001136F7"/>
    <w:rsid w:val="001145B3"/>
    <w:rsid w:val="001145F3"/>
    <w:rsid w:val="00115ED6"/>
    <w:rsid w:val="001160ED"/>
    <w:rsid w:val="00116423"/>
    <w:rsid w:val="00116F26"/>
    <w:rsid w:val="00117064"/>
    <w:rsid w:val="00117145"/>
    <w:rsid w:val="001175D0"/>
    <w:rsid w:val="001179CE"/>
    <w:rsid w:val="00121B55"/>
    <w:rsid w:val="001225A6"/>
    <w:rsid w:val="00123458"/>
    <w:rsid w:val="0012352C"/>
    <w:rsid w:val="00123E1F"/>
    <w:rsid w:val="00124A9B"/>
    <w:rsid w:val="00124B66"/>
    <w:rsid w:val="001257AE"/>
    <w:rsid w:val="001272A2"/>
    <w:rsid w:val="00127E57"/>
    <w:rsid w:val="00131776"/>
    <w:rsid w:val="00132204"/>
    <w:rsid w:val="00132A7D"/>
    <w:rsid w:val="0013302E"/>
    <w:rsid w:val="00133804"/>
    <w:rsid w:val="00133A18"/>
    <w:rsid w:val="001343D8"/>
    <w:rsid w:val="00135A29"/>
    <w:rsid w:val="00136E08"/>
    <w:rsid w:val="00137E7D"/>
    <w:rsid w:val="001402AE"/>
    <w:rsid w:val="0014080D"/>
    <w:rsid w:val="00140885"/>
    <w:rsid w:val="001415BA"/>
    <w:rsid w:val="00142686"/>
    <w:rsid w:val="00142D9A"/>
    <w:rsid w:val="00143548"/>
    <w:rsid w:val="001443B6"/>
    <w:rsid w:val="00144E90"/>
    <w:rsid w:val="001458A7"/>
    <w:rsid w:val="001462AA"/>
    <w:rsid w:val="001476CA"/>
    <w:rsid w:val="001479C1"/>
    <w:rsid w:val="00150582"/>
    <w:rsid w:val="00150F90"/>
    <w:rsid w:val="001528FA"/>
    <w:rsid w:val="00152D41"/>
    <w:rsid w:val="00153C16"/>
    <w:rsid w:val="001540B2"/>
    <w:rsid w:val="00154A3A"/>
    <w:rsid w:val="00154AAE"/>
    <w:rsid w:val="00155A3A"/>
    <w:rsid w:val="00155ABD"/>
    <w:rsid w:val="00155F49"/>
    <w:rsid w:val="00156571"/>
    <w:rsid w:val="00156D65"/>
    <w:rsid w:val="00160687"/>
    <w:rsid w:val="00161197"/>
    <w:rsid w:val="00161BEE"/>
    <w:rsid w:val="001645BC"/>
    <w:rsid w:val="00164E83"/>
    <w:rsid w:val="00165DC7"/>
    <w:rsid w:val="001678D1"/>
    <w:rsid w:val="00171CD3"/>
    <w:rsid w:val="00173479"/>
    <w:rsid w:val="00174B22"/>
    <w:rsid w:val="00174B8D"/>
    <w:rsid w:val="0017532E"/>
    <w:rsid w:val="00175ACD"/>
    <w:rsid w:val="00176132"/>
    <w:rsid w:val="0018054E"/>
    <w:rsid w:val="00180CB3"/>
    <w:rsid w:val="00180FC2"/>
    <w:rsid w:val="00181BDF"/>
    <w:rsid w:val="001852CA"/>
    <w:rsid w:val="0018580E"/>
    <w:rsid w:val="00191173"/>
    <w:rsid w:val="001921BF"/>
    <w:rsid w:val="0019245C"/>
    <w:rsid w:val="00193345"/>
    <w:rsid w:val="00193B78"/>
    <w:rsid w:val="00193C69"/>
    <w:rsid w:val="0019404B"/>
    <w:rsid w:val="00195B0A"/>
    <w:rsid w:val="00195D6D"/>
    <w:rsid w:val="0019625F"/>
    <w:rsid w:val="00197F21"/>
    <w:rsid w:val="001A072C"/>
    <w:rsid w:val="001A0CC4"/>
    <w:rsid w:val="001A130C"/>
    <w:rsid w:val="001A14BD"/>
    <w:rsid w:val="001A170E"/>
    <w:rsid w:val="001A1BDB"/>
    <w:rsid w:val="001A1FE9"/>
    <w:rsid w:val="001A2168"/>
    <w:rsid w:val="001A2830"/>
    <w:rsid w:val="001A31AA"/>
    <w:rsid w:val="001A411F"/>
    <w:rsid w:val="001A5F8A"/>
    <w:rsid w:val="001A6BF9"/>
    <w:rsid w:val="001A7F14"/>
    <w:rsid w:val="001B1466"/>
    <w:rsid w:val="001B3019"/>
    <w:rsid w:val="001B3BF1"/>
    <w:rsid w:val="001B6FFA"/>
    <w:rsid w:val="001B729E"/>
    <w:rsid w:val="001B790E"/>
    <w:rsid w:val="001C0046"/>
    <w:rsid w:val="001C18F4"/>
    <w:rsid w:val="001C1CFD"/>
    <w:rsid w:val="001C279C"/>
    <w:rsid w:val="001C2859"/>
    <w:rsid w:val="001C2C07"/>
    <w:rsid w:val="001C2F4F"/>
    <w:rsid w:val="001C4DA5"/>
    <w:rsid w:val="001C5313"/>
    <w:rsid w:val="001C594E"/>
    <w:rsid w:val="001C5B5E"/>
    <w:rsid w:val="001C7436"/>
    <w:rsid w:val="001D011C"/>
    <w:rsid w:val="001D076B"/>
    <w:rsid w:val="001D3429"/>
    <w:rsid w:val="001D35DF"/>
    <w:rsid w:val="001D375F"/>
    <w:rsid w:val="001D3BE5"/>
    <w:rsid w:val="001E0901"/>
    <w:rsid w:val="001E10F9"/>
    <w:rsid w:val="001E12C6"/>
    <w:rsid w:val="001E192A"/>
    <w:rsid w:val="001E31D0"/>
    <w:rsid w:val="001E34B5"/>
    <w:rsid w:val="001E3E47"/>
    <w:rsid w:val="001E4288"/>
    <w:rsid w:val="001E78CA"/>
    <w:rsid w:val="001E7BE1"/>
    <w:rsid w:val="001E7F1B"/>
    <w:rsid w:val="001F12A6"/>
    <w:rsid w:val="001F1710"/>
    <w:rsid w:val="001F21BD"/>
    <w:rsid w:val="001F2B36"/>
    <w:rsid w:val="001F5569"/>
    <w:rsid w:val="001F5746"/>
    <w:rsid w:val="001F628C"/>
    <w:rsid w:val="001F6D3A"/>
    <w:rsid w:val="001F7947"/>
    <w:rsid w:val="00200A16"/>
    <w:rsid w:val="002016CA"/>
    <w:rsid w:val="00202B19"/>
    <w:rsid w:val="0020334C"/>
    <w:rsid w:val="00203415"/>
    <w:rsid w:val="00203C94"/>
    <w:rsid w:val="0020453B"/>
    <w:rsid w:val="00204C34"/>
    <w:rsid w:val="00205384"/>
    <w:rsid w:val="00205D1F"/>
    <w:rsid w:val="00206338"/>
    <w:rsid w:val="00206435"/>
    <w:rsid w:val="0020739D"/>
    <w:rsid w:val="002073AE"/>
    <w:rsid w:val="002074A0"/>
    <w:rsid w:val="0020775B"/>
    <w:rsid w:val="00207C3B"/>
    <w:rsid w:val="00212411"/>
    <w:rsid w:val="00213AA3"/>
    <w:rsid w:val="002146B3"/>
    <w:rsid w:val="002154E3"/>
    <w:rsid w:val="002163F2"/>
    <w:rsid w:val="00220CF7"/>
    <w:rsid w:val="00220E4B"/>
    <w:rsid w:val="002215B3"/>
    <w:rsid w:val="002218FF"/>
    <w:rsid w:val="00221FB4"/>
    <w:rsid w:val="00222001"/>
    <w:rsid w:val="00222081"/>
    <w:rsid w:val="00223375"/>
    <w:rsid w:val="00223975"/>
    <w:rsid w:val="002246D3"/>
    <w:rsid w:val="0022490D"/>
    <w:rsid w:val="00224D21"/>
    <w:rsid w:val="00225574"/>
    <w:rsid w:val="00226893"/>
    <w:rsid w:val="002312D4"/>
    <w:rsid w:val="002319A4"/>
    <w:rsid w:val="00234838"/>
    <w:rsid w:val="002352D2"/>
    <w:rsid w:val="00235C0D"/>
    <w:rsid w:val="002360AF"/>
    <w:rsid w:val="00240ABB"/>
    <w:rsid w:val="00240BD9"/>
    <w:rsid w:val="00241456"/>
    <w:rsid w:val="002417A8"/>
    <w:rsid w:val="00243CB8"/>
    <w:rsid w:val="002455D4"/>
    <w:rsid w:val="002459B2"/>
    <w:rsid w:val="002459C4"/>
    <w:rsid w:val="00251E54"/>
    <w:rsid w:val="0025279A"/>
    <w:rsid w:val="0025282A"/>
    <w:rsid w:val="002536A0"/>
    <w:rsid w:val="0025481E"/>
    <w:rsid w:val="00254C7D"/>
    <w:rsid w:val="00255E64"/>
    <w:rsid w:val="00256268"/>
    <w:rsid w:val="00256D03"/>
    <w:rsid w:val="002572FF"/>
    <w:rsid w:val="0026008A"/>
    <w:rsid w:val="00260827"/>
    <w:rsid w:val="00260C0C"/>
    <w:rsid w:val="00262C6B"/>
    <w:rsid w:val="00263B9B"/>
    <w:rsid w:val="00263C16"/>
    <w:rsid w:val="002655C0"/>
    <w:rsid w:val="00265920"/>
    <w:rsid w:val="00266704"/>
    <w:rsid w:val="00266EE0"/>
    <w:rsid w:val="00267705"/>
    <w:rsid w:val="00267D3C"/>
    <w:rsid w:val="00267F76"/>
    <w:rsid w:val="0027075A"/>
    <w:rsid w:val="00271B1D"/>
    <w:rsid w:val="002724ED"/>
    <w:rsid w:val="00272682"/>
    <w:rsid w:val="00272892"/>
    <w:rsid w:val="00272BA5"/>
    <w:rsid w:val="00272C93"/>
    <w:rsid w:val="00273363"/>
    <w:rsid w:val="00274356"/>
    <w:rsid w:val="002751F6"/>
    <w:rsid w:val="0027533E"/>
    <w:rsid w:val="002758BF"/>
    <w:rsid w:val="002758E0"/>
    <w:rsid w:val="0027663C"/>
    <w:rsid w:val="0027699F"/>
    <w:rsid w:val="002775C5"/>
    <w:rsid w:val="0028039C"/>
    <w:rsid w:val="002817D9"/>
    <w:rsid w:val="00282D4D"/>
    <w:rsid w:val="002830A1"/>
    <w:rsid w:val="00283E04"/>
    <w:rsid w:val="00284C39"/>
    <w:rsid w:val="00285270"/>
    <w:rsid w:val="0028609B"/>
    <w:rsid w:val="00286880"/>
    <w:rsid w:val="00287498"/>
    <w:rsid w:val="00287D4F"/>
    <w:rsid w:val="00290018"/>
    <w:rsid w:val="00290FEF"/>
    <w:rsid w:val="002915FA"/>
    <w:rsid w:val="0029191D"/>
    <w:rsid w:val="00291AE4"/>
    <w:rsid w:val="00291B89"/>
    <w:rsid w:val="00291BCB"/>
    <w:rsid w:val="0029232C"/>
    <w:rsid w:val="00292B72"/>
    <w:rsid w:val="002934D1"/>
    <w:rsid w:val="0029515C"/>
    <w:rsid w:val="0029587E"/>
    <w:rsid w:val="00295E4E"/>
    <w:rsid w:val="002967BC"/>
    <w:rsid w:val="002A06DE"/>
    <w:rsid w:val="002A0A7F"/>
    <w:rsid w:val="002A129E"/>
    <w:rsid w:val="002A1E40"/>
    <w:rsid w:val="002A3162"/>
    <w:rsid w:val="002A3857"/>
    <w:rsid w:val="002A3930"/>
    <w:rsid w:val="002A470A"/>
    <w:rsid w:val="002A50A8"/>
    <w:rsid w:val="002A5167"/>
    <w:rsid w:val="002A5230"/>
    <w:rsid w:val="002A52EE"/>
    <w:rsid w:val="002A5325"/>
    <w:rsid w:val="002A716F"/>
    <w:rsid w:val="002A762C"/>
    <w:rsid w:val="002A77CB"/>
    <w:rsid w:val="002B15AF"/>
    <w:rsid w:val="002B1895"/>
    <w:rsid w:val="002B1DFA"/>
    <w:rsid w:val="002B1F61"/>
    <w:rsid w:val="002B296E"/>
    <w:rsid w:val="002B2BEB"/>
    <w:rsid w:val="002B5932"/>
    <w:rsid w:val="002B5B92"/>
    <w:rsid w:val="002B601A"/>
    <w:rsid w:val="002B70BE"/>
    <w:rsid w:val="002B7108"/>
    <w:rsid w:val="002C1720"/>
    <w:rsid w:val="002C177D"/>
    <w:rsid w:val="002C1A1D"/>
    <w:rsid w:val="002C1F5B"/>
    <w:rsid w:val="002C2EAF"/>
    <w:rsid w:val="002C38A2"/>
    <w:rsid w:val="002C4B69"/>
    <w:rsid w:val="002C4BFF"/>
    <w:rsid w:val="002C4D72"/>
    <w:rsid w:val="002C5299"/>
    <w:rsid w:val="002C5C7F"/>
    <w:rsid w:val="002C634E"/>
    <w:rsid w:val="002C65F8"/>
    <w:rsid w:val="002C6847"/>
    <w:rsid w:val="002C7345"/>
    <w:rsid w:val="002D0918"/>
    <w:rsid w:val="002D0C33"/>
    <w:rsid w:val="002D4195"/>
    <w:rsid w:val="002D4AAC"/>
    <w:rsid w:val="002D4C1A"/>
    <w:rsid w:val="002D5094"/>
    <w:rsid w:val="002D5389"/>
    <w:rsid w:val="002D5624"/>
    <w:rsid w:val="002D56ED"/>
    <w:rsid w:val="002D60C4"/>
    <w:rsid w:val="002D648C"/>
    <w:rsid w:val="002D6568"/>
    <w:rsid w:val="002D656A"/>
    <w:rsid w:val="002D6A89"/>
    <w:rsid w:val="002D7500"/>
    <w:rsid w:val="002D7CAE"/>
    <w:rsid w:val="002E06EF"/>
    <w:rsid w:val="002E0A5A"/>
    <w:rsid w:val="002E0EAD"/>
    <w:rsid w:val="002E1801"/>
    <w:rsid w:val="002E1B1E"/>
    <w:rsid w:val="002E2A33"/>
    <w:rsid w:val="002E2CAE"/>
    <w:rsid w:val="002E4AD9"/>
    <w:rsid w:val="002E5083"/>
    <w:rsid w:val="002E52B9"/>
    <w:rsid w:val="002E53F3"/>
    <w:rsid w:val="002E5974"/>
    <w:rsid w:val="002E7AB8"/>
    <w:rsid w:val="002E7E92"/>
    <w:rsid w:val="002F06D2"/>
    <w:rsid w:val="002F081A"/>
    <w:rsid w:val="002F0A9E"/>
    <w:rsid w:val="002F173E"/>
    <w:rsid w:val="002F1E63"/>
    <w:rsid w:val="002F1EBE"/>
    <w:rsid w:val="002F277D"/>
    <w:rsid w:val="002F34D8"/>
    <w:rsid w:val="002F4545"/>
    <w:rsid w:val="002F57D7"/>
    <w:rsid w:val="002F60E1"/>
    <w:rsid w:val="002F76B0"/>
    <w:rsid w:val="003001E0"/>
    <w:rsid w:val="003002B1"/>
    <w:rsid w:val="003026B5"/>
    <w:rsid w:val="003031B3"/>
    <w:rsid w:val="0030378C"/>
    <w:rsid w:val="0030626B"/>
    <w:rsid w:val="0030642D"/>
    <w:rsid w:val="0030679D"/>
    <w:rsid w:val="0031103E"/>
    <w:rsid w:val="00312092"/>
    <w:rsid w:val="00313300"/>
    <w:rsid w:val="0031362D"/>
    <w:rsid w:val="00313808"/>
    <w:rsid w:val="00314A4A"/>
    <w:rsid w:val="003151A9"/>
    <w:rsid w:val="00315685"/>
    <w:rsid w:val="00315836"/>
    <w:rsid w:val="00316F2F"/>
    <w:rsid w:val="0032010B"/>
    <w:rsid w:val="003202FA"/>
    <w:rsid w:val="0032035D"/>
    <w:rsid w:val="00321B2C"/>
    <w:rsid w:val="00321D33"/>
    <w:rsid w:val="003232F2"/>
    <w:rsid w:val="00323C2C"/>
    <w:rsid w:val="0032510C"/>
    <w:rsid w:val="00326C1B"/>
    <w:rsid w:val="00326CEA"/>
    <w:rsid w:val="003271E6"/>
    <w:rsid w:val="003300C4"/>
    <w:rsid w:val="00330383"/>
    <w:rsid w:val="0033070C"/>
    <w:rsid w:val="00331029"/>
    <w:rsid w:val="00331431"/>
    <w:rsid w:val="0033242B"/>
    <w:rsid w:val="00332C75"/>
    <w:rsid w:val="00333861"/>
    <w:rsid w:val="00333C65"/>
    <w:rsid w:val="00333E8B"/>
    <w:rsid w:val="00333EB1"/>
    <w:rsid w:val="00335EA9"/>
    <w:rsid w:val="003364F7"/>
    <w:rsid w:val="003368E1"/>
    <w:rsid w:val="00336C02"/>
    <w:rsid w:val="00337603"/>
    <w:rsid w:val="0033761E"/>
    <w:rsid w:val="00340546"/>
    <w:rsid w:val="00340B6F"/>
    <w:rsid w:val="00341C43"/>
    <w:rsid w:val="00341F21"/>
    <w:rsid w:val="00341F88"/>
    <w:rsid w:val="00342707"/>
    <w:rsid w:val="003432B0"/>
    <w:rsid w:val="00343E84"/>
    <w:rsid w:val="0034434F"/>
    <w:rsid w:val="003449B0"/>
    <w:rsid w:val="003449C0"/>
    <w:rsid w:val="00344BC7"/>
    <w:rsid w:val="00345090"/>
    <w:rsid w:val="00346DEC"/>
    <w:rsid w:val="003471AA"/>
    <w:rsid w:val="003501CD"/>
    <w:rsid w:val="00350E0E"/>
    <w:rsid w:val="00351C5A"/>
    <w:rsid w:val="003523CC"/>
    <w:rsid w:val="00353683"/>
    <w:rsid w:val="00353698"/>
    <w:rsid w:val="00354D12"/>
    <w:rsid w:val="00360A44"/>
    <w:rsid w:val="00360B17"/>
    <w:rsid w:val="003615C4"/>
    <w:rsid w:val="00362261"/>
    <w:rsid w:val="00362844"/>
    <w:rsid w:val="00363793"/>
    <w:rsid w:val="00363F50"/>
    <w:rsid w:val="00364486"/>
    <w:rsid w:val="0036514D"/>
    <w:rsid w:val="0036607F"/>
    <w:rsid w:val="003661AC"/>
    <w:rsid w:val="0036690D"/>
    <w:rsid w:val="00366955"/>
    <w:rsid w:val="003676B8"/>
    <w:rsid w:val="00367E82"/>
    <w:rsid w:val="003722E0"/>
    <w:rsid w:val="00372D7C"/>
    <w:rsid w:val="00372D85"/>
    <w:rsid w:val="00372F89"/>
    <w:rsid w:val="00374D75"/>
    <w:rsid w:val="0037548D"/>
    <w:rsid w:val="00375842"/>
    <w:rsid w:val="00375DD1"/>
    <w:rsid w:val="00375E2E"/>
    <w:rsid w:val="00375F26"/>
    <w:rsid w:val="0037600F"/>
    <w:rsid w:val="00380089"/>
    <w:rsid w:val="00380A6D"/>
    <w:rsid w:val="00380B55"/>
    <w:rsid w:val="00381870"/>
    <w:rsid w:val="00381CA9"/>
    <w:rsid w:val="00381DA7"/>
    <w:rsid w:val="003829C4"/>
    <w:rsid w:val="00382F39"/>
    <w:rsid w:val="003836B9"/>
    <w:rsid w:val="00383EEF"/>
    <w:rsid w:val="003841E6"/>
    <w:rsid w:val="00384780"/>
    <w:rsid w:val="00390780"/>
    <w:rsid w:val="00391374"/>
    <w:rsid w:val="003913D0"/>
    <w:rsid w:val="00391546"/>
    <w:rsid w:val="00391F1A"/>
    <w:rsid w:val="0039284A"/>
    <w:rsid w:val="0039289B"/>
    <w:rsid w:val="0039568B"/>
    <w:rsid w:val="00395E4C"/>
    <w:rsid w:val="00396191"/>
    <w:rsid w:val="00397051"/>
    <w:rsid w:val="00397573"/>
    <w:rsid w:val="003A05B5"/>
    <w:rsid w:val="003A0E71"/>
    <w:rsid w:val="003A17BB"/>
    <w:rsid w:val="003A2DC3"/>
    <w:rsid w:val="003A3E9F"/>
    <w:rsid w:val="003A4698"/>
    <w:rsid w:val="003A5664"/>
    <w:rsid w:val="003A698A"/>
    <w:rsid w:val="003A7E85"/>
    <w:rsid w:val="003A7FFA"/>
    <w:rsid w:val="003B3096"/>
    <w:rsid w:val="003B3AD9"/>
    <w:rsid w:val="003B3BD8"/>
    <w:rsid w:val="003B462A"/>
    <w:rsid w:val="003B702F"/>
    <w:rsid w:val="003C1A66"/>
    <w:rsid w:val="003C46B6"/>
    <w:rsid w:val="003C6477"/>
    <w:rsid w:val="003C67F5"/>
    <w:rsid w:val="003D0B6B"/>
    <w:rsid w:val="003D0C4F"/>
    <w:rsid w:val="003D10A9"/>
    <w:rsid w:val="003D50CC"/>
    <w:rsid w:val="003D593E"/>
    <w:rsid w:val="003D59E2"/>
    <w:rsid w:val="003D5A1D"/>
    <w:rsid w:val="003D5B3F"/>
    <w:rsid w:val="003D5DA8"/>
    <w:rsid w:val="003D7AAC"/>
    <w:rsid w:val="003E069A"/>
    <w:rsid w:val="003E0DD3"/>
    <w:rsid w:val="003E1716"/>
    <w:rsid w:val="003E365D"/>
    <w:rsid w:val="003E5277"/>
    <w:rsid w:val="003E535A"/>
    <w:rsid w:val="003E5956"/>
    <w:rsid w:val="003E59E6"/>
    <w:rsid w:val="003E664C"/>
    <w:rsid w:val="003E7969"/>
    <w:rsid w:val="003F0536"/>
    <w:rsid w:val="003F087A"/>
    <w:rsid w:val="003F1958"/>
    <w:rsid w:val="003F21EB"/>
    <w:rsid w:val="003F4B38"/>
    <w:rsid w:val="003F5BE4"/>
    <w:rsid w:val="003F5F12"/>
    <w:rsid w:val="003F60C3"/>
    <w:rsid w:val="003F6484"/>
    <w:rsid w:val="003F74CB"/>
    <w:rsid w:val="00400378"/>
    <w:rsid w:val="00400445"/>
    <w:rsid w:val="00403F33"/>
    <w:rsid w:val="00405256"/>
    <w:rsid w:val="0040740A"/>
    <w:rsid w:val="004074F6"/>
    <w:rsid w:val="0041411B"/>
    <w:rsid w:val="004179ED"/>
    <w:rsid w:val="00420AB8"/>
    <w:rsid w:val="004216AF"/>
    <w:rsid w:val="00424108"/>
    <w:rsid w:val="00424404"/>
    <w:rsid w:val="00425C58"/>
    <w:rsid w:val="00425D53"/>
    <w:rsid w:val="0042622D"/>
    <w:rsid w:val="00426392"/>
    <w:rsid w:val="004266DA"/>
    <w:rsid w:val="004279E1"/>
    <w:rsid w:val="00427ACC"/>
    <w:rsid w:val="00430580"/>
    <w:rsid w:val="004308C3"/>
    <w:rsid w:val="00432130"/>
    <w:rsid w:val="00432641"/>
    <w:rsid w:val="00433D42"/>
    <w:rsid w:val="0043471E"/>
    <w:rsid w:val="00434974"/>
    <w:rsid w:val="0043741F"/>
    <w:rsid w:val="00440BB9"/>
    <w:rsid w:val="004412CE"/>
    <w:rsid w:val="00443B00"/>
    <w:rsid w:val="00444B80"/>
    <w:rsid w:val="004464DE"/>
    <w:rsid w:val="00446944"/>
    <w:rsid w:val="0044697E"/>
    <w:rsid w:val="00446BA0"/>
    <w:rsid w:val="004479D0"/>
    <w:rsid w:val="00450597"/>
    <w:rsid w:val="00450AC0"/>
    <w:rsid w:val="00451EC7"/>
    <w:rsid w:val="00452C0F"/>
    <w:rsid w:val="00453040"/>
    <w:rsid w:val="00453456"/>
    <w:rsid w:val="004543D7"/>
    <w:rsid w:val="004567E4"/>
    <w:rsid w:val="004569B2"/>
    <w:rsid w:val="00457931"/>
    <w:rsid w:val="00457ECD"/>
    <w:rsid w:val="004601D6"/>
    <w:rsid w:val="00461A36"/>
    <w:rsid w:val="00461D2C"/>
    <w:rsid w:val="004636B4"/>
    <w:rsid w:val="0046385E"/>
    <w:rsid w:val="00463CDF"/>
    <w:rsid w:val="00465E43"/>
    <w:rsid w:val="00466FAD"/>
    <w:rsid w:val="00467137"/>
    <w:rsid w:val="00467143"/>
    <w:rsid w:val="0046715A"/>
    <w:rsid w:val="00467DB2"/>
    <w:rsid w:val="0047053F"/>
    <w:rsid w:val="004707B8"/>
    <w:rsid w:val="00471174"/>
    <w:rsid w:val="004725E4"/>
    <w:rsid w:val="004743FE"/>
    <w:rsid w:val="0047568B"/>
    <w:rsid w:val="0047623C"/>
    <w:rsid w:val="00476966"/>
    <w:rsid w:val="00477D65"/>
    <w:rsid w:val="004804F0"/>
    <w:rsid w:val="00481CA1"/>
    <w:rsid w:val="004821D2"/>
    <w:rsid w:val="00482284"/>
    <w:rsid w:val="00483144"/>
    <w:rsid w:val="004837C7"/>
    <w:rsid w:val="00484406"/>
    <w:rsid w:val="004848FF"/>
    <w:rsid w:val="00484B3D"/>
    <w:rsid w:val="004850B1"/>
    <w:rsid w:val="004851FC"/>
    <w:rsid w:val="00485B2F"/>
    <w:rsid w:val="00490328"/>
    <w:rsid w:val="004904DA"/>
    <w:rsid w:val="00490E58"/>
    <w:rsid w:val="004914A1"/>
    <w:rsid w:val="00491E01"/>
    <w:rsid w:val="00492003"/>
    <w:rsid w:val="00492456"/>
    <w:rsid w:val="0049495C"/>
    <w:rsid w:val="00494E34"/>
    <w:rsid w:val="0049537E"/>
    <w:rsid w:val="00497EA7"/>
    <w:rsid w:val="004A0EB5"/>
    <w:rsid w:val="004A1159"/>
    <w:rsid w:val="004A1931"/>
    <w:rsid w:val="004A2086"/>
    <w:rsid w:val="004A4287"/>
    <w:rsid w:val="004A63D7"/>
    <w:rsid w:val="004A6AE6"/>
    <w:rsid w:val="004B3AB6"/>
    <w:rsid w:val="004B3ACB"/>
    <w:rsid w:val="004B5633"/>
    <w:rsid w:val="004B7B1C"/>
    <w:rsid w:val="004C027A"/>
    <w:rsid w:val="004C0D5B"/>
    <w:rsid w:val="004C151A"/>
    <w:rsid w:val="004C18D7"/>
    <w:rsid w:val="004C269F"/>
    <w:rsid w:val="004C2F1C"/>
    <w:rsid w:val="004C31A9"/>
    <w:rsid w:val="004C36FE"/>
    <w:rsid w:val="004C3724"/>
    <w:rsid w:val="004C3EC4"/>
    <w:rsid w:val="004C4EC4"/>
    <w:rsid w:val="004C5C2F"/>
    <w:rsid w:val="004C60B8"/>
    <w:rsid w:val="004C6FC5"/>
    <w:rsid w:val="004C7398"/>
    <w:rsid w:val="004C75AC"/>
    <w:rsid w:val="004D0296"/>
    <w:rsid w:val="004D1055"/>
    <w:rsid w:val="004D1508"/>
    <w:rsid w:val="004D17D8"/>
    <w:rsid w:val="004D2CDA"/>
    <w:rsid w:val="004D380B"/>
    <w:rsid w:val="004D3EEE"/>
    <w:rsid w:val="004D41C9"/>
    <w:rsid w:val="004D4927"/>
    <w:rsid w:val="004D6639"/>
    <w:rsid w:val="004D6EDC"/>
    <w:rsid w:val="004D7A0E"/>
    <w:rsid w:val="004E0F9B"/>
    <w:rsid w:val="004E1B08"/>
    <w:rsid w:val="004E1E3C"/>
    <w:rsid w:val="004E2925"/>
    <w:rsid w:val="004E33FB"/>
    <w:rsid w:val="004E522B"/>
    <w:rsid w:val="004E7B1B"/>
    <w:rsid w:val="004F0460"/>
    <w:rsid w:val="004F26C0"/>
    <w:rsid w:val="004F34F8"/>
    <w:rsid w:val="004F59BB"/>
    <w:rsid w:val="004F6A74"/>
    <w:rsid w:val="00500A42"/>
    <w:rsid w:val="005015C1"/>
    <w:rsid w:val="00501C2F"/>
    <w:rsid w:val="005021F4"/>
    <w:rsid w:val="00502406"/>
    <w:rsid w:val="005033D5"/>
    <w:rsid w:val="0050522C"/>
    <w:rsid w:val="00505B53"/>
    <w:rsid w:val="0050722F"/>
    <w:rsid w:val="00510C21"/>
    <w:rsid w:val="005116A7"/>
    <w:rsid w:val="0051367D"/>
    <w:rsid w:val="00513DBC"/>
    <w:rsid w:val="00513E5F"/>
    <w:rsid w:val="00514AE9"/>
    <w:rsid w:val="005168F5"/>
    <w:rsid w:val="00517F58"/>
    <w:rsid w:val="00520BBB"/>
    <w:rsid w:val="00521113"/>
    <w:rsid w:val="00521210"/>
    <w:rsid w:val="00521509"/>
    <w:rsid w:val="0052181C"/>
    <w:rsid w:val="00521EDF"/>
    <w:rsid w:val="0052233B"/>
    <w:rsid w:val="0052480C"/>
    <w:rsid w:val="00524928"/>
    <w:rsid w:val="00525A79"/>
    <w:rsid w:val="00525CC6"/>
    <w:rsid w:val="005264DC"/>
    <w:rsid w:val="005267E2"/>
    <w:rsid w:val="005275D7"/>
    <w:rsid w:val="00527FA1"/>
    <w:rsid w:val="005307AE"/>
    <w:rsid w:val="00530A99"/>
    <w:rsid w:val="00534B1D"/>
    <w:rsid w:val="00534F41"/>
    <w:rsid w:val="00535A74"/>
    <w:rsid w:val="00535E75"/>
    <w:rsid w:val="00536050"/>
    <w:rsid w:val="00536AF9"/>
    <w:rsid w:val="00536B6A"/>
    <w:rsid w:val="00536DB9"/>
    <w:rsid w:val="00537EF3"/>
    <w:rsid w:val="005407CC"/>
    <w:rsid w:val="00540917"/>
    <w:rsid w:val="00541B66"/>
    <w:rsid w:val="005424C1"/>
    <w:rsid w:val="0054300C"/>
    <w:rsid w:val="005432E0"/>
    <w:rsid w:val="0054396B"/>
    <w:rsid w:val="00544340"/>
    <w:rsid w:val="00545F2A"/>
    <w:rsid w:val="00547568"/>
    <w:rsid w:val="00550B73"/>
    <w:rsid w:val="00550B7B"/>
    <w:rsid w:val="00552A93"/>
    <w:rsid w:val="00552BE7"/>
    <w:rsid w:val="00553BD4"/>
    <w:rsid w:val="00554679"/>
    <w:rsid w:val="00556304"/>
    <w:rsid w:val="00557839"/>
    <w:rsid w:val="00561827"/>
    <w:rsid w:val="0056289D"/>
    <w:rsid w:val="00563F31"/>
    <w:rsid w:val="0056504B"/>
    <w:rsid w:val="00567EA2"/>
    <w:rsid w:val="005714DF"/>
    <w:rsid w:val="0057215A"/>
    <w:rsid w:val="00572AE4"/>
    <w:rsid w:val="0057521E"/>
    <w:rsid w:val="00576F42"/>
    <w:rsid w:val="00581AF3"/>
    <w:rsid w:val="005829DC"/>
    <w:rsid w:val="005830A1"/>
    <w:rsid w:val="00583F42"/>
    <w:rsid w:val="00584E14"/>
    <w:rsid w:val="00586184"/>
    <w:rsid w:val="00586936"/>
    <w:rsid w:val="0058790F"/>
    <w:rsid w:val="00587A13"/>
    <w:rsid w:val="00590418"/>
    <w:rsid w:val="0059061C"/>
    <w:rsid w:val="00590626"/>
    <w:rsid w:val="005909B0"/>
    <w:rsid w:val="00590DC5"/>
    <w:rsid w:val="00591DDE"/>
    <w:rsid w:val="00593E32"/>
    <w:rsid w:val="00594371"/>
    <w:rsid w:val="00595040"/>
    <w:rsid w:val="005950F4"/>
    <w:rsid w:val="00595A2A"/>
    <w:rsid w:val="00596728"/>
    <w:rsid w:val="005A102C"/>
    <w:rsid w:val="005A19A0"/>
    <w:rsid w:val="005A5E28"/>
    <w:rsid w:val="005A676B"/>
    <w:rsid w:val="005A69BF"/>
    <w:rsid w:val="005A7499"/>
    <w:rsid w:val="005A7721"/>
    <w:rsid w:val="005B072A"/>
    <w:rsid w:val="005B0B7D"/>
    <w:rsid w:val="005B185B"/>
    <w:rsid w:val="005B2216"/>
    <w:rsid w:val="005B2235"/>
    <w:rsid w:val="005B34BA"/>
    <w:rsid w:val="005B4CEB"/>
    <w:rsid w:val="005B500F"/>
    <w:rsid w:val="005B61E4"/>
    <w:rsid w:val="005B6433"/>
    <w:rsid w:val="005B6B8A"/>
    <w:rsid w:val="005C0697"/>
    <w:rsid w:val="005C0EEF"/>
    <w:rsid w:val="005C36CA"/>
    <w:rsid w:val="005C3720"/>
    <w:rsid w:val="005C45C3"/>
    <w:rsid w:val="005C5068"/>
    <w:rsid w:val="005C64B3"/>
    <w:rsid w:val="005C66D3"/>
    <w:rsid w:val="005C6A24"/>
    <w:rsid w:val="005C7775"/>
    <w:rsid w:val="005C7778"/>
    <w:rsid w:val="005D0630"/>
    <w:rsid w:val="005D0F78"/>
    <w:rsid w:val="005D15AE"/>
    <w:rsid w:val="005D29FB"/>
    <w:rsid w:val="005D3347"/>
    <w:rsid w:val="005D3716"/>
    <w:rsid w:val="005D4D36"/>
    <w:rsid w:val="005D4EBA"/>
    <w:rsid w:val="005D4FF5"/>
    <w:rsid w:val="005D692C"/>
    <w:rsid w:val="005D6EAE"/>
    <w:rsid w:val="005E071B"/>
    <w:rsid w:val="005E092F"/>
    <w:rsid w:val="005E0D68"/>
    <w:rsid w:val="005E1DA1"/>
    <w:rsid w:val="005E1E8F"/>
    <w:rsid w:val="005E29A2"/>
    <w:rsid w:val="005E3160"/>
    <w:rsid w:val="005E5EAD"/>
    <w:rsid w:val="005E637A"/>
    <w:rsid w:val="005E6E8C"/>
    <w:rsid w:val="005E7803"/>
    <w:rsid w:val="005F27B4"/>
    <w:rsid w:val="005F2C43"/>
    <w:rsid w:val="005F4179"/>
    <w:rsid w:val="005F4839"/>
    <w:rsid w:val="005F4A9D"/>
    <w:rsid w:val="005F50C7"/>
    <w:rsid w:val="005F7FBB"/>
    <w:rsid w:val="00600570"/>
    <w:rsid w:val="00600A8F"/>
    <w:rsid w:val="006013DA"/>
    <w:rsid w:val="00602D86"/>
    <w:rsid w:val="00602DF1"/>
    <w:rsid w:val="0060350C"/>
    <w:rsid w:val="0060357A"/>
    <w:rsid w:val="0060360F"/>
    <w:rsid w:val="00603D25"/>
    <w:rsid w:val="00604395"/>
    <w:rsid w:val="006044B5"/>
    <w:rsid w:val="00605C81"/>
    <w:rsid w:val="00605D24"/>
    <w:rsid w:val="006075D5"/>
    <w:rsid w:val="00607CDC"/>
    <w:rsid w:val="006105CC"/>
    <w:rsid w:val="00611328"/>
    <w:rsid w:val="006114F5"/>
    <w:rsid w:val="0061208B"/>
    <w:rsid w:val="00612138"/>
    <w:rsid w:val="00612AE8"/>
    <w:rsid w:val="00614544"/>
    <w:rsid w:val="006162CA"/>
    <w:rsid w:val="0061632E"/>
    <w:rsid w:val="00620DF2"/>
    <w:rsid w:val="006217E0"/>
    <w:rsid w:val="00621A9F"/>
    <w:rsid w:val="00621EF4"/>
    <w:rsid w:val="00622C21"/>
    <w:rsid w:val="00622FD6"/>
    <w:rsid w:val="00623425"/>
    <w:rsid w:val="0062356D"/>
    <w:rsid w:val="00624558"/>
    <w:rsid w:val="00624A49"/>
    <w:rsid w:val="00624C39"/>
    <w:rsid w:val="006250FB"/>
    <w:rsid w:val="00625BBA"/>
    <w:rsid w:val="00625FE7"/>
    <w:rsid w:val="006278ED"/>
    <w:rsid w:val="00627A00"/>
    <w:rsid w:val="00627B65"/>
    <w:rsid w:val="00630C84"/>
    <w:rsid w:val="00632845"/>
    <w:rsid w:val="006329F0"/>
    <w:rsid w:val="0063302A"/>
    <w:rsid w:val="006334F7"/>
    <w:rsid w:val="006348E7"/>
    <w:rsid w:val="00635139"/>
    <w:rsid w:val="006367FB"/>
    <w:rsid w:val="00636B64"/>
    <w:rsid w:val="00640846"/>
    <w:rsid w:val="00640C74"/>
    <w:rsid w:val="006414E2"/>
    <w:rsid w:val="00641C85"/>
    <w:rsid w:val="0064205B"/>
    <w:rsid w:val="0064312B"/>
    <w:rsid w:val="00644232"/>
    <w:rsid w:val="006448F0"/>
    <w:rsid w:val="00645A2E"/>
    <w:rsid w:val="006514EE"/>
    <w:rsid w:val="0065301B"/>
    <w:rsid w:val="006541A4"/>
    <w:rsid w:val="00654554"/>
    <w:rsid w:val="00655398"/>
    <w:rsid w:val="0065549C"/>
    <w:rsid w:val="0065674F"/>
    <w:rsid w:val="00656F54"/>
    <w:rsid w:val="00657159"/>
    <w:rsid w:val="006574A9"/>
    <w:rsid w:val="00661B9F"/>
    <w:rsid w:val="006634D6"/>
    <w:rsid w:val="00664A00"/>
    <w:rsid w:val="0066577C"/>
    <w:rsid w:val="00666F2A"/>
    <w:rsid w:val="00667376"/>
    <w:rsid w:val="006709C9"/>
    <w:rsid w:val="00670BFB"/>
    <w:rsid w:val="00672477"/>
    <w:rsid w:val="00672A2D"/>
    <w:rsid w:val="006730BC"/>
    <w:rsid w:val="00675EA3"/>
    <w:rsid w:val="0067614A"/>
    <w:rsid w:val="006805D2"/>
    <w:rsid w:val="00680B67"/>
    <w:rsid w:val="00680CF2"/>
    <w:rsid w:val="00683A4E"/>
    <w:rsid w:val="00684711"/>
    <w:rsid w:val="00684D3D"/>
    <w:rsid w:val="00684E89"/>
    <w:rsid w:val="00684F59"/>
    <w:rsid w:val="00684FC5"/>
    <w:rsid w:val="006870C9"/>
    <w:rsid w:val="006874FD"/>
    <w:rsid w:val="00687590"/>
    <w:rsid w:val="00687769"/>
    <w:rsid w:val="00687E45"/>
    <w:rsid w:val="00690533"/>
    <w:rsid w:val="00690672"/>
    <w:rsid w:val="0069251F"/>
    <w:rsid w:val="00693C57"/>
    <w:rsid w:val="00694BE8"/>
    <w:rsid w:val="00695667"/>
    <w:rsid w:val="00696262"/>
    <w:rsid w:val="006976A8"/>
    <w:rsid w:val="006A0806"/>
    <w:rsid w:val="006A0ED6"/>
    <w:rsid w:val="006A13BC"/>
    <w:rsid w:val="006A1829"/>
    <w:rsid w:val="006A18B4"/>
    <w:rsid w:val="006A1D1A"/>
    <w:rsid w:val="006A229D"/>
    <w:rsid w:val="006A2886"/>
    <w:rsid w:val="006A2AF8"/>
    <w:rsid w:val="006A3222"/>
    <w:rsid w:val="006A3747"/>
    <w:rsid w:val="006A3B1F"/>
    <w:rsid w:val="006A5330"/>
    <w:rsid w:val="006A5E9F"/>
    <w:rsid w:val="006A5F81"/>
    <w:rsid w:val="006A6DB4"/>
    <w:rsid w:val="006A6FD6"/>
    <w:rsid w:val="006A7470"/>
    <w:rsid w:val="006A7A36"/>
    <w:rsid w:val="006A7B02"/>
    <w:rsid w:val="006A7CD2"/>
    <w:rsid w:val="006A7DCF"/>
    <w:rsid w:val="006B0B94"/>
    <w:rsid w:val="006B0D80"/>
    <w:rsid w:val="006B1020"/>
    <w:rsid w:val="006B192E"/>
    <w:rsid w:val="006B2635"/>
    <w:rsid w:val="006B28FD"/>
    <w:rsid w:val="006B3136"/>
    <w:rsid w:val="006B3838"/>
    <w:rsid w:val="006B4435"/>
    <w:rsid w:val="006B568D"/>
    <w:rsid w:val="006B6BDC"/>
    <w:rsid w:val="006C0422"/>
    <w:rsid w:val="006C12E7"/>
    <w:rsid w:val="006C1877"/>
    <w:rsid w:val="006C2834"/>
    <w:rsid w:val="006C296F"/>
    <w:rsid w:val="006C3EC0"/>
    <w:rsid w:val="006C431F"/>
    <w:rsid w:val="006C6232"/>
    <w:rsid w:val="006C6486"/>
    <w:rsid w:val="006C64F2"/>
    <w:rsid w:val="006C7EE8"/>
    <w:rsid w:val="006D046D"/>
    <w:rsid w:val="006D121F"/>
    <w:rsid w:val="006D311C"/>
    <w:rsid w:val="006D5AC2"/>
    <w:rsid w:val="006D5D2F"/>
    <w:rsid w:val="006D688B"/>
    <w:rsid w:val="006D7BB1"/>
    <w:rsid w:val="006E0113"/>
    <w:rsid w:val="006E0EBE"/>
    <w:rsid w:val="006E282D"/>
    <w:rsid w:val="006E3751"/>
    <w:rsid w:val="006E3775"/>
    <w:rsid w:val="006E4FB7"/>
    <w:rsid w:val="006E6C08"/>
    <w:rsid w:val="006E782C"/>
    <w:rsid w:val="006E7CAC"/>
    <w:rsid w:val="006F02B0"/>
    <w:rsid w:val="006F1170"/>
    <w:rsid w:val="006F17C5"/>
    <w:rsid w:val="006F2ADD"/>
    <w:rsid w:val="006F2E9D"/>
    <w:rsid w:val="006F30B9"/>
    <w:rsid w:val="006F36DE"/>
    <w:rsid w:val="006F3F09"/>
    <w:rsid w:val="006F411D"/>
    <w:rsid w:val="006F4357"/>
    <w:rsid w:val="006F53A4"/>
    <w:rsid w:val="006F660B"/>
    <w:rsid w:val="006F6F8C"/>
    <w:rsid w:val="006F781E"/>
    <w:rsid w:val="007014B7"/>
    <w:rsid w:val="00701BB2"/>
    <w:rsid w:val="00702140"/>
    <w:rsid w:val="00702F31"/>
    <w:rsid w:val="00703216"/>
    <w:rsid w:val="00703815"/>
    <w:rsid w:val="007039E0"/>
    <w:rsid w:val="0070411A"/>
    <w:rsid w:val="007042D4"/>
    <w:rsid w:val="00705347"/>
    <w:rsid w:val="00705374"/>
    <w:rsid w:val="0070545A"/>
    <w:rsid w:val="00705B59"/>
    <w:rsid w:val="00705FA9"/>
    <w:rsid w:val="0070701F"/>
    <w:rsid w:val="00707CE0"/>
    <w:rsid w:val="00707F5C"/>
    <w:rsid w:val="007121CF"/>
    <w:rsid w:val="00712518"/>
    <w:rsid w:val="00712B72"/>
    <w:rsid w:val="0071310E"/>
    <w:rsid w:val="0071393E"/>
    <w:rsid w:val="00714823"/>
    <w:rsid w:val="00715D80"/>
    <w:rsid w:val="00715FE9"/>
    <w:rsid w:val="00716391"/>
    <w:rsid w:val="007171C4"/>
    <w:rsid w:val="0071738A"/>
    <w:rsid w:val="007209DB"/>
    <w:rsid w:val="00720B13"/>
    <w:rsid w:val="00720B50"/>
    <w:rsid w:val="007210F2"/>
    <w:rsid w:val="00722CD6"/>
    <w:rsid w:val="00724879"/>
    <w:rsid w:val="00725911"/>
    <w:rsid w:val="007262DF"/>
    <w:rsid w:val="00726769"/>
    <w:rsid w:val="00726A46"/>
    <w:rsid w:val="0072764F"/>
    <w:rsid w:val="00727E50"/>
    <w:rsid w:val="00730362"/>
    <w:rsid w:val="00731305"/>
    <w:rsid w:val="00731667"/>
    <w:rsid w:val="007327CB"/>
    <w:rsid w:val="007352F3"/>
    <w:rsid w:val="00735559"/>
    <w:rsid w:val="007355D1"/>
    <w:rsid w:val="0073563E"/>
    <w:rsid w:val="007362E3"/>
    <w:rsid w:val="007364EC"/>
    <w:rsid w:val="007366E2"/>
    <w:rsid w:val="007403FA"/>
    <w:rsid w:val="00741C76"/>
    <w:rsid w:val="00745FEC"/>
    <w:rsid w:val="00747D61"/>
    <w:rsid w:val="00750EA1"/>
    <w:rsid w:val="0075388B"/>
    <w:rsid w:val="00754300"/>
    <w:rsid w:val="0075439A"/>
    <w:rsid w:val="00754DD8"/>
    <w:rsid w:val="007579AD"/>
    <w:rsid w:val="0076063D"/>
    <w:rsid w:val="00761801"/>
    <w:rsid w:val="007619CF"/>
    <w:rsid w:val="0076264F"/>
    <w:rsid w:val="00762F07"/>
    <w:rsid w:val="0076640B"/>
    <w:rsid w:val="00767DA7"/>
    <w:rsid w:val="0077089E"/>
    <w:rsid w:val="00770F9F"/>
    <w:rsid w:val="00771097"/>
    <w:rsid w:val="0077153E"/>
    <w:rsid w:val="00772CE4"/>
    <w:rsid w:val="00773CF8"/>
    <w:rsid w:val="00773DCA"/>
    <w:rsid w:val="00773E08"/>
    <w:rsid w:val="00774A5B"/>
    <w:rsid w:val="00775438"/>
    <w:rsid w:val="00776652"/>
    <w:rsid w:val="00776675"/>
    <w:rsid w:val="007775A4"/>
    <w:rsid w:val="00777978"/>
    <w:rsid w:val="00777E24"/>
    <w:rsid w:val="007800AB"/>
    <w:rsid w:val="007805F3"/>
    <w:rsid w:val="007817B8"/>
    <w:rsid w:val="00781B7D"/>
    <w:rsid w:val="00782553"/>
    <w:rsid w:val="00782667"/>
    <w:rsid w:val="00782EB0"/>
    <w:rsid w:val="00783BDA"/>
    <w:rsid w:val="00786D9B"/>
    <w:rsid w:val="007911B6"/>
    <w:rsid w:val="00791C3E"/>
    <w:rsid w:val="007931AC"/>
    <w:rsid w:val="0079384E"/>
    <w:rsid w:val="00796430"/>
    <w:rsid w:val="00796D50"/>
    <w:rsid w:val="0079753F"/>
    <w:rsid w:val="007A00E1"/>
    <w:rsid w:val="007A07C1"/>
    <w:rsid w:val="007A1133"/>
    <w:rsid w:val="007A28A9"/>
    <w:rsid w:val="007A3408"/>
    <w:rsid w:val="007A4AF1"/>
    <w:rsid w:val="007A4BD5"/>
    <w:rsid w:val="007A6371"/>
    <w:rsid w:val="007A70C2"/>
    <w:rsid w:val="007A7CF3"/>
    <w:rsid w:val="007B091F"/>
    <w:rsid w:val="007B11BD"/>
    <w:rsid w:val="007B136A"/>
    <w:rsid w:val="007B2155"/>
    <w:rsid w:val="007B3F54"/>
    <w:rsid w:val="007B41CC"/>
    <w:rsid w:val="007B6096"/>
    <w:rsid w:val="007B63F4"/>
    <w:rsid w:val="007B7353"/>
    <w:rsid w:val="007B7BE1"/>
    <w:rsid w:val="007C034D"/>
    <w:rsid w:val="007C04D9"/>
    <w:rsid w:val="007C1467"/>
    <w:rsid w:val="007C149E"/>
    <w:rsid w:val="007C21EA"/>
    <w:rsid w:val="007C24AC"/>
    <w:rsid w:val="007C253C"/>
    <w:rsid w:val="007C4219"/>
    <w:rsid w:val="007C560B"/>
    <w:rsid w:val="007C59EE"/>
    <w:rsid w:val="007C5D88"/>
    <w:rsid w:val="007C6013"/>
    <w:rsid w:val="007C67EF"/>
    <w:rsid w:val="007C6CAA"/>
    <w:rsid w:val="007D113C"/>
    <w:rsid w:val="007D26CA"/>
    <w:rsid w:val="007D29D6"/>
    <w:rsid w:val="007D2BD9"/>
    <w:rsid w:val="007D2E00"/>
    <w:rsid w:val="007D2FED"/>
    <w:rsid w:val="007D4DAF"/>
    <w:rsid w:val="007D4E33"/>
    <w:rsid w:val="007D5BC2"/>
    <w:rsid w:val="007E2693"/>
    <w:rsid w:val="007E2B03"/>
    <w:rsid w:val="007E2BAF"/>
    <w:rsid w:val="007E3C4D"/>
    <w:rsid w:val="007E44FA"/>
    <w:rsid w:val="007E5802"/>
    <w:rsid w:val="007E5980"/>
    <w:rsid w:val="007E6C85"/>
    <w:rsid w:val="007E7083"/>
    <w:rsid w:val="007E7A62"/>
    <w:rsid w:val="007F12D5"/>
    <w:rsid w:val="007F1877"/>
    <w:rsid w:val="007F2381"/>
    <w:rsid w:val="007F3359"/>
    <w:rsid w:val="007F34C1"/>
    <w:rsid w:val="007F3F14"/>
    <w:rsid w:val="007F4E7D"/>
    <w:rsid w:val="007F5DB1"/>
    <w:rsid w:val="007F6060"/>
    <w:rsid w:val="007F6FF7"/>
    <w:rsid w:val="007F72AC"/>
    <w:rsid w:val="007F7775"/>
    <w:rsid w:val="008013E3"/>
    <w:rsid w:val="008015C6"/>
    <w:rsid w:val="008022F8"/>
    <w:rsid w:val="00803172"/>
    <w:rsid w:val="008032CE"/>
    <w:rsid w:val="008033C2"/>
    <w:rsid w:val="00803FA5"/>
    <w:rsid w:val="0080512D"/>
    <w:rsid w:val="00806F52"/>
    <w:rsid w:val="008070F7"/>
    <w:rsid w:val="00807E3B"/>
    <w:rsid w:val="008103AD"/>
    <w:rsid w:val="00810AFA"/>
    <w:rsid w:val="008119BF"/>
    <w:rsid w:val="008119E6"/>
    <w:rsid w:val="00812DD4"/>
    <w:rsid w:val="00813328"/>
    <w:rsid w:val="00813E06"/>
    <w:rsid w:val="008152D7"/>
    <w:rsid w:val="00816D18"/>
    <w:rsid w:val="0081728E"/>
    <w:rsid w:val="00817992"/>
    <w:rsid w:val="00820378"/>
    <w:rsid w:val="008206F4"/>
    <w:rsid w:val="008224E8"/>
    <w:rsid w:val="008225B4"/>
    <w:rsid w:val="00822808"/>
    <w:rsid w:val="0082404F"/>
    <w:rsid w:val="00824221"/>
    <w:rsid w:val="008243CF"/>
    <w:rsid w:val="00825126"/>
    <w:rsid w:val="0082513E"/>
    <w:rsid w:val="00825638"/>
    <w:rsid w:val="00826066"/>
    <w:rsid w:val="00827F25"/>
    <w:rsid w:val="0083030F"/>
    <w:rsid w:val="00831093"/>
    <w:rsid w:val="0083251E"/>
    <w:rsid w:val="00833FA8"/>
    <w:rsid w:val="00834850"/>
    <w:rsid w:val="00834F8D"/>
    <w:rsid w:val="00835A45"/>
    <w:rsid w:val="0083605D"/>
    <w:rsid w:val="008376C6"/>
    <w:rsid w:val="00837BCA"/>
    <w:rsid w:val="00841E2D"/>
    <w:rsid w:val="00842800"/>
    <w:rsid w:val="00842BD7"/>
    <w:rsid w:val="008434FB"/>
    <w:rsid w:val="00843AD8"/>
    <w:rsid w:val="00843B69"/>
    <w:rsid w:val="00843EF7"/>
    <w:rsid w:val="0084558C"/>
    <w:rsid w:val="008458D3"/>
    <w:rsid w:val="0084600F"/>
    <w:rsid w:val="00850AFE"/>
    <w:rsid w:val="008510F7"/>
    <w:rsid w:val="008511FE"/>
    <w:rsid w:val="00852A05"/>
    <w:rsid w:val="00852F74"/>
    <w:rsid w:val="0085360C"/>
    <w:rsid w:val="00853694"/>
    <w:rsid w:val="0085387C"/>
    <w:rsid w:val="00855485"/>
    <w:rsid w:val="008554E5"/>
    <w:rsid w:val="00855D15"/>
    <w:rsid w:val="008560CF"/>
    <w:rsid w:val="00856688"/>
    <w:rsid w:val="00862E8E"/>
    <w:rsid w:val="008658BF"/>
    <w:rsid w:val="00865D60"/>
    <w:rsid w:val="00866C2D"/>
    <w:rsid w:val="00871135"/>
    <w:rsid w:val="0087135D"/>
    <w:rsid w:val="008722C5"/>
    <w:rsid w:val="00872AAF"/>
    <w:rsid w:val="008737B4"/>
    <w:rsid w:val="00874178"/>
    <w:rsid w:val="008743B7"/>
    <w:rsid w:val="0087450D"/>
    <w:rsid w:val="00874E0F"/>
    <w:rsid w:val="00877F78"/>
    <w:rsid w:val="00880412"/>
    <w:rsid w:val="0088052F"/>
    <w:rsid w:val="00880EE3"/>
    <w:rsid w:val="008817B2"/>
    <w:rsid w:val="00882914"/>
    <w:rsid w:val="00882A49"/>
    <w:rsid w:val="00882EB9"/>
    <w:rsid w:val="00883101"/>
    <w:rsid w:val="00883430"/>
    <w:rsid w:val="008839C6"/>
    <w:rsid w:val="008850BE"/>
    <w:rsid w:val="00885424"/>
    <w:rsid w:val="00885E68"/>
    <w:rsid w:val="00890114"/>
    <w:rsid w:val="00890A46"/>
    <w:rsid w:val="0089388A"/>
    <w:rsid w:val="00894E51"/>
    <w:rsid w:val="00896617"/>
    <w:rsid w:val="00896A32"/>
    <w:rsid w:val="008977A6"/>
    <w:rsid w:val="008A0EFA"/>
    <w:rsid w:val="008A1931"/>
    <w:rsid w:val="008A2F54"/>
    <w:rsid w:val="008A3CAA"/>
    <w:rsid w:val="008A42E4"/>
    <w:rsid w:val="008A4E41"/>
    <w:rsid w:val="008A5457"/>
    <w:rsid w:val="008A6FD6"/>
    <w:rsid w:val="008B0289"/>
    <w:rsid w:val="008B0972"/>
    <w:rsid w:val="008B0BEF"/>
    <w:rsid w:val="008B1DF3"/>
    <w:rsid w:val="008B2616"/>
    <w:rsid w:val="008B2649"/>
    <w:rsid w:val="008B2CC8"/>
    <w:rsid w:val="008B40D1"/>
    <w:rsid w:val="008B450D"/>
    <w:rsid w:val="008B4F65"/>
    <w:rsid w:val="008B5359"/>
    <w:rsid w:val="008B6CA6"/>
    <w:rsid w:val="008B6E63"/>
    <w:rsid w:val="008B79D6"/>
    <w:rsid w:val="008C02EF"/>
    <w:rsid w:val="008C03A9"/>
    <w:rsid w:val="008C15AC"/>
    <w:rsid w:val="008C269E"/>
    <w:rsid w:val="008C287E"/>
    <w:rsid w:val="008C2EED"/>
    <w:rsid w:val="008C420B"/>
    <w:rsid w:val="008C44D6"/>
    <w:rsid w:val="008C4641"/>
    <w:rsid w:val="008C5368"/>
    <w:rsid w:val="008C5BEE"/>
    <w:rsid w:val="008C6295"/>
    <w:rsid w:val="008C681B"/>
    <w:rsid w:val="008C6D22"/>
    <w:rsid w:val="008C76B1"/>
    <w:rsid w:val="008D0A08"/>
    <w:rsid w:val="008D26B9"/>
    <w:rsid w:val="008D2DA0"/>
    <w:rsid w:val="008D32DB"/>
    <w:rsid w:val="008D3CDB"/>
    <w:rsid w:val="008D408C"/>
    <w:rsid w:val="008D449B"/>
    <w:rsid w:val="008D4E66"/>
    <w:rsid w:val="008D51BC"/>
    <w:rsid w:val="008D5296"/>
    <w:rsid w:val="008D5ACD"/>
    <w:rsid w:val="008D5CF5"/>
    <w:rsid w:val="008D6805"/>
    <w:rsid w:val="008D6C3F"/>
    <w:rsid w:val="008D6DC4"/>
    <w:rsid w:val="008D7761"/>
    <w:rsid w:val="008D7BFB"/>
    <w:rsid w:val="008D7D1C"/>
    <w:rsid w:val="008E09FB"/>
    <w:rsid w:val="008E0BEA"/>
    <w:rsid w:val="008E0F91"/>
    <w:rsid w:val="008E1ACC"/>
    <w:rsid w:val="008E2049"/>
    <w:rsid w:val="008E3FF4"/>
    <w:rsid w:val="008E41F3"/>
    <w:rsid w:val="008E5DD5"/>
    <w:rsid w:val="008E7362"/>
    <w:rsid w:val="008E7BF8"/>
    <w:rsid w:val="008E7C57"/>
    <w:rsid w:val="008F041F"/>
    <w:rsid w:val="008F255C"/>
    <w:rsid w:val="008F266E"/>
    <w:rsid w:val="008F2CBA"/>
    <w:rsid w:val="008F3A78"/>
    <w:rsid w:val="008F3EA6"/>
    <w:rsid w:val="008F42B1"/>
    <w:rsid w:val="008F45FD"/>
    <w:rsid w:val="008F4C3F"/>
    <w:rsid w:val="008F576B"/>
    <w:rsid w:val="008F688D"/>
    <w:rsid w:val="008F7135"/>
    <w:rsid w:val="008F7FB5"/>
    <w:rsid w:val="00901CC2"/>
    <w:rsid w:val="00902F3A"/>
    <w:rsid w:val="009035BB"/>
    <w:rsid w:val="00903612"/>
    <w:rsid w:val="00905133"/>
    <w:rsid w:val="00907F76"/>
    <w:rsid w:val="0091027E"/>
    <w:rsid w:val="009122B1"/>
    <w:rsid w:val="0091472E"/>
    <w:rsid w:val="00914B6E"/>
    <w:rsid w:val="00917D99"/>
    <w:rsid w:val="00917F28"/>
    <w:rsid w:val="00920002"/>
    <w:rsid w:val="00920079"/>
    <w:rsid w:val="00920647"/>
    <w:rsid w:val="009209A6"/>
    <w:rsid w:val="00920E22"/>
    <w:rsid w:val="009236A5"/>
    <w:rsid w:val="0092639B"/>
    <w:rsid w:val="009266C7"/>
    <w:rsid w:val="00927021"/>
    <w:rsid w:val="00927F52"/>
    <w:rsid w:val="00930ED6"/>
    <w:rsid w:val="009316C9"/>
    <w:rsid w:val="00931F11"/>
    <w:rsid w:val="00933BBE"/>
    <w:rsid w:val="00933F33"/>
    <w:rsid w:val="009359D7"/>
    <w:rsid w:val="00936B36"/>
    <w:rsid w:val="00936BB6"/>
    <w:rsid w:val="00936FFB"/>
    <w:rsid w:val="009416EF"/>
    <w:rsid w:val="009417C1"/>
    <w:rsid w:val="00943B58"/>
    <w:rsid w:val="00944FC0"/>
    <w:rsid w:val="00945820"/>
    <w:rsid w:val="00945F61"/>
    <w:rsid w:val="0094637E"/>
    <w:rsid w:val="00947071"/>
    <w:rsid w:val="00947123"/>
    <w:rsid w:val="009473CE"/>
    <w:rsid w:val="00947904"/>
    <w:rsid w:val="00951139"/>
    <w:rsid w:val="009513FA"/>
    <w:rsid w:val="00951820"/>
    <w:rsid w:val="00951D94"/>
    <w:rsid w:val="009539A3"/>
    <w:rsid w:val="00954188"/>
    <w:rsid w:val="00956E18"/>
    <w:rsid w:val="009575A2"/>
    <w:rsid w:val="009610A4"/>
    <w:rsid w:val="00961DA2"/>
    <w:rsid w:val="00963582"/>
    <w:rsid w:val="00963BEC"/>
    <w:rsid w:val="00964B94"/>
    <w:rsid w:val="0096501C"/>
    <w:rsid w:val="00966A21"/>
    <w:rsid w:val="00966AF7"/>
    <w:rsid w:val="0096747D"/>
    <w:rsid w:val="00967754"/>
    <w:rsid w:val="00970700"/>
    <w:rsid w:val="00970815"/>
    <w:rsid w:val="00970D71"/>
    <w:rsid w:val="00971EF1"/>
    <w:rsid w:val="009728BC"/>
    <w:rsid w:val="0097297C"/>
    <w:rsid w:val="00972BD3"/>
    <w:rsid w:val="009743BA"/>
    <w:rsid w:val="0097571A"/>
    <w:rsid w:val="00975D2C"/>
    <w:rsid w:val="009772F1"/>
    <w:rsid w:val="00981BA3"/>
    <w:rsid w:val="00984406"/>
    <w:rsid w:val="00985815"/>
    <w:rsid w:val="00986243"/>
    <w:rsid w:val="00987825"/>
    <w:rsid w:val="0099066B"/>
    <w:rsid w:val="00990674"/>
    <w:rsid w:val="00990E25"/>
    <w:rsid w:val="00990F82"/>
    <w:rsid w:val="00992441"/>
    <w:rsid w:val="00994B4E"/>
    <w:rsid w:val="00994D46"/>
    <w:rsid w:val="00994F7F"/>
    <w:rsid w:val="00995F0E"/>
    <w:rsid w:val="00996506"/>
    <w:rsid w:val="0099692A"/>
    <w:rsid w:val="009A163A"/>
    <w:rsid w:val="009A198E"/>
    <w:rsid w:val="009A1A04"/>
    <w:rsid w:val="009A2A40"/>
    <w:rsid w:val="009A2F94"/>
    <w:rsid w:val="009A431A"/>
    <w:rsid w:val="009A45ED"/>
    <w:rsid w:val="009A48F1"/>
    <w:rsid w:val="009A4CE6"/>
    <w:rsid w:val="009A5950"/>
    <w:rsid w:val="009A5CA9"/>
    <w:rsid w:val="009A5D41"/>
    <w:rsid w:val="009A67CF"/>
    <w:rsid w:val="009A743F"/>
    <w:rsid w:val="009A7784"/>
    <w:rsid w:val="009B08C9"/>
    <w:rsid w:val="009B10B6"/>
    <w:rsid w:val="009B22CB"/>
    <w:rsid w:val="009B29EE"/>
    <w:rsid w:val="009B2E96"/>
    <w:rsid w:val="009B33A2"/>
    <w:rsid w:val="009B3A90"/>
    <w:rsid w:val="009B3B26"/>
    <w:rsid w:val="009B499D"/>
    <w:rsid w:val="009B4C3C"/>
    <w:rsid w:val="009B4D73"/>
    <w:rsid w:val="009B678D"/>
    <w:rsid w:val="009B7710"/>
    <w:rsid w:val="009B791D"/>
    <w:rsid w:val="009B7A77"/>
    <w:rsid w:val="009B7E39"/>
    <w:rsid w:val="009C00E2"/>
    <w:rsid w:val="009C03E9"/>
    <w:rsid w:val="009C0B50"/>
    <w:rsid w:val="009C7062"/>
    <w:rsid w:val="009C7645"/>
    <w:rsid w:val="009C7884"/>
    <w:rsid w:val="009C7940"/>
    <w:rsid w:val="009C7A77"/>
    <w:rsid w:val="009D0898"/>
    <w:rsid w:val="009D1831"/>
    <w:rsid w:val="009D478E"/>
    <w:rsid w:val="009D4BC4"/>
    <w:rsid w:val="009D4DEA"/>
    <w:rsid w:val="009D56AC"/>
    <w:rsid w:val="009D6B38"/>
    <w:rsid w:val="009D73F3"/>
    <w:rsid w:val="009D7439"/>
    <w:rsid w:val="009D7BFB"/>
    <w:rsid w:val="009E041B"/>
    <w:rsid w:val="009E083D"/>
    <w:rsid w:val="009E0FEC"/>
    <w:rsid w:val="009E110E"/>
    <w:rsid w:val="009E1A63"/>
    <w:rsid w:val="009E1C6B"/>
    <w:rsid w:val="009E1C7A"/>
    <w:rsid w:val="009E25AF"/>
    <w:rsid w:val="009E26F2"/>
    <w:rsid w:val="009E2EC8"/>
    <w:rsid w:val="009E312D"/>
    <w:rsid w:val="009E477C"/>
    <w:rsid w:val="009E4AA3"/>
    <w:rsid w:val="009E4B79"/>
    <w:rsid w:val="009E5713"/>
    <w:rsid w:val="009E5A65"/>
    <w:rsid w:val="009F00E3"/>
    <w:rsid w:val="009F0643"/>
    <w:rsid w:val="009F0B78"/>
    <w:rsid w:val="009F17B0"/>
    <w:rsid w:val="009F2080"/>
    <w:rsid w:val="009F26B5"/>
    <w:rsid w:val="009F2D7E"/>
    <w:rsid w:val="009F4563"/>
    <w:rsid w:val="009F5730"/>
    <w:rsid w:val="009F5796"/>
    <w:rsid w:val="009F60CE"/>
    <w:rsid w:val="00A00119"/>
    <w:rsid w:val="00A008F0"/>
    <w:rsid w:val="00A00A4B"/>
    <w:rsid w:val="00A01248"/>
    <w:rsid w:val="00A029E3"/>
    <w:rsid w:val="00A0513C"/>
    <w:rsid w:val="00A05A10"/>
    <w:rsid w:val="00A07FAF"/>
    <w:rsid w:val="00A10B5E"/>
    <w:rsid w:val="00A137A7"/>
    <w:rsid w:val="00A153E0"/>
    <w:rsid w:val="00A15613"/>
    <w:rsid w:val="00A15C7D"/>
    <w:rsid w:val="00A16027"/>
    <w:rsid w:val="00A174FC"/>
    <w:rsid w:val="00A17D33"/>
    <w:rsid w:val="00A2171D"/>
    <w:rsid w:val="00A21F27"/>
    <w:rsid w:val="00A223B3"/>
    <w:rsid w:val="00A229F3"/>
    <w:rsid w:val="00A241BE"/>
    <w:rsid w:val="00A275D6"/>
    <w:rsid w:val="00A3150B"/>
    <w:rsid w:val="00A31B92"/>
    <w:rsid w:val="00A3312C"/>
    <w:rsid w:val="00A33C14"/>
    <w:rsid w:val="00A33FDD"/>
    <w:rsid w:val="00A3508D"/>
    <w:rsid w:val="00A35240"/>
    <w:rsid w:val="00A352DE"/>
    <w:rsid w:val="00A35914"/>
    <w:rsid w:val="00A35A74"/>
    <w:rsid w:val="00A403C2"/>
    <w:rsid w:val="00A4056A"/>
    <w:rsid w:val="00A408BF"/>
    <w:rsid w:val="00A410AB"/>
    <w:rsid w:val="00A41FC0"/>
    <w:rsid w:val="00A43C7E"/>
    <w:rsid w:val="00A447E2"/>
    <w:rsid w:val="00A45EA7"/>
    <w:rsid w:val="00A46356"/>
    <w:rsid w:val="00A46457"/>
    <w:rsid w:val="00A46574"/>
    <w:rsid w:val="00A46B1E"/>
    <w:rsid w:val="00A46BA7"/>
    <w:rsid w:val="00A47B2D"/>
    <w:rsid w:val="00A50032"/>
    <w:rsid w:val="00A522BF"/>
    <w:rsid w:val="00A5251A"/>
    <w:rsid w:val="00A52A1E"/>
    <w:rsid w:val="00A52ADC"/>
    <w:rsid w:val="00A5398D"/>
    <w:rsid w:val="00A53A48"/>
    <w:rsid w:val="00A56B78"/>
    <w:rsid w:val="00A56F6C"/>
    <w:rsid w:val="00A57D47"/>
    <w:rsid w:val="00A60237"/>
    <w:rsid w:val="00A60796"/>
    <w:rsid w:val="00A61A0A"/>
    <w:rsid w:val="00A620AB"/>
    <w:rsid w:val="00A62618"/>
    <w:rsid w:val="00A63BF3"/>
    <w:rsid w:val="00A648AD"/>
    <w:rsid w:val="00A64E7A"/>
    <w:rsid w:val="00A65F79"/>
    <w:rsid w:val="00A67513"/>
    <w:rsid w:val="00A67FE1"/>
    <w:rsid w:val="00A70602"/>
    <w:rsid w:val="00A7144F"/>
    <w:rsid w:val="00A71B06"/>
    <w:rsid w:val="00A71D23"/>
    <w:rsid w:val="00A71F08"/>
    <w:rsid w:val="00A73EB3"/>
    <w:rsid w:val="00A74571"/>
    <w:rsid w:val="00A7477D"/>
    <w:rsid w:val="00A74AEC"/>
    <w:rsid w:val="00A74E01"/>
    <w:rsid w:val="00A74F8C"/>
    <w:rsid w:val="00A7564A"/>
    <w:rsid w:val="00A762E9"/>
    <w:rsid w:val="00A76D14"/>
    <w:rsid w:val="00A77116"/>
    <w:rsid w:val="00A77A05"/>
    <w:rsid w:val="00A803E9"/>
    <w:rsid w:val="00A803EA"/>
    <w:rsid w:val="00A80BD9"/>
    <w:rsid w:val="00A814C8"/>
    <w:rsid w:val="00A81859"/>
    <w:rsid w:val="00A822BD"/>
    <w:rsid w:val="00A82AF9"/>
    <w:rsid w:val="00A82BBF"/>
    <w:rsid w:val="00A833AC"/>
    <w:rsid w:val="00A8464E"/>
    <w:rsid w:val="00A84858"/>
    <w:rsid w:val="00A84AE4"/>
    <w:rsid w:val="00A85B67"/>
    <w:rsid w:val="00A87144"/>
    <w:rsid w:val="00A873B0"/>
    <w:rsid w:val="00A90035"/>
    <w:rsid w:val="00A92624"/>
    <w:rsid w:val="00A92B95"/>
    <w:rsid w:val="00A93982"/>
    <w:rsid w:val="00A94034"/>
    <w:rsid w:val="00A94072"/>
    <w:rsid w:val="00A957D8"/>
    <w:rsid w:val="00A979D8"/>
    <w:rsid w:val="00AA060F"/>
    <w:rsid w:val="00AA304B"/>
    <w:rsid w:val="00AA3C70"/>
    <w:rsid w:val="00AA4790"/>
    <w:rsid w:val="00AA58F4"/>
    <w:rsid w:val="00AA6F9C"/>
    <w:rsid w:val="00AA73ED"/>
    <w:rsid w:val="00AB0EE3"/>
    <w:rsid w:val="00AB1010"/>
    <w:rsid w:val="00AB1720"/>
    <w:rsid w:val="00AB18C2"/>
    <w:rsid w:val="00AB1968"/>
    <w:rsid w:val="00AB1ED8"/>
    <w:rsid w:val="00AB24BD"/>
    <w:rsid w:val="00AB39BB"/>
    <w:rsid w:val="00AB3E8B"/>
    <w:rsid w:val="00AB4751"/>
    <w:rsid w:val="00AB5B65"/>
    <w:rsid w:val="00AB7109"/>
    <w:rsid w:val="00AB7458"/>
    <w:rsid w:val="00AB762D"/>
    <w:rsid w:val="00AB77A7"/>
    <w:rsid w:val="00AC01E3"/>
    <w:rsid w:val="00AC375B"/>
    <w:rsid w:val="00AC37FC"/>
    <w:rsid w:val="00AC406D"/>
    <w:rsid w:val="00AC4CE3"/>
    <w:rsid w:val="00AC6C7C"/>
    <w:rsid w:val="00AC7E8E"/>
    <w:rsid w:val="00AD12A6"/>
    <w:rsid w:val="00AD16D0"/>
    <w:rsid w:val="00AD1859"/>
    <w:rsid w:val="00AD33A2"/>
    <w:rsid w:val="00AD4626"/>
    <w:rsid w:val="00AD4BB3"/>
    <w:rsid w:val="00AD5CC7"/>
    <w:rsid w:val="00AD6017"/>
    <w:rsid w:val="00AD7D6D"/>
    <w:rsid w:val="00AD7EB0"/>
    <w:rsid w:val="00AE089F"/>
    <w:rsid w:val="00AE08A1"/>
    <w:rsid w:val="00AE0B6D"/>
    <w:rsid w:val="00AE2557"/>
    <w:rsid w:val="00AE3549"/>
    <w:rsid w:val="00AE4139"/>
    <w:rsid w:val="00AE48EB"/>
    <w:rsid w:val="00AE78D2"/>
    <w:rsid w:val="00AF13CF"/>
    <w:rsid w:val="00AF2478"/>
    <w:rsid w:val="00AF3821"/>
    <w:rsid w:val="00AF4239"/>
    <w:rsid w:val="00AF6469"/>
    <w:rsid w:val="00AF6660"/>
    <w:rsid w:val="00AF6844"/>
    <w:rsid w:val="00AF6B83"/>
    <w:rsid w:val="00AF76CB"/>
    <w:rsid w:val="00B00098"/>
    <w:rsid w:val="00B01072"/>
    <w:rsid w:val="00B0319D"/>
    <w:rsid w:val="00B057AA"/>
    <w:rsid w:val="00B06854"/>
    <w:rsid w:val="00B07D66"/>
    <w:rsid w:val="00B1230F"/>
    <w:rsid w:val="00B12612"/>
    <w:rsid w:val="00B126CD"/>
    <w:rsid w:val="00B12C29"/>
    <w:rsid w:val="00B13A10"/>
    <w:rsid w:val="00B14389"/>
    <w:rsid w:val="00B145D7"/>
    <w:rsid w:val="00B14CB0"/>
    <w:rsid w:val="00B156B2"/>
    <w:rsid w:val="00B16157"/>
    <w:rsid w:val="00B16C29"/>
    <w:rsid w:val="00B177AD"/>
    <w:rsid w:val="00B203F6"/>
    <w:rsid w:val="00B21292"/>
    <w:rsid w:val="00B263BD"/>
    <w:rsid w:val="00B26674"/>
    <w:rsid w:val="00B27B54"/>
    <w:rsid w:val="00B27E80"/>
    <w:rsid w:val="00B30338"/>
    <w:rsid w:val="00B309C8"/>
    <w:rsid w:val="00B32528"/>
    <w:rsid w:val="00B355A9"/>
    <w:rsid w:val="00B3583C"/>
    <w:rsid w:val="00B36A63"/>
    <w:rsid w:val="00B36E3A"/>
    <w:rsid w:val="00B36EB9"/>
    <w:rsid w:val="00B405F3"/>
    <w:rsid w:val="00B40B47"/>
    <w:rsid w:val="00B42D7D"/>
    <w:rsid w:val="00B42E64"/>
    <w:rsid w:val="00B43DB0"/>
    <w:rsid w:val="00B452E7"/>
    <w:rsid w:val="00B46099"/>
    <w:rsid w:val="00B46443"/>
    <w:rsid w:val="00B465C3"/>
    <w:rsid w:val="00B503AB"/>
    <w:rsid w:val="00B505C4"/>
    <w:rsid w:val="00B51DCE"/>
    <w:rsid w:val="00B5223F"/>
    <w:rsid w:val="00B5230A"/>
    <w:rsid w:val="00B531CD"/>
    <w:rsid w:val="00B54092"/>
    <w:rsid w:val="00B540EF"/>
    <w:rsid w:val="00B553A5"/>
    <w:rsid w:val="00B5548A"/>
    <w:rsid w:val="00B56108"/>
    <w:rsid w:val="00B56914"/>
    <w:rsid w:val="00B56EB2"/>
    <w:rsid w:val="00B57507"/>
    <w:rsid w:val="00B57582"/>
    <w:rsid w:val="00B606B1"/>
    <w:rsid w:val="00B61C96"/>
    <w:rsid w:val="00B6350B"/>
    <w:rsid w:val="00B6369C"/>
    <w:rsid w:val="00B646DE"/>
    <w:rsid w:val="00B64820"/>
    <w:rsid w:val="00B65EDF"/>
    <w:rsid w:val="00B65F3F"/>
    <w:rsid w:val="00B66A4F"/>
    <w:rsid w:val="00B66BA3"/>
    <w:rsid w:val="00B7117E"/>
    <w:rsid w:val="00B71993"/>
    <w:rsid w:val="00B7296C"/>
    <w:rsid w:val="00B72F75"/>
    <w:rsid w:val="00B743C6"/>
    <w:rsid w:val="00B746B0"/>
    <w:rsid w:val="00B748A8"/>
    <w:rsid w:val="00B74FAD"/>
    <w:rsid w:val="00B75DA0"/>
    <w:rsid w:val="00B76385"/>
    <w:rsid w:val="00B771CC"/>
    <w:rsid w:val="00B77E9F"/>
    <w:rsid w:val="00B80A43"/>
    <w:rsid w:val="00B80F36"/>
    <w:rsid w:val="00B8140F"/>
    <w:rsid w:val="00B8151D"/>
    <w:rsid w:val="00B815F8"/>
    <w:rsid w:val="00B8196C"/>
    <w:rsid w:val="00B81C81"/>
    <w:rsid w:val="00B81D28"/>
    <w:rsid w:val="00B82802"/>
    <w:rsid w:val="00B83569"/>
    <w:rsid w:val="00B838C2"/>
    <w:rsid w:val="00B84304"/>
    <w:rsid w:val="00B84562"/>
    <w:rsid w:val="00B848AD"/>
    <w:rsid w:val="00B85244"/>
    <w:rsid w:val="00B85DD0"/>
    <w:rsid w:val="00B86A9A"/>
    <w:rsid w:val="00B86FD5"/>
    <w:rsid w:val="00B90713"/>
    <w:rsid w:val="00B908BF"/>
    <w:rsid w:val="00B91546"/>
    <w:rsid w:val="00B92896"/>
    <w:rsid w:val="00B92AB6"/>
    <w:rsid w:val="00B92C70"/>
    <w:rsid w:val="00B93CC8"/>
    <w:rsid w:val="00B9418F"/>
    <w:rsid w:val="00B945EC"/>
    <w:rsid w:val="00B94C6B"/>
    <w:rsid w:val="00B95EF9"/>
    <w:rsid w:val="00B96089"/>
    <w:rsid w:val="00B9627C"/>
    <w:rsid w:val="00B969C4"/>
    <w:rsid w:val="00B971FB"/>
    <w:rsid w:val="00B97528"/>
    <w:rsid w:val="00BA1052"/>
    <w:rsid w:val="00BA1CB9"/>
    <w:rsid w:val="00BA1D3C"/>
    <w:rsid w:val="00BA359C"/>
    <w:rsid w:val="00BA43BC"/>
    <w:rsid w:val="00BA46DD"/>
    <w:rsid w:val="00BA5132"/>
    <w:rsid w:val="00BA5715"/>
    <w:rsid w:val="00BA6AF3"/>
    <w:rsid w:val="00BA6EA2"/>
    <w:rsid w:val="00BA7D72"/>
    <w:rsid w:val="00BB0065"/>
    <w:rsid w:val="00BB014E"/>
    <w:rsid w:val="00BB02E9"/>
    <w:rsid w:val="00BB191A"/>
    <w:rsid w:val="00BB2C2B"/>
    <w:rsid w:val="00BB2D19"/>
    <w:rsid w:val="00BB35FB"/>
    <w:rsid w:val="00BB4017"/>
    <w:rsid w:val="00BB51F1"/>
    <w:rsid w:val="00BB6232"/>
    <w:rsid w:val="00BB66E6"/>
    <w:rsid w:val="00BB6E54"/>
    <w:rsid w:val="00BB6EA1"/>
    <w:rsid w:val="00BB72C6"/>
    <w:rsid w:val="00BB78F4"/>
    <w:rsid w:val="00BC0826"/>
    <w:rsid w:val="00BC0ACD"/>
    <w:rsid w:val="00BC1E00"/>
    <w:rsid w:val="00BC3CC4"/>
    <w:rsid w:val="00BC3FAA"/>
    <w:rsid w:val="00BC4326"/>
    <w:rsid w:val="00BC5D07"/>
    <w:rsid w:val="00BC5DED"/>
    <w:rsid w:val="00BC77A2"/>
    <w:rsid w:val="00BD0795"/>
    <w:rsid w:val="00BD3058"/>
    <w:rsid w:val="00BD4080"/>
    <w:rsid w:val="00BD6834"/>
    <w:rsid w:val="00BD69E7"/>
    <w:rsid w:val="00BD6C65"/>
    <w:rsid w:val="00BD6D2A"/>
    <w:rsid w:val="00BD6EB8"/>
    <w:rsid w:val="00BD7B94"/>
    <w:rsid w:val="00BE05C2"/>
    <w:rsid w:val="00BE0A83"/>
    <w:rsid w:val="00BE0D1F"/>
    <w:rsid w:val="00BE17B9"/>
    <w:rsid w:val="00BE1AE2"/>
    <w:rsid w:val="00BE1FAA"/>
    <w:rsid w:val="00BE231E"/>
    <w:rsid w:val="00BE2BF6"/>
    <w:rsid w:val="00BE2EB0"/>
    <w:rsid w:val="00BE3644"/>
    <w:rsid w:val="00BE3BEE"/>
    <w:rsid w:val="00BE3D6C"/>
    <w:rsid w:val="00BE530F"/>
    <w:rsid w:val="00BE6909"/>
    <w:rsid w:val="00BE6A6D"/>
    <w:rsid w:val="00BF1A9D"/>
    <w:rsid w:val="00BF2E70"/>
    <w:rsid w:val="00BF3FEC"/>
    <w:rsid w:val="00BF49B2"/>
    <w:rsid w:val="00BF5884"/>
    <w:rsid w:val="00BF693D"/>
    <w:rsid w:val="00BF6A81"/>
    <w:rsid w:val="00BF7763"/>
    <w:rsid w:val="00C0279E"/>
    <w:rsid w:val="00C03544"/>
    <w:rsid w:val="00C046C0"/>
    <w:rsid w:val="00C04AA3"/>
    <w:rsid w:val="00C05150"/>
    <w:rsid w:val="00C0696F"/>
    <w:rsid w:val="00C06D35"/>
    <w:rsid w:val="00C10B81"/>
    <w:rsid w:val="00C11169"/>
    <w:rsid w:val="00C115D3"/>
    <w:rsid w:val="00C11786"/>
    <w:rsid w:val="00C1275E"/>
    <w:rsid w:val="00C138F2"/>
    <w:rsid w:val="00C13965"/>
    <w:rsid w:val="00C13A84"/>
    <w:rsid w:val="00C1430D"/>
    <w:rsid w:val="00C153D8"/>
    <w:rsid w:val="00C15BB5"/>
    <w:rsid w:val="00C1679C"/>
    <w:rsid w:val="00C17074"/>
    <w:rsid w:val="00C218BB"/>
    <w:rsid w:val="00C23C41"/>
    <w:rsid w:val="00C24BCE"/>
    <w:rsid w:val="00C25872"/>
    <w:rsid w:val="00C2597E"/>
    <w:rsid w:val="00C25F72"/>
    <w:rsid w:val="00C26990"/>
    <w:rsid w:val="00C27212"/>
    <w:rsid w:val="00C27402"/>
    <w:rsid w:val="00C27E9A"/>
    <w:rsid w:val="00C30A68"/>
    <w:rsid w:val="00C31A5C"/>
    <w:rsid w:val="00C323C5"/>
    <w:rsid w:val="00C33A2B"/>
    <w:rsid w:val="00C33C4A"/>
    <w:rsid w:val="00C34362"/>
    <w:rsid w:val="00C347D3"/>
    <w:rsid w:val="00C349E0"/>
    <w:rsid w:val="00C35A54"/>
    <w:rsid w:val="00C35FB9"/>
    <w:rsid w:val="00C3742C"/>
    <w:rsid w:val="00C37665"/>
    <w:rsid w:val="00C37BCC"/>
    <w:rsid w:val="00C40ADA"/>
    <w:rsid w:val="00C415FC"/>
    <w:rsid w:val="00C41DA0"/>
    <w:rsid w:val="00C45332"/>
    <w:rsid w:val="00C4586F"/>
    <w:rsid w:val="00C471EB"/>
    <w:rsid w:val="00C4751B"/>
    <w:rsid w:val="00C47594"/>
    <w:rsid w:val="00C50B63"/>
    <w:rsid w:val="00C518D2"/>
    <w:rsid w:val="00C529AA"/>
    <w:rsid w:val="00C52C4A"/>
    <w:rsid w:val="00C54B57"/>
    <w:rsid w:val="00C553F5"/>
    <w:rsid w:val="00C571A9"/>
    <w:rsid w:val="00C61BAE"/>
    <w:rsid w:val="00C620E5"/>
    <w:rsid w:val="00C62259"/>
    <w:rsid w:val="00C62420"/>
    <w:rsid w:val="00C637B5"/>
    <w:rsid w:val="00C63FFD"/>
    <w:rsid w:val="00C64024"/>
    <w:rsid w:val="00C642CD"/>
    <w:rsid w:val="00C656A6"/>
    <w:rsid w:val="00C65860"/>
    <w:rsid w:val="00C65B93"/>
    <w:rsid w:val="00C67CE1"/>
    <w:rsid w:val="00C706EB"/>
    <w:rsid w:val="00C70738"/>
    <w:rsid w:val="00C707C2"/>
    <w:rsid w:val="00C72041"/>
    <w:rsid w:val="00C726F5"/>
    <w:rsid w:val="00C735EE"/>
    <w:rsid w:val="00C73C15"/>
    <w:rsid w:val="00C74E64"/>
    <w:rsid w:val="00C76454"/>
    <w:rsid w:val="00C77447"/>
    <w:rsid w:val="00C77946"/>
    <w:rsid w:val="00C805D1"/>
    <w:rsid w:val="00C80CFB"/>
    <w:rsid w:val="00C80E3C"/>
    <w:rsid w:val="00C81300"/>
    <w:rsid w:val="00C8184D"/>
    <w:rsid w:val="00C81ABF"/>
    <w:rsid w:val="00C81B7A"/>
    <w:rsid w:val="00C82082"/>
    <w:rsid w:val="00C8248A"/>
    <w:rsid w:val="00C82844"/>
    <w:rsid w:val="00C83E64"/>
    <w:rsid w:val="00C85B6F"/>
    <w:rsid w:val="00C85C54"/>
    <w:rsid w:val="00C86360"/>
    <w:rsid w:val="00C8668D"/>
    <w:rsid w:val="00C86880"/>
    <w:rsid w:val="00C87270"/>
    <w:rsid w:val="00C87691"/>
    <w:rsid w:val="00C87D48"/>
    <w:rsid w:val="00C87F96"/>
    <w:rsid w:val="00C91EFB"/>
    <w:rsid w:val="00C9257C"/>
    <w:rsid w:val="00C92D81"/>
    <w:rsid w:val="00C93D75"/>
    <w:rsid w:val="00C93DBB"/>
    <w:rsid w:val="00C94A12"/>
    <w:rsid w:val="00C951D2"/>
    <w:rsid w:val="00C9527C"/>
    <w:rsid w:val="00C95308"/>
    <w:rsid w:val="00C96290"/>
    <w:rsid w:val="00C968D7"/>
    <w:rsid w:val="00C97312"/>
    <w:rsid w:val="00C97EBC"/>
    <w:rsid w:val="00CA0E92"/>
    <w:rsid w:val="00CA1BCE"/>
    <w:rsid w:val="00CA25E0"/>
    <w:rsid w:val="00CA31DA"/>
    <w:rsid w:val="00CA46DC"/>
    <w:rsid w:val="00CA4927"/>
    <w:rsid w:val="00CB0219"/>
    <w:rsid w:val="00CB0522"/>
    <w:rsid w:val="00CB173D"/>
    <w:rsid w:val="00CB1D8F"/>
    <w:rsid w:val="00CB2B8B"/>
    <w:rsid w:val="00CB2CBE"/>
    <w:rsid w:val="00CB3213"/>
    <w:rsid w:val="00CB454F"/>
    <w:rsid w:val="00CB4D75"/>
    <w:rsid w:val="00CB523E"/>
    <w:rsid w:val="00CB5F43"/>
    <w:rsid w:val="00CB6B61"/>
    <w:rsid w:val="00CB6D74"/>
    <w:rsid w:val="00CB779B"/>
    <w:rsid w:val="00CB7D86"/>
    <w:rsid w:val="00CC0819"/>
    <w:rsid w:val="00CC0A5D"/>
    <w:rsid w:val="00CC0AEB"/>
    <w:rsid w:val="00CC0B61"/>
    <w:rsid w:val="00CC0F33"/>
    <w:rsid w:val="00CC14B6"/>
    <w:rsid w:val="00CC157B"/>
    <w:rsid w:val="00CC24EA"/>
    <w:rsid w:val="00CC2D85"/>
    <w:rsid w:val="00CC507D"/>
    <w:rsid w:val="00CC5460"/>
    <w:rsid w:val="00CC719D"/>
    <w:rsid w:val="00CC739D"/>
    <w:rsid w:val="00CD03B4"/>
    <w:rsid w:val="00CD0539"/>
    <w:rsid w:val="00CD0F9C"/>
    <w:rsid w:val="00CD1C03"/>
    <w:rsid w:val="00CD2091"/>
    <w:rsid w:val="00CD5FB0"/>
    <w:rsid w:val="00CE0250"/>
    <w:rsid w:val="00CE0990"/>
    <w:rsid w:val="00CE1760"/>
    <w:rsid w:val="00CE3949"/>
    <w:rsid w:val="00CE49C8"/>
    <w:rsid w:val="00CE6193"/>
    <w:rsid w:val="00CF063D"/>
    <w:rsid w:val="00CF092A"/>
    <w:rsid w:val="00CF1F08"/>
    <w:rsid w:val="00CF217A"/>
    <w:rsid w:val="00CF24C2"/>
    <w:rsid w:val="00CF316B"/>
    <w:rsid w:val="00CF34A7"/>
    <w:rsid w:val="00CF582C"/>
    <w:rsid w:val="00CF69AB"/>
    <w:rsid w:val="00CF7BF8"/>
    <w:rsid w:val="00CF7CC2"/>
    <w:rsid w:val="00D01A72"/>
    <w:rsid w:val="00D02A08"/>
    <w:rsid w:val="00D04D3E"/>
    <w:rsid w:val="00D06E35"/>
    <w:rsid w:val="00D11859"/>
    <w:rsid w:val="00D131B9"/>
    <w:rsid w:val="00D13C51"/>
    <w:rsid w:val="00D13E97"/>
    <w:rsid w:val="00D13F98"/>
    <w:rsid w:val="00D15C6B"/>
    <w:rsid w:val="00D15EAF"/>
    <w:rsid w:val="00D17A64"/>
    <w:rsid w:val="00D17E15"/>
    <w:rsid w:val="00D200EC"/>
    <w:rsid w:val="00D2047F"/>
    <w:rsid w:val="00D2051D"/>
    <w:rsid w:val="00D20844"/>
    <w:rsid w:val="00D2118E"/>
    <w:rsid w:val="00D21373"/>
    <w:rsid w:val="00D216A9"/>
    <w:rsid w:val="00D240F6"/>
    <w:rsid w:val="00D2431A"/>
    <w:rsid w:val="00D24B2D"/>
    <w:rsid w:val="00D24C02"/>
    <w:rsid w:val="00D24D28"/>
    <w:rsid w:val="00D25102"/>
    <w:rsid w:val="00D25E1B"/>
    <w:rsid w:val="00D25FB4"/>
    <w:rsid w:val="00D26519"/>
    <w:rsid w:val="00D3037C"/>
    <w:rsid w:val="00D30925"/>
    <w:rsid w:val="00D30BB9"/>
    <w:rsid w:val="00D31300"/>
    <w:rsid w:val="00D31415"/>
    <w:rsid w:val="00D31B59"/>
    <w:rsid w:val="00D31B6E"/>
    <w:rsid w:val="00D31ED4"/>
    <w:rsid w:val="00D32113"/>
    <w:rsid w:val="00D324B8"/>
    <w:rsid w:val="00D33D91"/>
    <w:rsid w:val="00D3446F"/>
    <w:rsid w:val="00D347B6"/>
    <w:rsid w:val="00D35A9E"/>
    <w:rsid w:val="00D3653C"/>
    <w:rsid w:val="00D37BA4"/>
    <w:rsid w:val="00D412A1"/>
    <w:rsid w:val="00D412A9"/>
    <w:rsid w:val="00D41AA4"/>
    <w:rsid w:val="00D42C8D"/>
    <w:rsid w:val="00D438AD"/>
    <w:rsid w:val="00D4430F"/>
    <w:rsid w:val="00D46365"/>
    <w:rsid w:val="00D4716F"/>
    <w:rsid w:val="00D474A1"/>
    <w:rsid w:val="00D475D9"/>
    <w:rsid w:val="00D50A43"/>
    <w:rsid w:val="00D51003"/>
    <w:rsid w:val="00D52761"/>
    <w:rsid w:val="00D5285E"/>
    <w:rsid w:val="00D53966"/>
    <w:rsid w:val="00D544FC"/>
    <w:rsid w:val="00D55102"/>
    <w:rsid w:val="00D55544"/>
    <w:rsid w:val="00D56EE0"/>
    <w:rsid w:val="00D57029"/>
    <w:rsid w:val="00D6194F"/>
    <w:rsid w:val="00D61A04"/>
    <w:rsid w:val="00D6230D"/>
    <w:rsid w:val="00D6259A"/>
    <w:rsid w:val="00D6281E"/>
    <w:rsid w:val="00D635F9"/>
    <w:rsid w:val="00D64926"/>
    <w:rsid w:val="00D64A9C"/>
    <w:rsid w:val="00D65B7C"/>
    <w:rsid w:val="00D66CE1"/>
    <w:rsid w:val="00D70BDA"/>
    <w:rsid w:val="00D71685"/>
    <w:rsid w:val="00D727BA"/>
    <w:rsid w:val="00D7304E"/>
    <w:rsid w:val="00D7330D"/>
    <w:rsid w:val="00D73AB0"/>
    <w:rsid w:val="00D746A2"/>
    <w:rsid w:val="00D754C4"/>
    <w:rsid w:val="00D75DDB"/>
    <w:rsid w:val="00D768BC"/>
    <w:rsid w:val="00D804F0"/>
    <w:rsid w:val="00D8112A"/>
    <w:rsid w:val="00D812DC"/>
    <w:rsid w:val="00D8195D"/>
    <w:rsid w:val="00D81ED4"/>
    <w:rsid w:val="00D83124"/>
    <w:rsid w:val="00D835E9"/>
    <w:rsid w:val="00D83AF9"/>
    <w:rsid w:val="00D83D67"/>
    <w:rsid w:val="00D83E32"/>
    <w:rsid w:val="00D84489"/>
    <w:rsid w:val="00D84BCF"/>
    <w:rsid w:val="00D84E64"/>
    <w:rsid w:val="00D85417"/>
    <w:rsid w:val="00D85803"/>
    <w:rsid w:val="00D865FB"/>
    <w:rsid w:val="00D87FF8"/>
    <w:rsid w:val="00D909C1"/>
    <w:rsid w:val="00D90D91"/>
    <w:rsid w:val="00D9126F"/>
    <w:rsid w:val="00D934D5"/>
    <w:rsid w:val="00D947E4"/>
    <w:rsid w:val="00D970A8"/>
    <w:rsid w:val="00DA0D3C"/>
    <w:rsid w:val="00DA185A"/>
    <w:rsid w:val="00DA2B9A"/>
    <w:rsid w:val="00DA3906"/>
    <w:rsid w:val="00DA399C"/>
    <w:rsid w:val="00DA3B63"/>
    <w:rsid w:val="00DA4CBE"/>
    <w:rsid w:val="00DA601B"/>
    <w:rsid w:val="00DA67E2"/>
    <w:rsid w:val="00DA6B04"/>
    <w:rsid w:val="00DA6DF6"/>
    <w:rsid w:val="00DB05ED"/>
    <w:rsid w:val="00DB07EB"/>
    <w:rsid w:val="00DB0EE1"/>
    <w:rsid w:val="00DB0F12"/>
    <w:rsid w:val="00DB1EEF"/>
    <w:rsid w:val="00DB24CC"/>
    <w:rsid w:val="00DB3181"/>
    <w:rsid w:val="00DB36D0"/>
    <w:rsid w:val="00DB3C3B"/>
    <w:rsid w:val="00DB5995"/>
    <w:rsid w:val="00DB5E5C"/>
    <w:rsid w:val="00DB5FFE"/>
    <w:rsid w:val="00DB6613"/>
    <w:rsid w:val="00DB6B0E"/>
    <w:rsid w:val="00DB7764"/>
    <w:rsid w:val="00DC0C07"/>
    <w:rsid w:val="00DC1960"/>
    <w:rsid w:val="00DC250D"/>
    <w:rsid w:val="00DC2560"/>
    <w:rsid w:val="00DC295E"/>
    <w:rsid w:val="00DC297B"/>
    <w:rsid w:val="00DC2DC3"/>
    <w:rsid w:val="00DC3E02"/>
    <w:rsid w:val="00DC5758"/>
    <w:rsid w:val="00DD1702"/>
    <w:rsid w:val="00DD19F7"/>
    <w:rsid w:val="00DD2BC6"/>
    <w:rsid w:val="00DD2F7A"/>
    <w:rsid w:val="00DD45CB"/>
    <w:rsid w:val="00DD4FE9"/>
    <w:rsid w:val="00DD54B3"/>
    <w:rsid w:val="00DD5670"/>
    <w:rsid w:val="00DD57E3"/>
    <w:rsid w:val="00DD5BAB"/>
    <w:rsid w:val="00DE091D"/>
    <w:rsid w:val="00DE25B6"/>
    <w:rsid w:val="00DE28DD"/>
    <w:rsid w:val="00DE3B55"/>
    <w:rsid w:val="00DE4A55"/>
    <w:rsid w:val="00DE59BD"/>
    <w:rsid w:val="00DE6936"/>
    <w:rsid w:val="00DE74DC"/>
    <w:rsid w:val="00DE7B1E"/>
    <w:rsid w:val="00DE7DFA"/>
    <w:rsid w:val="00DF05F9"/>
    <w:rsid w:val="00DF1B58"/>
    <w:rsid w:val="00DF1E74"/>
    <w:rsid w:val="00DF1E97"/>
    <w:rsid w:val="00DF2018"/>
    <w:rsid w:val="00DF2614"/>
    <w:rsid w:val="00DF3493"/>
    <w:rsid w:val="00DF49C6"/>
    <w:rsid w:val="00DF5212"/>
    <w:rsid w:val="00DF5470"/>
    <w:rsid w:val="00DF666F"/>
    <w:rsid w:val="00DF684B"/>
    <w:rsid w:val="00DF6A95"/>
    <w:rsid w:val="00E005E9"/>
    <w:rsid w:val="00E010A7"/>
    <w:rsid w:val="00E01FD2"/>
    <w:rsid w:val="00E0234D"/>
    <w:rsid w:val="00E02548"/>
    <w:rsid w:val="00E02877"/>
    <w:rsid w:val="00E03DAD"/>
    <w:rsid w:val="00E03F28"/>
    <w:rsid w:val="00E0453A"/>
    <w:rsid w:val="00E04646"/>
    <w:rsid w:val="00E060C5"/>
    <w:rsid w:val="00E06312"/>
    <w:rsid w:val="00E06578"/>
    <w:rsid w:val="00E068F2"/>
    <w:rsid w:val="00E06CEC"/>
    <w:rsid w:val="00E06F48"/>
    <w:rsid w:val="00E078EB"/>
    <w:rsid w:val="00E10B3C"/>
    <w:rsid w:val="00E12040"/>
    <w:rsid w:val="00E14334"/>
    <w:rsid w:val="00E15103"/>
    <w:rsid w:val="00E158C2"/>
    <w:rsid w:val="00E178C8"/>
    <w:rsid w:val="00E178FB"/>
    <w:rsid w:val="00E2054F"/>
    <w:rsid w:val="00E21A12"/>
    <w:rsid w:val="00E22620"/>
    <w:rsid w:val="00E22F40"/>
    <w:rsid w:val="00E23157"/>
    <w:rsid w:val="00E23B51"/>
    <w:rsid w:val="00E23E1C"/>
    <w:rsid w:val="00E25AA1"/>
    <w:rsid w:val="00E30FB1"/>
    <w:rsid w:val="00E31AFF"/>
    <w:rsid w:val="00E31EAD"/>
    <w:rsid w:val="00E327AF"/>
    <w:rsid w:val="00E32D34"/>
    <w:rsid w:val="00E33FEC"/>
    <w:rsid w:val="00E3441D"/>
    <w:rsid w:val="00E35D87"/>
    <w:rsid w:val="00E36076"/>
    <w:rsid w:val="00E370C3"/>
    <w:rsid w:val="00E3730F"/>
    <w:rsid w:val="00E3759F"/>
    <w:rsid w:val="00E40293"/>
    <w:rsid w:val="00E40E8F"/>
    <w:rsid w:val="00E4155B"/>
    <w:rsid w:val="00E415DF"/>
    <w:rsid w:val="00E41987"/>
    <w:rsid w:val="00E44B18"/>
    <w:rsid w:val="00E45E1C"/>
    <w:rsid w:val="00E469DC"/>
    <w:rsid w:val="00E46E5D"/>
    <w:rsid w:val="00E46F20"/>
    <w:rsid w:val="00E50430"/>
    <w:rsid w:val="00E50570"/>
    <w:rsid w:val="00E50A49"/>
    <w:rsid w:val="00E50A7C"/>
    <w:rsid w:val="00E50EAE"/>
    <w:rsid w:val="00E51ED4"/>
    <w:rsid w:val="00E54187"/>
    <w:rsid w:val="00E549E6"/>
    <w:rsid w:val="00E55D2E"/>
    <w:rsid w:val="00E56128"/>
    <w:rsid w:val="00E57200"/>
    <w:rsid w:val="00E5792F"/>
    <w:rsid w:val="00E60988"/>
    <w:rsid w:val="00E612CD"/>
    <w:rsid w:val="00E61446"/>
    <w:rsid w:val="00E62287"/>
    <w:rsid w:val="00E627F3"/>
    <w:rsid w:val="00E6303E"/>
    <w:rsid w:val="00E6375C"/>
    <w:rsid w:val="00E63EAF"/>
    <w:rsid w:val="00E63FF0"/>
    <w:rsid w:val="00E65407"/>
    <w:rsid w:val="00E65AEA"/>
    <w:rsid w:val="00E660B4"/>
    <w:rsid w:val="00E672B9"/>
    <w:rsid w:val="00E67752"/>
    <w:rsid w:val="00E70357"/>
    <w:rsid w:val="00E715CB"/>
    <w:rsid w:val="00E71AA9"/>
    <w:rsid w:val="00E73972"/>
    <w:rsid w:val="00E74FC4"/>
    <w:rsid w:val="00E75213"/>
    <w:rsid w:val="00E77F5F"/>
    <w:rsid w:val="00E81012"/>
    <w:rsid w:val="00E815D0"/>
    <w:rsid w:val="00E826C3"/>
    <w:rsid w:val="00E82C3C"/>
    <w:rsid w:val="00E82E45"/>
    <w:rsid w:val="00E85065"/>
    <w:rsid w:val="00E861E7"/>
    <w:rsid w:val="00E91473"/>
    <w:rsid w:val="00E929E9"/>
    <w:rsid w:val="00E93480"/>
    <w:rsid w:val="00E938C3"/>
    <w:rsid w:val="00E93FDB"/>
    <w:rsid w:val="00E94696"/>
    <w:rsid w:val="00E949EF"/>
    <w:rsid w:val="00E94F2F"/>
    <w:rsid w:val="00E9573A"/>
    <w:rsid w:val="00E95979"/>
    <w:rsid w:val="00E95AE0"/>
    <w:rsid w:val="00E97484"/>
    <w:rsid w:val="00E979E7"/>
    <w:rsid w:val="00EA03A9"/>
    <w:rsid w:val="00EA0746"/>
    <w:rsid w:val="00EA0825"/>
    <w:rsid w:val="00EA1A16"/>
    <w:rsid w:val="00EA1BAF"/>
    <w:rsid w:val="00EA1EEC"/>
    <w:rsid w:val="00EA3FAF"/>
    <w:rsid w:val="00EA567E"/>
    <w:rsid w:val="00EA6827"/>
    <w:rsid w:val="00EB18E9"/>
    <w:rsid w:val="00EB1EBD"/>
    <w:rsid w:val="00EB3560"/>
    <w:rsid w:val="00EB3AC8"/>
    <w:rsid w:val="00EB3EFC"/>
    <w:rsid w:val="00EB5911"/>
    <w:rsid w:val="00EB6C6F"/>
    <w:rsid w:val="00EB6DB3"/>
    <w:rsid w:val="00EC03A8"/>
    <w:rsid w:val="00EC07A5"/>
    <w:rsid w:val="00EC1CC1"/>
    <w:rsid w:val="00EC3EBA"/>
    <w:rsid w:val="00EC3FD6"/>
    <w:rsid w:val="00EC5D2F"/>
    <w:rsid w:val="00EC5E82"/>
    <w:rsid w:val="00EC6A04"/>
    <w:rsid w:val="00EC6F8D"/>
    <w:rsid w:val="00ED02D7"/>
    <w:rsid w:val="00ED06DB"/>
    <w:rsid w:val="00ED0758"/>
    <w:rsid w:val="00ED147D"/>
    <w:rsid w:val="00ED14AD"/>
    <w:rsid w:val="00ED1DA4"/>
    <w:rsid w:val="00ED23F7"/>
    <w:rsid w:val="00ED2CD4"/>
    <w:rsid w:val="00ED3B2A"/>
    <w:rsid w:val="00ED3BDD"/>
    <w:rsid w:val="00ED435E"/>
    <w:rsid w:val="00ED4D0E"/>
    <w:rsid w:val="00ED6C2E"/>
    <w:rsid w:val="00EE1FEF"/>
    <w:rsid w:val="00EE22F6"/>
    <w:rsid w:val="00EE2BCC"/>
    <w:rsid w:val="00EE2C6C"/>
    <w:rsid w:val="00EE4244"/>
    <w:rsid w:val="00EE477D"/>
    <w:rsid w:val="00EE4FAD"/>
    <w:rsid w:val="00EE5646"/>
    <w:rsid w:val="00EE603E"/>
    <w:rsid w:val="00EE6BCE"/>
    <w:rsid w:val="00EF04E3"/>
    <w:rsid w:val="00EF29D3"/>
    <w:rsid w:val="00EF3A6A"/>
    <w:rsid w:val="00EF5C8A"/>
    <w:rsid w:val="00EF62BB"/>
    <w:rsid w:val="00EF6674"/>
    <w:rsid w:val="00EF6B7C"/>
    <w:rsid w:val="00EF7D19"/>
    <w:rsid w:val="00F023DC"/>
    <w:rsid w:val="00F046E2"/>
    <w:rsid w:val="00F048F7"/>
    <w:rsid w:val="00F049A8"/>
    <w:rsid w:val="00F04DAA"/>
    <w:rsid w:val="00F05E84"/>
    <w:rsid w:val="00F061A1"/>
    <w:rsid w:val="00F10AA5"/>
    <w:rsid w:val="00F10CC4"/>
    <w:rsid w:val="00F120CE"/>
    <w:rsid w:val="00F12910"/>
    <w:rsid w:val="00F13604"/>
    <w:rsid w:val="00F13998"/>
    <w:rsid w:val="00F13CDF"/>
    <w:rsid w:val="00F13DD2"/>
    <w:rsid w:val="00F140A9"/>
    <w:rsid w:val="00F14212"/>
    <w:rsid w:val="00F14341"/>
    <w:rsid w:val="00F14CF2"/>
    <w:rsid w:val="00F14D8A"/>
    <w:rsid w:val="00F155D3"/>
    <w:rsid w:val="00F15DBC"/>
    <w:rsid w:val="00F16D0C"/>
    <w:rsid w:val="00F17015"/>
    <w:rsid w:val="00F20E08"/>
    <w:rsid w:val="00F20E17"/>
    <w:rsid w:val="00F21440"/>
    <w:rsid w:val="00F21F43"/>
    <w:rsid w:val="00F223FB"/>
    <w:rsid w:val="00F229CB"/>
    <w:rsid w:val="00F23AC6"/>
    <w:rsid w:val="00F23FE9"/>
    <w:rsid w:val="00F24B4A"/>
    <w:rsid w:val="00F269E8"/>
    <w:rsid w:val="00F27338"/>
    <w:rsid w:val="00F275B1"/>
    <w:rsid w:val="00F308BB"/>
    <w:rsid w:val="00F34598"/>
    <w:rsid w:val="00F34FFF"/>
    <w:rsid w:val="00F35627"/>
    <w:rsid w:val="00F3594F"/>
    <w:rsid w:val="00F35D55"/>
    <w:rsid w:val="00F36D46"/>
    <w:rsid w:val="00F372EF"/>
    <w:rsid w:val="00F378FD"/>
    <w:rsid w:val="00F4075D"/>
    <w:rsid w:val="00F40A2C"/>
    <w:rsid w:val="00F44148"/>
    <w:rsid w:val="00F44C51"/>
    <w:rsid w:val="00F45A37"/>
    <w:rsid w:val="00F45B0F"/>
    <w:rsid w:val="00F462E2"/>
    <w:rsid w:val="00F46518"/>
    <w:rsid w:val="00F46A6D"/>
    <w:rsid w:val="00F46DFE"/>
    <w:rsid w:val="00F47552"/>
    <w:rsid w:val="00F52019"/>
    <w:rsid w:val="00F5243B"/>
    <w:rsid w:val="00F549A6"/>
    <w:rsid w:val="00F55D55"/>
    <w:rsid w:val="00F5694C"/>
    <w:rsid w:val="00F56B42"/>
    <w:rsid w:val="00F56BCC"/>
    <w:rsid w:val="00F573C7"/>
    <w:rsid w:val="00F60129"/>
    <w:rsid w:val="00F60785"/>
    <w:rsid w:val="00F618EB"/>
    <w:rsid w:val="00F61BDC"/>
    <w:rsid w:val="00F622F1"/>
    <w:rsid w:val="00F6238E"/>
    <w:rsid w:val="00F62D3F"/>
    <w:rsid w:val="00F6326C"/>
    <w:rsid w:val="00F63392"/>
    <w:rsid w:val="00F63C1E"/>
    <w:rsid w:val="00F63FB6"/>
    <w:rsid w:val="00F642BF"/>
    <w:rsid w:val="00F64498"/>
    <w:rsid w:val="00F65C0A"/>
    <w:rsid w:val="00F662EC"/>
    <w:rsid w:val="00F67F4E"/>
    <w:rsid w:val="00F711F1"/>
    <w:rsid w:val="00F7172C"/>
    <w:rsid w:val="00F71841"/>
    <w:rsid w:val="00F72556"/>
    <w:rsid w:val="00F725ED"/>
    <w:rsid w:val="00F72B90"/>
    <w:rsid w:val="00F76F37"/>
    <w:rsid w:val="00F77637"/>
    <w:rsid w:val="00F77D0A"/>
    <w:rsid w:val="00F77E65"/>
    <w:rsid w:val="00F80B4F"/>
    <w:rsid w:val="00F814FF"/>
    <w:rsid w:val="00F81A4E"/>
    <w:rsid w:val="00F81E64"/>
    <w:rsid w:val="00F82221"/>
    <w:rsid w:val="00F8305A"/>
    <w:rsid w:val="00F84AC0"/>
    <w:rsid w:val="00F84E14"/>
    <w:rsid w:val="00F8535B"/>
    <w:rsid w:val="00F853D4"/>
    <w:rsid w:val="00F85C55"/>
    <w:rsid w:val="00F87143"/>
    <w:rsid w:val="00F876DD"/>
    <w:rsid w:val="00F87733"/>
    <w:rsid w:val="00F90244"/>
    <w:rsid w:val="00F90856"/>
    <w:rsid w:val="00F913DE"/>
    <w:rsid w:val="00F91898"/>
    <w:rsid w:val="00F92542"/>
    <w:rsid w:val="00F96919"/>
    <w:rsid w:val="00F96B26"/>
    <w:rsid w:val="00FA0505"/>
    <w:rsid w:val="00FA0921"/>
    <w:rsid w:val="00FA1219"/>
    <w:rsid w:val="00FA1726"/>
    <w:rsid w:val="00FA1C5C"/>
    <w:rsid w:val="00FA2445"/>
    <w:rsid w:val="00FA265C"/>
    <w:rsid w:val="00FA2D51"/>
    <w:rsid w:val="00FA2DD9"/>
    <w:rsid w:val="00FA457B"/>
    <w:rsid w:val="00FA5176"/>
    <w:rsid w:val="00FA5622"/>
    <w:rsid w:val="00FA6D1F"/>
    <w:rsid w:val="00FA71F9"/>
    <w:rsid w:val="00FA7DCF"/>
    <w:rsid w:val="00FB0262"/>
    <w:rsid w:val="00FB08D9"/>
    <w:rsid w:val="00FB1B08"/>
    <w:rsid w:val="00FB213E"/>
    <w:rsid w:val="00FB318A"/>
    <w:rsid w:val="00FB50EC"/>
    <w:rsid w:val="00FB54D6"/>
    <w:rsid w:val="00FB5E72"/>
    <w:rsid w:val="00FB5EE5"/>
    <w:rsid w:val="00FB63A8"/>
    <w:rsid w:val="00FB64E6"/>
    <w:rsid w:val="00FC00D4"/>
    <w:rsid w:val="00FC2A52"/>
    <w:rsid w:val="00FC2D82"/>
    <w:rsid w:val="00FC3DFE"/>
    <w:rsid w:val="00FC5162"/>
    <w:rsid w:val="00FC62FE"/>
    <w:rsid w:val="00FC784E"/>
    <w:rsid w:val="00FD13E8"/>
    <w:rsid w:val="00FD2016"/>
    <w:rsid w:val="00FD27C3"/>
    <w:rsid w:val="00FD2AE3"/>
    <w:rsid w:val="00FD37EE"/>
    <w:rsid w:val="00FD5082"/>
    <w:rsid w:val="00FD591E"/>
    <w:rsid w:val="00FD612A"/>
    <w:rsid w:val="00FD6599"/>
    <w:rsid w:val="00FD6FFF"/>
    <w:rsid w:val="00FD7023"/>
    <w:rsid w:val="00FD7D79"/>
    <w:rsid w:val="00FE0279"/>
    <w:rsid w:val="00FE0526"/>
    <w:rsid w:val="00FE18BB"/>
    <w:rsid w:val="00FE1900"/>
    <w:rsid w:val="00FE27AC"/>
    <w:rsid w:val="00FE39A0"/>
    <w:rsid w:val="00FE41FF"/>
    <w:rsid w:val="00FE4CA1"/>
    <w:rsid w:val="00FE6787"/>
    <w:rsid w:val="00FF031C"/>
    <w:rsid w:val="00FF0538"/>
    <w:rsid w:val="00FF0730"/>
    <w:rsid w:val="00FF160B"/>
    <w:rsid w:val="00FF1829"/>
    <w:rsid w:val="00FF18A1"/>
    <w:rsid w:val="00FF19C7"/>
    <w:rsid w:val="00FF1B60"/>
    <w:rsid w:val="00FF28A5"/>
    <w:rsid w:val="00FF2FF3"/>
    <w:rsid w:val="00FF48A0"/>
    <w:rsid w:val="00FF5569"/>
    <w:rsid w:val="00FF5DFA"/>
    <w:rsid w:val="00FF61D5"/>
    <w:rsid w:val="00FF7C27"/>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D548"/>
  <w15:docId w15:val="{F54931B0-27F1-4E79-866C-13DB7128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411F"/>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qFormat/>
    <w:rsid w:val="001A411F"/>
    <w:pPr>
      <w:keepNext/>
      <w:outlineLvl w:val="0"/>
    </w:pPr>
    <w:rPr>
      <w:b/>
      <w:caps/>
      <w:sz w:val="28"/>
      <w:lang w:val="x-none" w:eastAsia="cs-CZ"/>
    </w:rPr>
  </w:style>
  <w:style w:type="paragraph" w:styleId="Nadpis2">
    <w:name w:val="heading 2"/>
    <w:basedOn w:val="Normlny"/>
    <w:next w:val="Normlny"/>
    <w:link w:val="Nadpis2Char"/>
    <w:qFormat/>
    <w:rsid w:val="001A411F"/>
    <w:pPr>
      <w:keepNext/>
      <w:numPr>
        <w:ilvl w:val="1"/>
        <w:numId w:val="1"/>
      </w:numPr>
      <w:jc w:val="both"/>
      <w:outlineLvl w:val="1"/>
    </w:pPr>
    <w:rPr>
      <w:b/>
      <w:noProof/>
    </w:rPr>
  </w:style>
  <w:style w:type="paragraph" w:styleId="Nadpis3">
    <w:name w:val="heading 3"/>
    <w:basedOn w:val="Normlny"/>
    <w:next w:val="Normlny"/>
    <w:link w:val="Nadpis3Char"/>
    <w:qFormat/>
    <w:rsid w:val="001A411F"/>
    <w:pPr>
      <w:keepNext/>
      <w:numPr>
        <w:ilvl w:val="2"/>
        <w:numId w:val="1"/>
      </w:numPr>
      <w:tabs>
        <w:tab w:val="left" w:pos="510"/>
      </w:tabs>
      <w:jc w:val="both"/>
      <w:outlineLvl w:val="2"/>
    </w:pPr>
    <w:rPr>
      <w:b/>
    </w:rPr>
  </w:style>
  <w:style w:type="paragraph" w:styleId="Nadpis4">
    <w:name w:val="heading 4"/>
    <w:basedOn w:val="Normlny"/>
    <w:next w:val="Normlny"/>
    <w:link w:val="Nadpis4Char"/>
    <w:qFormat/>
    <w:rsid w:val="001A411F"/>
    <w:pPr>
      <w:keepNext/>
      <w:numPr>
        <w:ilvl w:val="3"/>
        <w:numId w:val="1"/>
      </w:numPr>
      <w:tabs>
        <w:tab w:val="left" w:pos="794"/>
      </w:tabs>
      <w:outlineLvl w:val="3"/>
    </w:pPr>
    <w:rPr>
      <w:b/>
      <w:bCs/>
      <w:lang w:val="x-none" w:eastAsia="x-none"/>
    </w:rPr>
  </w:style>
  <w:style w:type="paragraph" w:styleId="Nadpis5">
    <w:name w:val="heading 5"/>
    <w:basedOn w:val="Normlny"/>
    <w:next w:val="Normlny"/>
    <w:link w:val="Nadpis5Char"/>
    <w:uiPriority w:val="9"/>
    <w:qFormat/>
    <w:rsid w:val="001A411F"/>
    <w:pPr>
      <w:keepNext/>
      <w:jc w:val="center"/>
      <w:outlineLvl w:val="4"/>
    </w:pPr>
    <w:rPr>
      <w:rFonts w:ascii="Calibri" w:hAnsi="Calibri"/>
      <w:b/>
      <w:bCs/>
      <w:i/>
      <w:i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A411F"/>
    <w:rPr>
      <w:rFonts w:ascii="Times New Roman" w:eastAsia="Times New Roman" w:hAnsi="Times New Roman" w:cs="Times New Roman"/>
      <w:b/>
      <w:caps/>
      <w:sz w:val="28"/>
      <w:szCs w:val="20"/>
      <w:lang w:val="x-none" w:eastAsia="cs-CZ"/>
    </w:rPr>
  </w:style>
  <w:style w:type="character" w:customStyle="1" w:styleId="Nadpis2Char">
    <w:name w:val="Nadpis 2 Char"/>
    <w:basedOn w:val="Predvolenpsmoodseku"/>
    <w:link w:val="Nadpis2"/>
    <w:rsid w:val="001A411F"/>
    <w:rPr>
      <w:rFonts w:ascii="Times New Roman" w:eastAsia="Times New Roman" w:hAnsi="Times New Roman" w:cs="Times New Roman"/>
      <w:b/>
      <w:noProof/>
      <w:sz w:val="24"/>
      <w:szCs w:val="20"/>
      <w:lang w:eastAsia="sk-SK"/>
    </w:rPr>
  </w:style>
  <w:style w:type="character" w:customStyle="1" w:styleId="Nadpis3Char">
    <w:name w:val="Nadpis 3 Char"/>
    <w:basedOn w:val="Predvolenpsmoodseku"/>
    <w:link w:val="Nadpis3"/>
    <w:rsid w:val="001A411F"/>
    <w:rPr>
      <w:rFonts w:ascii="Times New Roman" w:eastAsia="Times New Roman" w:hAnsi="Times New Roman" w:cs="Times New Roman"/>
      <w:b/>
      <w:sz w:val="24"/>
      <w:szCs w:val="20"/>
      <w:lang w:eastAsia="sk-SK"/>
    </w:rPr>
  </w:style>
  <w:style w:type="character" w:customStyle="1" w:styleId="Nadpis4Char">
    <w:name w:val="Nadpis 4 Char"/>
    <w:basedOn w:val="Predvolenpsmoodseku"/>
    <w:link w:val="Nadpis4"/>
    <w:rsid w:val="001A411F"/>
    <w:rPr>
      <w:rFonts w:ascii="Times New Roman" w:eastAsia="Times New Roman" w:hAnsi="Times New Roman" w:cs="Times New Roman"/>
      <w:b/>
      <w:bCs/>
      <w:sz w:val="24"/>
      <w:szCs w:val="20"/>
      <w:lang w:val="x-none" w:eastAsia="x-none"/>
    </w:rPr>
  </w:style>
  <w:style w:type="character" w:customStyle="1" w:styleId="Nadpis5Char">
    <w:name w:val="Nadpis 5 Char"/>
    <w:basedOn w:val="Predvolenpsmoodseku"/>
    <w:link w:val="Nadpis5"/>
    <w:uiPriority w:val="9"/>
    <w:rsid w:val="001A411F"/>
    <w:rPr>
      <w:rFonts w:ascii="Calibri" w:eastAsia="Times New Roman" w:hAnsi="Calibri" w:cs="Times New Roman"/>
      <w:b/>
      <w:bCs/>
      <w:i/>
      <w:iCs/>
      <w:sz w:val="26"/>
      <w:szCs w:val="26"/>
      <w:lang w:val="x-none" w:eastAsia="x-none"/>
    </w:rPr>
  </w:style>
  <w:style w:type="paragraph" w:styleId="Odsekzoznamu">
    <w:name w:val="List Paragraph"/>
    <w:basedOn w:val="Normlny"/>
    <w:link w:val="OdsekzoznamuChar"/>
    <w:uiPriority w:val="99"/>
    <w:qFormat/>
    <w:rsid w:val="001A411F"/>
    <w:pPr>
      <w:spacing w:after="160" w:line="259"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1A411F"/>
    <w:rPr>
      <w:rFonts w:ascii="Tahoma" w:hAnsi="Tahoma" w:cs="Tahoma"/>
      <w:sz w:val="16"/>
      <w:szCs w:val="16"/>
    </w:rPr>
  </w:style>
  <w:style w:type="character" w:customStyle="1" w:styleId="TextbublinyChar">
    <w:name w:val="Text bubliny Char"/>
    <w:basedOn w:val="Predvolenpsmoodseku"/>
    <w:link w:val="Textbubliny"/>
    <w:uiPriority w:val="99"/>
    <w:semiHidden/>
    <w:rsid w:val="001A411F"/>
    <w:rPr>
      <w:rFonts w:ascii="Tahoma" w:eastAsia="Times New Roman" w:hAnsi="Tahoma" w:cs="Tahoma"/>
      <w:sz w:val="16"/>
      <w:szCs w:val="16"/>
      <w:lang w:eastAsia="sk-SK"/>
    </w:rPr>
  </w:style>
  <w:style w:type="character" w:styleId="Vrazn">
    <w:name w:val="Strong"/>
    <w:basedOn w:val="Predvolenpsmoodseku"/>
    <w:qFormat/>
    <w:rsid w:val="00F80B4F"/>
    <w:rPr>
      <w:b/>
      <w:bCs/>
    </w:rPr>
  </w:style>
  <w:style w:type="paragraph" w:styleId="Normlnywebov">
    <w:name w:val="Normal (Web)"/>
    <w:basedOn w:val="Normlny"/>
    <w:uiPriority w:val="99"/>
    <w:unhideWhenUsed/>
    <w:rsid w:val="00F80B4F"/>
    <w:pPr>
      <w:spacing w:before="100" w:beforeAutospacing="1" w:after="100" w:afterAutospacing="1"/>
    </w:pPr>
    <w:rPr>
      <w:szCs w:val="24"/>
    </w:rPr>
  </w:style>
  <w:style w:type="character" w:styleId="Odkaznakomentr">
    <w:name w:val="annotation reference"/>
    <w:basedOn w:val="Predvolenpsmoodseku"/>
    <w:uiPriority w:val="99"/>
    <w:semiHidden/>
    <w:unhideWhenUsed/>
    <w:rsid w:val="004F0460"/>
    <w:rPr>
      <w:sz w:val="16"/>
      <w:szCs w:val="16"/>
    </w:rPr>
  </w:style>
  <w:style w:type="paragraph" w:styleId="Textkomentra">
    <w:name w:val="annotation text"/>
    <w:basedOn w:val="Normlny"/>
    <w:link w:val="TextkomentraChar"/>
    <w:uiPriority w:val="99"/>
    <w:unhideWhenUsed/>
    <w:rsid w:val="004F0460"/>
    <w:rPr>
      <w:sz w:val="20"/>
    </w:rPr>
  </w:style>
  <w:style w:type="character" w:customStyle="1" w:styleId="TextkomentraChar">
    <w:name w:val="Text komentára Char"/>
    <w:basedOn w:val="Predvolenpsmoodseku"/>
    <w:link w:val="Textkomentra"/>
    <w:uiPriority w:val="99"/>
    <w:rsid w:val="004F046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F0460"/>
    <w:rPr>
      <w:b/>
      <w:bCs/>
    </w:rPr>
  </w:style>
  <w:style w:type="character" w:customStyle="1" w:styleId="PredmetkomentraChar">
    <w:name w:val="Predmet komentára Char"/>
    <w:basedOn w:val="TextkomentraChar"/>
    <w:link w:val="Predmetkomentra"/>
    <w:uiPriority w:val="99"/>
    <w:semiHidden/>
    <w:rsid w:val="004F0460"/>
    <w:rPr>
      <w:rFonts w:ascii="Times New Roman" w:eastAsia="Times New Roman" w:hAnsi="Times New Roman" w:cs="Times New Roman"/>
      <w:b/>
      <w:bCs/>
      <w:sz w:val="20"/>
      <w:szCs w:val="20"/>
      <w:lang w:eastAsia="sk-SK"/>
    </w:rPr>
  </w:style>
  <w:style w:type="character" w:customStyle="1" w:styleId="OdsekzoznamuChar">
    <w:name w:val="Odsek zoznamu Char"/>
    <w:basedOn w:val="Predvolenpsmoodseku"/>
    <w:link w:val="Odsekzoznamu"/>
    <w:uiPriority w:val="99"/>
    <w:rsid w:val="002319A4"/>
    <w:rPr>
      <w:rFonts w:ascii="Calibri" w:eastAsia="Calibri" w:hAnsi="Calibri" w:cs="Times New Roman"/>
    </w:rPr>
  </w:style>
  <w:style w:type="paragraph" w:styleId="Nzov">
    <w:name w:val="Title"/>
    <w:basedOn w:val="Normlny"/>
    <w:link w:val="NzovChar"/>
    <w:uiPriority w:val="10"/>
    <w:qFormat/>
    <w:rsid w:val="002319A4"/>
    <w:pPr>
      <w:jc w:val="center"/>
    </w:pPr>
    <w:rPr>
      <w:b/>
    </w:rPr>
  </w:style>
  <w:style w:type="character" w:customStyle="1" w:styleId="NzovChar">
    <w:name w:val="Názov Char"/>
    <w:basedOn w:val="Predvolenpsmoodseku"/>
    <w:link w:val="Nzov"/>
    <w:uiPriority w:val="10"/>
    <w:rsid w:val="002319A4"/>
    <w:rPr>
      <w:rFonts w:ascii="Times New Roman" w:eastAsia="Times New Roman" w:hAnsi="Times New Roman" w:cs="Times New Roman"/>
      <w:b/>
      <w:sz w:val="24"/>
      <w:szCs w:val="20"/>
      <w:lang w:eastAsia="sk-SK"/>
    </w:rPr>
  </w:style>
  <w:style w:type="paragraph" w:customStyle="1" w:styleId="hodnotenie">
    <w:name w:val="hodnotenie"/>
    <w:basedOn w:val="Zkladntext"/>
    <w:rsid w:val="002319A4"/>
    <w:pPr>
      <w:spacing w:before="100" w:beforeAutospacing="1" w:after="100" w:afterAutospacing="1"/>
      <w:jc w:val="both"/>
    </w:pPr>
    <w:rPr>
      <w:b/>
      <w:bCs/>
      <w:noProof/>
      <w:szCs w:val="24"/>
    </w:rPr>
  </w:style>
  <w:style w:type="numbering" w:customStyle="1" w:styleId="tl1">
    <w:name w:val="Štýl1"/>
    <w:uiPriority w:val="99"/>
    <w:rsid w:val="002319A4"/>
    <w:pPr>
      <w:numPr>
        <w:numId w:val="3"/>
      </w:numPr>
    </w:pPr>
  </w:style>
  <w:style w:type="paragraph" w:styleId="Zkladntext">
    <w:name w:val="Body Text"/>
    <w:basedOn w:val="Normlny"/>
    <w:link w:val="ZkladntextChar"/>
    <w:uiPriority w:val="99"/>
    <w:unhideWhenUsed/>
    <w:rsid w:val="002319A4"/>
    <w:pPr>
      <w:spacing w:after="120"/>
    </w:pPr>
  </w:style>
  <w:style w:type="character" w:customStyle="1" w:styleId="ZkladntextChar">
    <w:name w:val="Základný text Char"/>
    <w:basedOn w:val="Predvolenpsmoodseku"/>
    <w:link w:val="Zkladntext"/>
    <w:uiPriority w:val="99"/>
    <w:rsid w:val="002319A4"/>
    <w:rPr>
      <w:rFonts w:ascii="Times New Roman" w:eastAsia="Times New Roman" w:hAnsi="Times New Roman" w:cs="Times New Roman"/>
      <w:sz w:val="24"/>
      <w:szCs w:val="20"/>
      <w:lang w:eastAsia="sk-SK"/>
    </w:rPr>
  </w:style>
  <w:style w:type="paragraph" w:styleId="slovanzoznam">
    <w:name w:val="List Number"/>
    <w:basedOn w:val="Normlny"/>
    <w:uiPriority w:val="99"/>
    <w:semiHidden/>
    <w:rsid w:val="00DD5670"/>
    <w:pPr>
      <w:numPr>
        <w:numId w:val="4"/>
      </w:numPr>
      <w:spacing w:before="60"/>
    </w:pPr>
  </w:style>
  <w:style w:type="paragraph" w:customStyle="1" w:styleId="Style">
    <w:name w:val="Style"/>
    <w:rsid w:val="002D750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T1">
    <w:name w:val="T1"/>
    <w:basedOn w:val="Normlny"/>
    <w:rsid w:val="00C33C4A"/>
    <w:pPr>
      <w:spacing w:before="120" w:after="120"/>
      <w:jc w:val="center"/>
    </w:pPr>
    <w:rPr>
      <w:b/>
    </w:rPr>
  </w:style>
  <w:style w:type="character" w:styleId="Hypertextovprepojenie">
    <w:name w:val="Hyperlink"/>
    <w:basedOn w:val="Predvolenpsmoodseku"/>
    <w:uiPriority w:val="99"/>
    <w:rsid w:val="0026008A"/>
    <w:rPr>
      <w:rFonts w:cs="Times New Roman"/>
      <w:color w:val="0000FF"/>
      <w:u w:val="single"/>
    </w:rPr>
  </w:style>
  <w:style w:type="paragraph" w:styleId="Obsah1">
    <w:name w:val="toc 1"/>
    <w:basedOn w:val="Normlny"/>
    <w:next w:val="Normlny"/>
    <w:autoRedefine/>
    <w:uiPriority w:val="39"/>
    <w:rsid w:val="00C06D35"/>
    <w:pPr>
      <w:tabs>
        <w:tab w:val="left" w:pos="567"/>
        <w:tab w:val="right" w:leader="dot" w:pos="9060"/>
      </w:tabs>
      <w:ind w:left="567" w:hanging="567"/>
      <w:jc w:val="both"/>
    </w:pPr>
    <w:rPr>
      <w:b/>
      <w:bCs/>
      <w:caps/>
      <w:noProof/>
      <w:szCs w:val="26"/>
    </w:rPr>
  </w:style>
  <w:style w:type="paragraph" w:styleId="Obsah2">
    <w:name w:val="toc 2"/>
    <w:basedOn w:val="Normlny"/>
    <w:next w:val="Normlny"/>
    <w:autoRedefine/>
    <w:uiPriority w:val="39"/>
    <w:rsid w:val="004D6EDC"/>
    <w:pPr>
      <w:tabs>
        <w:tab w:val="left" w:pos="880"/>
        <w:tab w:val="right" w:leader="dot" w:pos="9062"/>
      </w:tabs>
      <w:ind w:left="851" w:hanging="611"/>
    </w:pPr>
    <w:rPr>
      <w:smallCaps/>
      <w:szCs w:val="24"/>
    </w:rPr>
  </w:style>
  <w:style w:type="paragraph" w:styleId="Obsah3">
    <w:name w:val="toc 3"/>
    <w:basedOn w:val="Normlny"/>
    <w:next w:val="Normlny"/>
    <w:autoRedefine/>
    <w:uiPriority w:val="39"/>
    <w:rsid w:val="0026008A"/>
    <w:pPr>
      <w:ind w:left="480"/>
    </w:pPr>
    <w:rPr>
      <w:i/>
      <w:iCs/>
      <w:szCs w:val="24"/>
    </w:rPr>
  </w:style>
  <w:style w:type="paragraph" w:styleId="Obsah4">
    <w:name w:val="toc 4"/>
    <w:basedOn w:val="Normlny"/>
    <w:next w:val="Normlny"/>
    <w:autoRedefine/>
    <w:uiPriority w:val="39"/>
    <w:rsid w:val="0026008A"/>
    <w:pPr>
      <w:ind w:left="720"/>
    </w:pPr>
    <w:rPr>
      <w:szCs w:val="21"/>
    </w:rPr>
  </w:style>
  <w:style w:type="paragraph" w:styleId="Zarkazkladnhotextu">
    <w:name w:val="Body Text Indent"/>
    <w:basedOn w:val="Normlny"/>
    <w:link w:val="ZarkazkladnhotextuChar"/>
    <w:uiPriority w:val="99"/>
    <w:unhideWhenUsed/>
    <w:rsid w:val="00A00A4B"/>
    <w:pPr>
      <w:spacing w:after="120"/>
      <w:ind w:left="283"/>
    </w:pPr>
  </w:style>
  <w:style w:type="character" w:customStyle="1" w:styleId="ZarkazkladnhotextuChar">
    <w:name w:val="Zarážka základného textu Char"/>
    <w:basedOn w:val="Predvolenpsmoodseku"/>
    <w:link w:val="Zarkazkladnhotextu"/>
    <w:uiPriority w:val="99"/>
    <w:rsid w:val="00A00A4B"/>
    <w:rPr>
      <w:rFonts w:ascii="Times New Roman" w:eastAsia="Times New Roman" w:hAnsi="Times New Roman" w:cs="Times New Roman"/>
      <w:sz w:val="24"/>
      <w:szCs w:val="20"/>
      <w:lang w:eastAsia="sk-SK"/>
    </w:rPr>
  </w:style>
  <w:style w:type="paragraph" w:customStyle="1" w:styleId="Default">
    <w:name w:val="Default"/>
    <w:rsid w:val="00A00A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Predvolenpsmoodseku"/>
    <w:qFormat/>
    <w:rsid w:val="00A00A4B"/>
  </w:style>
  <w:style w:type="character" w:customStyle="1" w:styleId="Nevyrieenzmienka1">
    <w:name w:val="Nevyriešená zmienka1"/>
    <w:basedOn w:val="Predvolenpsmoodseku"/>
    <w:uiPriority w:val="99"/>
    <w:semiHidden/>
    <w:unhideWhenUsed/>
    <w:rsid w:val="008A42E4"/>
    <w:rPr>
      <w:color w:val="605E5C"/>
      <w:shd w:val="clear" w:color="auto" w:fill="E1DFDD"/>
    </w:rPr>
  </w:style>
  <w:style w:type="paragraph" w:styleId="Bezriadkovania">
    <w:name w:val="No Spacing"/>
    <w:uiPriority w:val="1"/>
    <w:qFormat/>
    <w:rsid w:val="00786D9B"/>
    <w:pPr>
      <w:spacing w:after="0" w:line="240" w:lineRule="auto"/>
      <w:jc w:val="both"/>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180C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semiHidden/>
    <w:unhideWhenUsed/>
    <w:rsid w:val="00CB0219"/>
    <w:pPr>
      <w:spacing w:after="120" w:line="480" w:lineRule="auto"/>
    </w:pPr>
  </w:style>
  <w:style w:type="character" w:customStyle="1" w:styleId="Zkladntext2Char">
    <w:name w:val="Základný text 2 Char"/>
    <w:basedOn w:val="Predvolenpsmoodseku"/>
    <w:link w:val="Zkladntext2"/>
    <w:uiPriority w:val="99"/>
    <w:semiHidden/>
    <w:rsid w:val="00CB0219"/>
    <w:rPr>
      <w:rFonts w:ascii="Times New Roman" w:eastAsia="Times New Roman" w:hAnsi="Times New Roman" w:cs="Times New Roman"/>
      <w:sz w:val="24"/>
      <w:szCs w:val="20"/>
      <w:lang w:eastAsia="sk-SK"/>
    </w:rPr>
  </w:style>
  <w:style w:type="paragraph" w:styleId="Zoznamsodrkami2">
    <w:name w:val="List Bullet 2"/>
    <w:basedOn w:val="Normlny"/>
    <w:autoRedefine/>
    <w:uiPriority w:val="99"/>
    <w:semiHidden/>
    <w:rsid w:val="00E5792F"/>
    <w:pPr>
      <w:tabs>
        <w:tab w:val="num" w:pos="426"/>
      </w:tabs>
      <w:ind w:left="426"/>
      <w:jc w:val="both"/>
    </w:pPr>
    <w:rPr>
      <w:szCs w:val="24"/>
    </w:rPr>
  </w:style>
  <w:style w:type="paragraph" w:styleId="Zoznamsodrkami">
    <w:name w:val="List Bullet"/>
    <w:basedOn w:val="Normlny"/>
    <w:autoRedefine/>
    <w:uiPriority w:val="99"/>
    <w:semiHidden/>
    <w:rsid w:val="00E5792F"/>
    <w:pPr>
      <w:suppressLineNumbers/>
      <w:jc w:val="center"/>
    </w:pPr>
    <w:rPr>
      <w:sz w:val="22"/>
      <w:szCs w:val="22"/>
    </w:rPr>
  </w:style>
  <w:style w:type="paragraph" w:styleId="Hlavika">
    <w:name w:val="header"/>
    <w:basedOn w:val="Normlny"/>
    <w:link w:val="HlavikaChar"/>
    <w:uiPriority w:val="99"/>
    <w:unhideWhenUsed/>
    <w:rsid w:val="008F4C3F"/>
    <w:pPr>
      <w:tabs>
        <w:tab w:val="center" w:pos="4536"/>
        <w:tab w:val="right" w:pos="9072"/>
      </w:tabs>
    </w:pPr>
  </w:style>
  <w:style w:type="character" w:customStyle="1" w:styleId="HlavikaChar">
    <w:name w:val="Hlavička Char"/>
    <w:basedOn w:val="Predvolenpsmoodseku"/>
    <w:link w:val="Hlavika"/>
    <w:uiPriority w:val="99"/>
    <w:rsid w:val="008F4C3F"/>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8F4C3F"/>
    <w:pPr>
      <w:tabs>
        <w:tab w:val="center" w:pos="4536"/>
        <w:tab w:val="right" w:pos="9072"/>
      </w:tabs>
    </w:pPr>
  </w:style>
  <w:style w:type="character" w:customStyle="1" w:styleId="PtaChar">
    <w:name w:val="Päta Char"/>
    <w:basedOn w:val="Predvolenpsmoodseku"/>
    <w:link w:val="Pta"/>
    <w:uiPriority w:val="99"/>
    <w:rsid w:val="008F4C3F"/>
    <w:rPr>
      <w:rFonts w:ascii="Times New Roman" w:eastAsia="Times New Roman" w:hAnsi="Times New Roman" w:cs="Times New Roman"/>
      <w:sz w:val="24"/>
      <w:szCs w:val="20"/>
      <w:lang w:eastAsia="sk-SK"/>
    </w:rPr>
  </w:style>
  <w:style w:type="character" w:styleId="Zvraznenie">
    <w:name w:val="Emphasis"/>
    <w:basedOn w:val="Predvolenpsmoodseku"/>
    <w:uiPriority w:val="20"/>
    <w:qFormat/>
    <w:rsid w:val="00FD2AE3"/>
    <w:rPr>
      <w:i/>
      <w:iCs/>
    </w:rPr>
  </w:style>
  <w:style w:type="paragraph" w:customStyle="1" w:styleId="Pa2">
    <w:name w:val="Pa2"/>
    <w:basedOn w:val="Default"/>
    <w:next w:val="Default"/>
    <w:uiPriority w:val="99"/>
    <w:rsid w:val="00F64498"/>
    <w:pPr>
      <w:spacing w:line="241" w:lineRule="atLeast"/>
    </w:pPr>
    <w:rPr>
      <w:rFonts w:ascii="Proxima Nova Rg" w:hAnsi="Proxima Nova Rg" w:cstheme="minorBidi"/>
      <w:color w:val="auto"/>
    </w:rPr>
  </w:style>
  <w:style w:type="character" w:customStyle="1" w:styleId="A9">
    <w:name w:val="A9"/>
    <w:uiPriority w:val="99"/>
    <w:qFormat/>
    <w:rsid w:val="00F64498"/>
    <w:rPr>
      <w:rFonts w:cs="Proxima Nova Rg"/>
      <w:color w:val="000000"/>
      <w:sz w:val="17"/>
      <w:szCs w:val="17"/>
    </w:rPr>
  </w:style>
  <w:style w:type="character" w:customStyle="1" w:styleId="A2">
    <w:name w:val="A2"/>
    <w:uiPriority w:val="99"/>
    <w:rsid w:val="00BC1E00"/>
    <w:rPr>
      <w:rFonts w:cs="Proxima Nova Lt"/>
      <w:color w:val="000000"/>
      <w:sz w:val="16"/>
      <w:szCs w:val="16"/>
    </w:rPr>
  </w:style>
  <w:style w:type="paragraph" w:customStyle="1" w:styleId="Pa3">
    <w:name w:val="Pa3"/>
    <w:basedOn w:val="Normlny"/>
    <w:next w:val="Normlny"/>
    <w:uiPriority w:val="99"/>
    <w:rsid w:val="00BC1E00"/>
    <w:pPr>
      <w:autoSpaceDE w:val="0"/>
      <w:autoSpaceDN w:val="0"/>
      <w:adjustRightInd w:val="0"/>
      <w:spacing w:line="241" w:lineRule="atLeast"/>
    </w:pPr>
    <w:rPr>
      <w:rFonts w:ascii="Proxima Nova Lt" w:eastAsiaTheme="minorHAnsi" w:hAnsi="Proxima Nova Lt" w:cstheme="minorBidi"/>
      <w:szCs w:val="24"/>
      <w:lang w:eastAsia="en-US"/>
    </w:rPr>
  </w:style>
  <w:style w:type="character" w:customStyle="1" w:styleId="Nevyrieenzmienka2">
    <w:name w:val="Nevyriešená zmienka2"/>
    <w:basedOn w:val="Predvolenpsmoodseku"/>
    <w:uiPriority w:val="99"/>
    <w:semiHidden/>
    <w:unhideWhenUsed/>
    <w:rsid w:val="00E01FD2"/>
    <w:rPr>
      <w:color w:val="605E5C"/>
      <w:shd w:val="clear" w:color="auto" w:fill="E1DFDD"/>
    </w:rPr>
  </w:style>
  <w:style w:type="paragraph" w:customStyle="1" w:styleId="Adresaprjemcu">
    <w:name w:val="Adresa príjemcu"/>
    <w:basedOn w:val="Bezriadkovania"/>
    <w:uiPriority w:val="3"/>
    <w:qFormat/>
    <w:rsid w:val="009E1A63"/>
    <w:pPr>
      <w:spacing w:after="480"/>
      <w:contextualSpacing/>
      <w:jc w:val="left"/>
    </w:pPr>
    <w:rPr>
      <w:rFonts w:ascii="Cambria" w:hAnsi="Cambria"/>
      <w:color w:val="17365D"/>
      <w:sz w:val="20"/>
      <w:szCs w:val="20"/>
      <w:lang w:eastAsia="en-US"/>
    </w:rPr>
  </w:style>
  <w:style w:type="paragraph" w:customStyle="1" w:styleId="Pa0">
    <w:name w:val="Pa0"/>
    <w:basedOn w:val="Normlny"/>
    <w:next w:val="Normlny"/>
    <w:uiPriority w:val="99"/>
    <w:rsid w:val="00D8195D"/>
    <w:pPr>
      <w:autoSpaceDE w:val="0"/>
      <w:autoSpaceDN w:val="0"/>
      <w:adjustRightInd w:val="0"/>
      <w:spacing w:line="241" w:lineRule="atLeast"/>
    </w:pPr>
    <w:rPr>
      <w:rFonts w:ascii="Proxima Nova Lt" w:eastAsiaTheme="minorHAnsi" w:hAnsi="Proxima Nova Lt" w:cstheme="minorBidi"/>
      <w:szCs w:val="24"/>
      <w:lang w:eastAsia="en-US"/>
    </w:rPr>
  </w:style>
  <w:style w:type="table" w:customStyle="1" w:styleId="Mriekatabuky1">
    <w:name w:val="Mriežka tabuľky1"/>
    <w:basedOn w:val="Normlnatabuka"/>
    <w:next w:val="Mriekatabuky"/>
    <w:uiPriority w:val="59"/>
    <w:rsid w:val="00150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6F6F8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B7353"/>
    <w:pPr>
      <w:spacing w:after="0" w:line="240" w:lineRule="auto"/>
    </w:pPr>
    <w:rPr>
      <w:rFonts w:ascii="Times New Roman" w:eastAsia="Times New Roman" w:hAnsi="Times New Roman" w:cs="Times New Roman"/>
      <w:sz w:val="24"/>
      <w:szCs w:val="20"/>
      <w:lang w:eastAsia="sk-SK"/>
    </w:rPr>
  </w:style>
  <w:style w:type="character" w:customStyle="1" w:styleId="Nevyrieenzmienka3">
    <w:name w:val="Nevyriešená zmienka3"/>
    <w:basedOn w:val="Predvolenpsmoodseku"/>
    <w:uiPriority w:val="99"/>
    <w:semiHidden/>
    <w:unhideWhenUsed/>
    <w:rsid w:val="00033008"/>
    <w:rPr>
      <w:color w:val="605E5C"/>
      <w:shd w:val="clear" w:color="auto" w:fill="E1DFDD"/>
    </w:rPr>
  </w:style>
  <w:style w:type="paragraph" w:styleId="Textpoznmkypodiarou">
    <w:name w:val="footnote text"/>
    <w:basedOn w:val="Normlny"/>
    <w:link w:val="TextpoznmkypodiarouChar"/>
    <w:uiPriority w:val="99"/>
    <w:semiHidden/>
    <w:unhideWhenUsed/>
    <w:rsid w:val="00607CDC"/>
    <w:rPr>
      <w:sz w:val="20"/>
    </w:rPr>
  </w:style>
  <w:style w:type="character" w:customStyle="1" w:styleId="TextpoznmkypodiarouChar">
    <w:name w:val="Text poznámky pod čiarou Char"/>
    <w:basedOn w:val="Predvolenpsmoodseku"/>
    <w:link w:val="Textpoznmkypodiarou"/>
    <w:uiPriority w:val="99"/>
    <w:semiHidden/>
    <w:rsid w:val="00607CD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607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539">
      <w:bodyDiv w:val="1"/>
      <w:marLeft w:val="0"/>
      <w:marRight w:val="0"/>
      <w:marTop w:val="0"/>
      <w:marBottom w:val="0"/>
      <w:divBdr>
        <w:top w:val="none" w:sz="0" w:space="0" w:color="auto"/>
        <w:left w:val="none" w:sz="0" w:space="0" w:color="auto"/>
        <w:bottom w:val="none" w:sz="0" w:space="0" w:color="auto"/>
        <w:right w:val="none" w:sz="0" w:space="0" w:color="auto"/>
      </w:divBdr>
      <w:divsChild>
        <w:div w:id="810708263">
          <w:marLeft w:val="0"/>
          <w:marRight w:val="0"/>
          <w:marTop w:val="0"/>
          <w:marBottom w:val="0"/>
          <w:divBdr>
            <w:top w:val="none" w:sz="0" w:space="0" w:color="auto"/>
            <w:left w:val="none" w:sz="0" w:space="0" w:color="auto"/>
            <w:bottom w:val="none" w:sz="0" w:space="0" w:color="auto"/>
            <w:right w:val="none" w:sz="0" w:space="0" w:color="auto"/>
          </w:divBdr>
          <w:divsChild>
            <w:div w:id="1432631321">
              <w:marLeft w:val="0"/>
              <w:marRight w:val="0"/>
              <w:marTop w:val="0"/>
              <w:marBottom w:val="0"/>
              <w:divBdr>
                <w:top w:val="none" w:sz="0" w:space="0" w:color="auto"/>
                <w:left w:val="single" w:sz="12" w:space="4" w:color="000000"/>
                <w:bottom w:val="none" w:sz="0" w:space="0" w:color="auto"/>
                <w:right w:val="none" w:sz="0" w:space="0" w:color="auto"/>
              </w:divBdr>
              <w:divsChild>
                <w:div w:id="12305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8466">
      <w:bodyDiv w:val="1"/>
      <w:marLeft w:val="0"/>
      <w:marRight w:val="0"/>
      <w:marTop w:val="0"/>
      <w:marBottom w:val="0"/>
      <w:divBdr>
        <w:top w:val="none" w:sz="0" w:space="0" w:color="auto"/>
        <w:left w:val="none" w:sz="0" w:space="0" w:color="auto"/>
        <w:bottom w:val="none" w:sz="0" w:space="0" w:color="auto"/>
        <w:right w:val="none" w:sz="0" w:space="0" w:color="auto"/>
      </w:divBdr>
    </w:div>
    <w:div w:id="1180195763">
      <w:bodyDiv w:val="1"/>
      <w:marLeft w:val="0"/>
      <w:marRight w:val="0"/>
      <w:marTop w:val="0"/>
      <w:marBottom w:val="0"/>
      <w:divBdr>
        <w:top w:val="none" w:sz="0" w:space="0" w:color="auto"/>
        <w:left w:val="none" w:sz="0" w:space="0" w:color="auto"/>
        <w:bottom w:val="none" w:sz="0" w:space="0" w:color="auto"/>
        <w:right w:val="none" w:sz="0" w:space="0" w:color="auto"/>
      </w:divBdr>
    </w:div>
    <w:div w:id="1751385280">
      <w:bodyDiv w:val="1"/>
      <w:marLeft w:val="0"/>
      <w:marRight w:val="0"/>
      <w:marTop w:val="0"/>
      <w:marBottom w:val="0"/>
      <w:divBdr>
        <w:top w:val="none" w:sz="0" w:space="0" w:color="auto"/>
        <w:left w:val="none" w:sz="0" w:space="0" w:color="auto"/>
        <w:bottom w:val="none" w:sz="0" w:space="0" w:color="auto"/>
        <w:right w:val="none" w:sz="0" w:space="0" w:color="auto"/>
      </w:divBdr>
    </w:div>
    <w:div w:id="1946814304">
      <w:bodyDiv w:val="1"/>
      <w:marLeft w:val="0"/>
      <w:marRight w:val="0"/>
      <w:marTop w:val="0"/>
      <w:marBottom w:val="0"/>
      <w:divBdr>
        <w:top w:val="none" w:sz="0" w:space="0" w:color="auto"/>
        <w:left w:val="none" w:sz="0" w:space="0" w:color="auto"/>
        <w:bottom w:val="none" w:sz="0" w:space="0" w:color="auto"/>
        <w:right w:val="none" w:sz="0" w:space="0" w:color="auto"/>
      </w:divBdr>
    </w:div>
    <w:div w:id="19967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d.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ujd.gov.sk" TargetMode="External"/><Relationship Id="rId4" Type="http://schemas.openxmlformats.org/officeDocument/2006/relationships/settings" Target="settings.xml"/><Relationship Id="rId9" Type="http://schemas.openxmlformats.org/officeDocument/2006/relationships/hyperlink" Target="https://www.ujd.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C4A50-0900-4BB1-95E1-A1EBC8F9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44</Pages>
  <Words>21975</Words>
  <Characters>125262</Characters>
  <Application>Microsoft Office Word</Application>
  <DocSecurity>0</DocSecurity>
  <Lines>1043</Lines>
  <Paragraphs>293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ÚJD SR Trnava</Company>
  <LinksUpToDate>false</LinksUpToDate>
  <CharactersWithSpaces>146944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Kotora</dc:creator>
  <cp:keywords/>
  <dc:description/>
  <cp:lastModifiedBy>Klaudia Lencsesova</cp:lastModifiedBy>
  <cp:revision>22</cp:revision>
  <cp:lastPrinted>2025-05-12T07:55:00Z</cp:lastPrinted>
  <dcterms:created xsi:type="dcterms:W3CDTF">2025-03-02T18:43:00Z</dcterms:created>
  <dcterms:modified xsi:type="dcterms:W3CDTF">2025-05-12T07:55:00Z</dcterms:modified>
</cp:coreProperties>
</file>