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BE968" w14:textId="77777777" w:rsidR="00FB1EFE" w:rsidRDefault="009B07DA">
      <w:pPr>
        <w:jc w:val="center"/>
        <w:rPr>
          <w:rFonts w:ascii="Book Antiqua" w:hAnsi="Book Antiqua" w:cs="Times New Roman"/>
          <w:b/>
          <w:bCs/>
        </w:rPr>
      </w:pPr>
      <w:r>
        <w:rPr>
          <w:rFonts w:ascii="Book Antiqua" w:hAnsi="Book Antiqua" w:cs="Times New Roman"/>
          <w:b/>
          <w:bCs/>
        </w:rPr>
        <w:t>Dôvodová správa</w:t>
      </w:r>
    </w:p>
    <w:p w14:paraId="6FE602B6" w14:textId="77777777" w:rsidR="00FB1EFE" w:rsidRDefault="00FB1EFE">
      <w:pPr>
        <w:rPr>
          <w:rFonts w:ascii="Book Antiqua" w:hAnsi="Book Antiqua" w:cs="Times New Roman"/>
          <w:b/>
          <w:bCs/>
          <w:highlight w:val="yellow"/>
        </w:rPr>
      </w:pPr>
    </w:p>
    <w:p w14:paraId="6602E857" w14:textId="77777777" w:rsidR="00FB1EFE" w:rsidRDefault="009B07DA">
      <w:pPr>
        <w:jc w:val="both"/>
        <w:rPr>
          <w:rFonts w:ascii="Book Antiqua" w:hAnsi="Book Antiqua" w:cs="Times New Roman"/>
          <w:b/>
          <w:bCs/>
          <w:u w:val="single"/>
        </w:rPr>
      </w:pPr>
      <w:r>
        <w:rPr>
          <w:rFonts w:ascii="Book Antiqua" w:hAnsi="Book Antiqua" w:cs="Times New Roman"/>
          <w:b/>
          <w:bCs/>
          <w:u w:val="single"/>
        </w:rPr>
        <w:t>A. Všeobecná časť</w:t>
      </w:r>
    </w:p>
    <w:p w14:paraId="089535BC" w14:textId="77777777" w:rsidR="00FB1EFE" w:rsidRDefault="009B07DA">
      <w:pPr>
        <w:jc w:val="both"/>
        <w:rPr>
          <w:rFonts w:ascii="Book Antiqua" w:hAnsi="Book Antiqua" w:cs="Open Sans"/>
          <w:b/>
          <w:bCs/>
          <w:shd w:val="clear" w:color="auto" w:fill="FFFFFF"/>
        </w:rPr>
      </w:pPr>
      <w:r>
        <w:rPr>
          <w:rFonts w:ascii="Book Antiqua" w:hAnsi="Book Antiqua"/>
        </w:rPr>
        <w:tab/>
        <w:t xml:space="preserve">Návrh zákona, </w:t>
      </w:r>
      <w:r>
        <w:rPr>
          <w:rFonts w:ascii="Book Antiqua" w:hAnsi="Book Antiqua" w:cs="Times New Roman"/>
          <w:shd w:val="clear" w:color="auto" w:fill="FFFFFF"/>
        </w:rPr>
        <w:t xml:space="preserve">ktorým sa </w:t>
      </w:r>
      <w:r>
        <w:rPr>
          <w:rFonts w:ascii="Book Antiqua" w:hAnsi="Book Antiqua" w:cs="Arial"/>
        </w:rPr>
        <w:t xml:space="preserve">mení </w:t>
      </w:r>
      <w:r>
        <w:rPr>
          <w:rFonts w:ascii="Book Antiqua" w:hAnsi="Book Antiqua"/>
        </w:rPr>
        <w:t xml:space="preserve">zákon </w:t>
      </w:r>
      <w:r>
        <w:rPr>
          <w:rFonts w:ascii="Book Antiqua" w:hAnsi="Book Antiqua" w:cs="Open Sans"/>
          <w:shd w:val="clear" w:color="auto" w:fill="FFFFFF"/>
        </w:rPr>
        <w:t>č. 301/2005 Z. z.  Trestný poriadok v znení</w:t>
      </w:r>
      <w:r>
        <w:rPr>
          <w:rFonts w:ascii="Book Antiqua" w:hAnsi="Book Antiqua"/>
        </w:rPr>
        <w:t xml:space="preserve"> neskorších predpisov</w:t>
      </w:r>
      <w:r>
        <w:rPr>
          <w:rFonts w:ascii="Book Antiqua" w:hAnsi="Book Antiqua" w:cs="Open Sans"/>
          <w:b/>
          <w:shd w:val="clear" w:color="auto" w:fill="FFFFFF"/>
        </w:rPr>
        <w:t xml:space="preserve"> </w:t>
      </w:r>
      <w:r>
        <w:rPr>
          <w:rFonts w:ascii="Book Antiqua" w:hAnsi="Book Antiqua"/>
        </w:rPr>
        <w:t>(ďalej len „návrh zákona“) predkladá skupina poslancov Národnej rady Slovenskej republiky.</w:t>
      </w:r>
    </w:p>
    <w:p w14:paraId="55413047" w14:textId="786618D2" w:rsidR="00F44545" w:rsidRDefault="009B07DA">
      <w:pPr>
        <w:jc w:val="both"/>
        <w:rPr>
          <w:rFonts w:ascii="Book Antiqua" w:hAnsi="Book Antiqua"/>
        </w:rPr>
      </w:pPr>
      <w:r>
        <w:rPr>
          <w:rFonts w:ascii="Book Antiqua" w:hAnsi="Book Antiqua"/>
        </w:rPr>
        <w:tab/>
        <w:t xml:space="preserve">Rozsiahlymi novelami trestných kódexov z prvého štvrťroka 2024, ktorých cieľom bolo výrazné zníženie trestov za korupciu či urýchlenie premlčania viacerých závažných trestných činov sa schválilo aj viacero opatrení, v dôsledku ktorých sa trestné konanie spomalilo, sťažilo a do budúcna vyšetrovanie </w:t>
      </w:r>
      <w:r w:rsidR="00E81009">
        <w:rPr>
          <w:rFonts w:ascii="Book Antiqua" w:hAnsi="Book Antiqua"/>
        </w:rPr>
        <w:t xml:space="preserve">kriminality </w:t>
      </w:r>
      <w:r>
        <w:rPr>
          <w:rFonts w:ascii="Book Antiqua" w:hAnsi="Book Antiqua"/>
        </w:rPr>
        <w:t xml:space="preserve">ešte viac skomplikuje. </w:t>
      </w:r>
    </w:p>
    <w:p w14:paraId="3139C339" w14:textId="0E0ADE5F" w:rsidR="0083413A" w:rsidRPr="007A1343" w:rsidRDefault="00F44545" w:rsidP="00F44545">
      <w:pPr>
        <w:ind w:firstLine="708"/>
        <w:jc w:val="both"/>
        <w:rPr>
          <w:rFonts w:ascii="Book Antiqua" w:hAnsi="Book Antiqua"/>
          <w:b/>
        </w:rPr>
      </w:pPr>
      <w:r w:rsidRPr="007A1343">
        <w:rPr>
          <w:rFonts w:ascii="Book Antiqua" w:hAnsi="Book Antiqua"/>
          <w:b/>
        </w:rPr>
        <w:t xml:space="preserve">Predloženým návrhom zákona sa navrhuje odstrániť dve najškodlivejšie opatrenia, ktoré trestné konanie najviac predlžujú a prinášajú zo sebou aj najviac zbytočnej administratívnej záťaže. Navyše ide o opatrenia, ktoré jednak prelomili judikatúru Najvyššieho súdu Slovenskej republiky aj judikatúru Ústavného súdu </w:t>
      </w:r>
      <w:r w:rsidRPr="007A1343">
        <w:rPr>
          <w:rFonts w:ascii="Book Antiqua" w:hAnsi="Book Antiqua"/>
          <w:b/>
          <w:shd w:val="clear" w:color="auto" w:fill="FFFFFF"/>
        </w:rPr>
        <w:t>Slovenskej republiky a jednak do značnej miery popierajú aj nezávislosť prokuratúry.</w:t>
      </w:r>
      <w:r w:rsidRPr="007A1343">
        <w:rPr>
          <w:rFonts w:ascii="Book Antiqua" w:hAnsi="Book Antiqua"/>
          <w:b/>
        </w:rPr>
        <w:t xml:space="preserve"> Konkrétne ide o</w:t>
      </w:r>
      <w:r w:rsidR="0083413A" w:rsidRPr="007A1343">
        <w:rPr>
          <w:rFonts w:ascii="Book Antiqua" w:hAnsi="Book Antiqua"/>
          <w:b/>
        </w:rPr>
        <w:t>:</w:t>
      </w:r>
    </w:p>
    <w:p w14:paraId="6264F751" w14:textId="6E9B4A4B" w:rsidR="00612BF2" w:rsidRPr="007A1343" w:rsidRDefault="00612BF2">
      <w:pPr>
        <w:jc w:val="both"/>
        <w:rPr>
          <w:rFonts w:ascii="Book Antiqua" w:hAnsi="Book Antiqua"/>
          <w:b/>
        </w:rPr>
      </w:pPr>
      <w:r w:rsidRPr="007A1343">
        <w:rPr>
          <w:rFonts w:ascii="Book Antiqua" w:hAnsi="Book Antiqua"/>
          <w:b/>
        </w:rPr>
        <w:t xml:space="preserve">1. </w:t>
      </w:r>
      <w:r w:rsidR="0083413A" w:rsidRPr="007A1343">
        <w:rPr>
          <w:rFonts w:ascii="Book Antiqua" w:hAnsi="Book Antiqua"/>
          <w:b/>
        </w:rPr>
        <w:t>povinnosť prokurátora čakať s podaním obžaloby až do momentu rozhodnutia o mimoriadnom opravnom prostriedku</w:t>
      </w:r>
      <w:r w:rsidRPr="007A1343">
        <w:rPr>
          <w:rFonts w:ascii="Book Antiqua" w:hAnsi="Book Antiqua"/>
          <w:b/>
        </w:rPr>
        <w:t xml:space="preserve"> podľa § 363 Trestného poriadku (Zrušenie právoplatných rozhodnutí v prípravnom konaní),</w:t>
      </w:r>
      <w:r w:rsidR="0083413A" w:rsidRPr="007A1343">
        <w:rPr>
          <w:rFonts w:ascii="Book Antiqua" w:hAnsi="Book Antiqua"/>
          <w:b/>
        </w:rPr>
        <w:t xml:space="preserve"> </w:t>
      </w:r>
      <w:r w:rsidRPr="007A1343">
        <w:rPr>
          <w:rFonts w:ascii="Book Antiqua" w:hAnsi="Book Antiqua"/>
          <w:b/>
        </w:rPr>
        <w:t>alebo</w:t>
      </w:r>
      <w:r w:rsidR="009B07DA" w:rsidRPr="007A1343">
        <w:rPr>
          <w:rFonts w:ascii="Book Antiqua" w:hAnsi="Book Antiqua"/>
          <w:b/>
        </w:rPr>
        <w:t xml:space="preserve"> </w:t>
      </w:r>
    </w:p>
    <w:p w14:paraId="1E39DD5F" w14:textId="3F11ED18" w:rsidR="00FB1EFE" w:rsidRDefault="00612BF2">
      <w:pPr>
        <w:jc w:val="both"/>
        <w:rPr>
          <w:rFonts w:ascii="Book Antiqua" w:hAnsi="Book Antiqua"/>
        </w:rPr>
      </w:pPr>
      <w:r w:rsidRPr="007A1343">
        <w:rPr>
          <w:rFonts w:ascii="Book Antiqua" w:hAnsi="Book Antiqua"/>
          <w:b/>
        </w:rPr>
        <w:t>2.  poskytnutie obvinenému ďalších bezdôvod</w:t>
      </w:r>
      <w:r w:rsidR="009B07DA" w:rsidRPr="007A1343">
        <w:rPr>
          <w:rFonts w:ascii="Book Antiqua" w:hAnsi="Book Antiqua"/>
          <w:b/>
        </w:rPr>
        <w:t xml:space="preserve">ných možností na </w:t>
      </w:r>
      <w:r w:rsidRPr="007A1343">
        <w:rPr>
          <w:rFonts w:ascii="Book Antiqua" w:hAnsi="Book Antiqua"/>
          <w:b/>
        </w:rPr>
        <w:t>podanie sťažnosti</w:t>
      </w:r>
      <w:r w:rsidR="009B07DA" w:rsidRPr="007A1343">
        <w:rPr>
          <w:rFonts w:ascii="Book Antiqua" w:hAnsi="Book Antiqua"/>
          <w:b/>
        </w:rPr>
        <w:t xml:space="preserve"> </w:t>
      </w:r>
      <w:r w:rsidRPr="007A1343">
        <w:rPr>
          <w:rFonts w:ascii="Book Antiqua" w:hAnsi="Book Antiqua"/>
          <w:b/>
        </w:rPr>
        <w:t xml:space="preserve">na preskúmanie postupov v prípravnom konaní, ktoré má vykonať samosudca </w:t>
      </w:r>
      <w:r w:rsidR="009B07DA" w:rsidRPr="007A1343">
        <w:rPr>
          <w:rFonts w:ascii="Book Antiqua" w:hAnsi="Book Antiqua"/>
          <w:b/>
        </w:rPr>
        <w:t>v štádiu preskúmania obžaloby.</w:t>
      </w:r>
    </w:p>
    <w:p w14:paraId="54FFC2D5" w14:textId="6A4770F2" w:rsidR="007A1343" w:rsidRDefault="009B07DA" w:rsidP="00A374E1">
      <w:pPr>
        <w:jc w:val="both"/>
        <w:rPr>
          <w:rFonts w:ascii="Book Antiqua" w:hAnsi="Book Antiqua"/>
        </w:rPr>
      </w:pPr>
      <w:r>
        <w:rPr>
          <w:rFonts w:ascii="Book Antiqua" w:hAnsi="Book Antiqua"/>
        </w:rPr>
        <w:tab/>
      </w:r>
      <w:r w:rsidR="00E81009" w:rsidRPr="00A374E1">
        <w:rPr>
          <w:rFonts w:ascii="Book Antiqua" w:hAnsi="Book Antiqua"/>
        </w:rPr>
        <w:t xml:space="preserve">Obe vyššie uvedené skutočnosti sú mimoriadne škodlivé. Výsledkom je až nekritické posilnenie práv obvineného. Sú to opatrenia, ktoré výrazne podkopávajú autoritu vyšetrovateľov a prokurátorov a spôsobujú nárast zbytočnej administratívy pre sudcov. Najhorším dôsledkom však je podkopanie dôvery občanov v právny štát.   </w:t>
      </w:r>
      <w:r w:rsidRPr="00A374E1">
        <w:rPr>
          <w:rFonts w:ascii="Book Antiqua" w:hAnsi="Book Antiqua"/>
        </w:rPr>
        <w:t xml:space="preserve"> </w:t>
      </w:r>
    </w:p>
    <w:p w14:paraId="22F15CAA" w14:textId="68148456" w:rsidR="00A374E1" w:rsidRPr="00E3248B" w:rsidRDefault="00A374E1" w:rsidP="00A374E1">
      <w:pPr>
        <w:ind w:firstLine="708"/>
        <w:jc w:val="both"/>
        <w:rPr>
          <w:rFonts w:ascii="Book Antiqua" w:hAnsi="Book Antiqua"/>
        </w:rPr>
      </w:pPr>
      <w:r w:rsidRPr="00E3248B">
        <w:rPr>
          <w:rFonts w:ascii="Book Antiqua" w:hAnsi="Book Antiqua"/>
        </w:rPr>
        <w:t>Návrhom zákona sa legislatíva opätovne zosúladí s judikatúrou Najvyššieho súdu SR ako aj judikatúrou Ústavného súdu SR. Obe súdne autority sa pritom už v roku 2021 resp. v roku 2022 úplne jasne vyjadrili, že podanie obžaloby až po právoplatnom rozhodnutí o mimoriadnom opravnom prostriedku uplatnenom v prípravnom konaní nedáva žiaden zmysel, pretože</w:t>
      </w:r>
      <w:r w:rsidRPr="00E3248B">
        <w:t xml:space="preserve"> </w:t>
      </w:r>
      <w:r w:rsidRPr="00E3248B">
        <w:rPr>
          <w:rFonts w:ascii="Book Antiqua" w:hAnsi="Book Antiqua"/>
        </w:rPr>
        <w:t xml:space="preserve">nerozhodnutím o návrhu podľa § 363 a </w:t>
      </w:r>
      <w:proofErr w:type="spellStart"/>
      <w:r w:rsidRPr="00E3248B">
        <w:rPr>
          <w:rFonts w:ascii="Book Antiqua" w:hAnsi="Book Antiqua"/>
        </w:rPr>
        <w:t>nasl</w:t>
      </w:r>
      <w:proofErr w:type="spellEnd"/>
      <w:r w:rsidRPr="00E3248B">
        <w:rPr>
          <w:rFonts w:ascii="Book Antiqua" w:hAnsi="Book Antiqua"/>
        </w:rPr>
        <w:t>. Trestného poriadku obvinený neutrpí ujmu na svojej podstate, pretože sa ochrana týchto práv podaním obžaloby zveruje do právomoci všeobecných súdov konajúcich vo viacerých inštanciách.</w:t>
      </w:r>
    </w:p>
    <w:p w14:paraId="34F2D2DB" w14:textId="637CB3B3" w:rsidR="00FB1EFE" w:rsidRDefault="00A374E1" w:rsidP="00612BF2">
      <w:pPr>
        <w:ind w:firstLine="708"/>
        <w:jc w:val="both"/>
        <w:rPr>
          <w:rFonts w:ascii="Book Antiqua" w:hAnsi="Book Antiqua"/>
          <w:shd w:val="clear" w:color="auto" w:fill="FFFFFF"/>
        </w:rPr>
      </w:pPr>
      <w:r>
        <w:rPr>
          <w:rFonts w:ascii="Book Antiqua" w:hAnsi="Book Antiqua"/>
          <w:b/>
          <w:shd w:val="clear" w:color="auto" w:fill="FFFFFF"/>
        </w:rPr>
        <w:t>V prípade povinnosti</w:t>
      </w:r>
      <w:r w:rsidR="00596F55" w:rsidRPr="00596F55">
        <w:rPr>
          <w:rFonts w:ascii="Book Antiqua" w:hAnsi="Book Antiqua"/>
          <w:b/>
          <w:shd w:val="clear" w:color="auto" w:fill="FFFFFF"/>
        </w:rPr>
        <w:t xml:space="preserve"> samosudcu odmietnuť obžalobu v prípade zistenia závažných procesných chýb ostáva zachovaná</w:t>
      </w:r>
      <w:r w:rsidR="00596F55">
        <w:rPr>
          <w:rFonts w:ascii="Book Antiqua" w:hAnsi="Book Antiqua"/>
          <w:shd w:val="clear" w:color="auto" w:fill="FFFFFF"/>
        </w:rPr>
        <w:t xml:space="preserve">. </w:t>
      </w:r>
      <w:r w:rsidR="00612BF2">
        <w:rPr>
          <w:rFonts w:ascii="Book Antiqua" w:hAnsi="Book Antiqua"/>
          <w:shd w:val="clear" w:color="auto" w:fill="FFFFFF"/>
        </w:rPr>
        <w:t>V zmysle návrhu zákona s</w:t>
      </w:r>
      <w:r w:rsidR="00596F55">
        <w:rPr>
          <w:rFonts w:ascii="Book Antiqua" w:hAnsi="Book Antiqua"/>
          <w:shd w:val="clear" w:color="auto" w:fill="FFFFFF"/>
        </w:rPr>
        <w:t xml:space="preserve">amosudca len nebude mať povinnosť obhajovať postupy v prípravnom konaní ak v ňom k žiadnym procesným vadám nedošlo. </w:t>
      </w:r>
    </w:p>
    <w:p w14:paraId="3B67A9C5" w14:textId="77777777" w:rsidR="00FB1EFE" w:rsidRDefault="009B07DA">
      <w:pPr>
        <w:spacing w:after="240"/>
        <w:jc w:val="both"/>
        <w:rPr>
          <w:rFonts w:ascii="Book Antiqua" w:hAnsi="Book Antiqua" w:cs="Times New Roman"/>
        </w:rPr>
      </w:pPr>
      <w:r>
        <w:rPr>
          <w:rFonts w:ascii="Book Antiqua" w:hAnsi="Book Antiqua" w:cs="Times New Roman"/>
        </w:rPr>
        <w:tab/>
      </w:r>
      <w:bookmarkStart w:id="0" w:name="_Hlk112062342"/>
      <w:bookmarkStart w:id="1" w:name="_Hlk112062368"/>
      <w:r>
        <w:rPr>
          <w:rFonts w:ascii="Book Antiqua" w:hAnsi="Book Antiqua" w:cs="Times New Roman"/>
        </w:rPr>
        <w:t xml:space="preserve">Návrh zákona nemá vplyv na rozpočet verejnej správy, nemá žiadne vplyvy na podnikateľské prostredie, </w:t>
      </w:r>
      <w:r>
        <w:rPr>
          <w:rStyle w:val="awspan"/>
          <w:rFonts w:ascii="Book Antiqua" w:hAnsi="Book Antiqua"/>
        </w:rPr>
        <w:t>na služby verejnej správy pre občana</w:t>
      </w:r>
      <w:r>
        <w:rPr>
          <w:rFonts w:ascii="Book Antiqua" w:hAnsi="Book Antiqua" w:cs="Times New Roman"/>
        </w:rPr>
        <w:t>, žiadne vplyvy na manželstvo, rodičovstvo a rodinu, žiadne sociálne vplyvy, žiadne vplyvy na životné prostredie a žiadne vplyvy na informatizáciu spoločnosti.</w:t>
      </w:r>
      <w:bookmarkEnd w:id="0"/>
      <w:r>
        <w:rPr>
          <w:rFonts w:ascii="Book Antiqua" w:hAnsi="Book Antiqua" w:cs="Times New Roman"/>
        </w:rPr>
        <w:t xml:space="preserve"> </w:t>
      </w:r>
    </w:p>
    <w:bookmarkEnd w:id="1"/>
    <w:p w14:paraId="49D61AE5" w14:textId="77777777" w:rsidR="00FB1EFE" w:rsidRDefault="009B07DA">
      <w:pPr>
        <w:spacing w:after="240"/>
        <w:ind w:firstLine="708"/>
        <w:jc w:val="both"/>
        <w:rPr>
          <w:rFonts w:ascii="Book Antiqua" w:hAnsi="Book Antiqua" w:cs="Times New Roman"/>
        </w:rPr>
      </w:pPr>
      <w:r>
        <w:rPr>
          <w:rFonts w:ascii="Book Antiqua" w:hAnsi="Book Antiqua" w:cs="Times New Roman"/>
        </w:rPr>
        <w:lastRenderedPageBreak/>
        <w:t>Návrh zákona je v súlade s Ústavou Slovenskej republiky, ústavnými zákonmi, nálezmi Ústavného súdu Slovenskej republiky, medzinárodnými zmluvami a inými medzinárodnými dokumentmi, ktorými je Slovenská republika viazaná a súčasne je v súlade s právom Európskej únie.</w:t>
      </w:r>
      <w:r>
        <w:rPr>
          <w:rFonts w:ascii="Book Antiqua" w:hAnsi="Book Antiqua" w:cs="Times New Roman"/>
        </w:rPr>
        <w:tab/>
      </w:r>
    </w:p>
    <w:p w14:paraId="44E71438" w14:textId="77777777" w:rsidR="0083413A" w:rsidRDefault="0083413A">
      <w:pPr>
        <w:jc w:val="both"/>
        <w:rPr>
          <w:rFonts w:ascii="Book Antiqua" w:hAnsi="Book Antiqua" w:cs="Times New Roman"/>
          <w:b/>
          <w:u w:val="single"/>
        </w:rPr>
      </w:pPr>
      <w:r>
        <w:rPr>
          <w:rFonts w:ascii="Book Antiqua" w:hAnsi="Book Antiqua" w:cs="Times New Roman"/>
          <w:b/>
          <w:u w:val="single"/>
        </w:rPr>
        <w:br w:type="page"/>
      </w:r>
    </w:p>
    <w:p w14:paraId="207D314A" w14:textId="62B13FBD" w:rsidR="00FB1EFE" w:rsidRDefault="009B07DA">
      <w:pPr>
        <w:jc w:val="both"/>
        <w:rPr>
          <w:rFonts w:ascii="Book Antiqua" w:hAnsi="Book Antiqua" w:cs="Times New Roman"/>
          <w:b/>
          <w:u w:val="single"/>
        </w:rPr>
      </w:pPr>
      <w:r>
        <w:rPr>
          <w:rFonts w:ascii="Book Antiqua" w:hAnsi="Book Antiqua" w:cs="Times New Roman"/>
          <w:b/>
          <w:u w:val="single"/>
        </w:rPr>
        <w:lastRenderedPageBreak/>
        <w:t>B. Osobitná časť</w:t>
      </w:r>
    </w:p>
    <w:p w14:paraId="4BABED86" w14:textId="77777777" w:rsidR="00FB1EFE" w:rsidRDefault="009B07DA">
      <w:pPr>
        <w:jc w:val="both"/>
        <w:rPr>
          <w:rFonts w:ascii="Book Antiqua" w:hAnsi="Book Antiqua" w:cs="Times New Roman"/>
          <w:b/>
        </w:rPr>
      </w:pPr>
      <w:r>
        <w:rPr>
          <w:rFonts w:ascii="Book Antiqua" w:hAnsi="Book Antiqua" w:cs="Times New Roman"/>
          <w:b/>
        </w:rPr>
        <w:t>K Čl. I</w:t>
      </w:r>
    </w:p>
    <w:p w14:paraId="5C88D6CB" w14:textId="152D80C3" w:rsidR="00932F42" w:rsidRDefault="00A467D3" w:rsidP="00932F42">
      <w:pPr>
        <w:jc w:val="both"/>
        <w:rPr>
          <w:rFonts w:ascii="Book Antiqua" w:hAnsi="Book Antiqua" w:cs="Times New Roman"/>
          <w:u w:val="single"/>
        </w:rPr>
      </w:pPr>
      <w:r>
        <w:rPr>
          <w:rFonts w:ascii="Book Antiqua" w:hAnsi="Book Antiqua" w:cs="Times New Roman"/>
          <w:u w:val="single"/>
        </w:rPr>
        <w:t>K bodu 1 (§ 234</w:t>
      </w:r>
      <w:r w:rsidR="00932F42">
        <w:rPr>
          <w:rFonts w:ascii="Book Antiqua" w:hAnsi="Book Antiqua" w:cs="Times New Roman"/>
          <w:u w:val="single"/>
        </w:rPr>
        <w:t>)</w:t>
      </w:r>
    </w:p>
    <w:p w14:paraId="52848D58" w14:textId="792DD087" w:rsidR="00932F42" w:rsidRPr="00932F42" w:rsidRDefault="00932F42" w:rsidP="00A467D3">
      <w:pPr>
        <w:ind w:firstLine="708"/>
        <w:jc w:val="both"/>
        <w:rPr>
          <w:rFonts w:ascii="Book Antiqua" w:hAnsi="Book Antiqua" w:cs="Times New Roman"/>
        </w:rPr>
      </w:pPr>
      <w:r w:rsidRPr="00932F42">
        <w:rPr>
          <w:rFonts w:ascii="Book Antiqua" w:hAnsi="Book Antiqua" w:cs="Times New Roman"/>
        </w:rPr>
        <w:t>Doplnenie Trestného poriadku o povinnosť prokurátora čakať s podaním obžaloby až do momentu, kým generálny prokurátor nerozhodne o sťažnosti podľa § 363 Trestného poriadku predstavuje úplne prelomenie judikatúry Najvyššieho súdu SR ako aj judikatúry Ústavného súdu SR.</w:t>
      </w:r>
    </w:p>
    <w:p w14:paraId="1784C558" w14:textId="77777777" w:rsidR="00932F42" w:rsidRPr="00932F42" w:rsidRDefault="00932F42" w:rsidP="00A467D3">
      <w:pPr>
        <w:ind w:firstLine="708"/>
        <w:jc w:val="both"/>
        <w:rPr>
          <w:rFonts w:ascii="Book Antiqua" w:hAnsi="Book Antiqua" w:cs="Times New Roman"/>
        </w:rPr>
      </w:pPr>
      <w:r w:rsidRPr="00932F42">
        <w:rPr>
          <w:rFonts w:ascii="Book Antiqua" w:hAnsi="Book Antiqua" w:cs="Times New Roman"/>
        </w:rPr>
        <w:t xml:space="preserve">Už 7. decembra 2021 Najvyšší súd Slovenskej republiky uznesením pod </w:t>
      </w:r>
      <w:proofErr w:type="spellStart"/>
      <w:r w:rsidRPr="00932F42">
        <w:rPr>
          <w:rFonts w:ascii="Book Antiqua" w:hAnsi="Book Antiqua" w:cs="Times New Roman"/>
        </w:rPr>
        <w:t>sp</w:t>
      </w:r>
      <w:proofErr w:type="spellEnd"/>
      <w:r w:rsidRPr="00932F42">
        <w:rPr>
          <w:rFonts w:ascii="Book Antiqua" w:hAnsi="Book Antiqua" w:cs="Times New Roman"/>
        </w:rPr>
        <w:t xml:space="preserve">. zn. 3 </w:t>
      </w:r>
      <w:proofErr w:type="spellStart"/>
      <w:r w:rsidRPr="00932F42">
        <w:rPr>
          <w:rFonts w:ascii="Book Antiqua" w:hAnsi="Book Antiqua" w:cs="Times New Roman"/>
        </w:rPr>
        <w:t>Tost</w:t>
      </w:r>
      <w:proofErr w:type="spellEnd"/>
      <w:r w:rsidRPr="00932F42">
        <w:rPr>
          <w:rFonts w:ascii="Book Antiqua" w:hAnsi="Book Antiqua" w:cs="Times New Roman"/>
        </w:rPr>
        <w:t xml:space="preserve"> 67/2021 rozhodol, že neexistuje žiaden dôvod, aby prokurátor musel čakať s podaním obžaloby na obvinenú osobu až do momentu, kedy generálny prokurátor rozhodne o mimoriadnom opravnom prostriedku uplatnenom v prípravnom konaní. Tým jediným možným mimoriadnym opravným prostriedkom je v tomto prípade zrušenie právoplatného rozhodnutia v prípravnom konaní podľa neslávne známeho ustanovenia § 363 Trestného poriadku. Predmetné rozhodnutie Najvyššieho súdu Slovenskej republiky následne dňa 27. apríla 2022 potvrdil uznesením pod č. k. II. ÚS 184/2022-23 aj Ústavný súd Slovenskej republiky.</w:t>
      </w:r>
    </w:p>
    <w:p w14:paraId="68DE0F7C" w14:textId="3F64C274" w:rsidR="00932F42" w:rsidRPr="00932F42" w:rsidRDefault="00932F42" w:rsidP="00A467D3">
      <w:pPr>
        <w:ind w:firstLine="708"/>
        <w:jc w:val="both"/>
        <w:rPr>
          <w:rFonts w:ascii="Book Antiqua" w:hAnsi="Book Antiqua" w:cs="Times New Roman"/>
        </w:rPr>
      </w:pPr>
      <w:r w:rsidRPr="00932F42">
        <w:rPr>
          <w:rFonts w:ascii="Book Antiqua" w:hAnsi="Book Antiqua" w:cs="Times New Roman"/>
        </w:rPr>
        <w:t xml:space="preserve">Argumenty oboch najvyšších súdnych inštancií možno zhrnúť do niekoľkých bodov. </w:t>
      </w:r>
    </w:p>
    <w:p w14:paraId="64834DED" w14:textId="1551AF92" w:rsidR="00932F42" w:rsidRPr="00932F42" w:rsidRDefault="00932F42" w:rsidP="00932F42">
      <w:pPr>
        <w:jc w:val="both"/>
        <w:rPr>
          <w:rFonts w:ascii="Book Antiqua" w:hAnsi="Book Antiqua" w:cs="Times New Roman"/>
        </w:rPr>
      </w:pPr>
      <w:r w:rsidRPr="00932F42">
        <w:rPr>
          <w:rFonts w:ascii="Book Antiqua" w:hAnsi="Book Antiqua" w:cs="Times New Roman"/>
        </w:rPr>
        <w:t xml:space="preserve">1. Zo skutočnosti, že zákonodarca v ustanovení § 364 ods. 3 Trestného poriadku obmedzuje z časového hľadiska oprávnenie generálnej prokuratúry zrušiť právoplatné rozhodnutie prokurátora alebo policajta podľa § 363 ods. 1 Trestného poriadku tak, že k tomu môže dôjsť len do šiestich mesiacov od právoplatnosti napadnutého rozhodnutia, je celkom zrejmé, že Trestný poriadok priamo počíta so situáciou, keď k meritórnemu posúdeniu dôvodnosti návrhu na postup podľa § 363 a </w:t>
      </w:r>
      <w:proofErr w:type="spellStart"/>
      <w:r w:rsidRPr="00932F42">
        <w:rPr>
          <w:rFonts w:ascii="Book Antiqua" w:hAnsi="Book Antiqua" w:cs="Times New Roman"/>
        </w:rPr>
        <w:t>nasl</w:t>
      </w:r>
      <w:proofErr w:type="spellEnd"/>
      <w:r w:rsidRPr="00932F42">
        <w:rPr>
          <w:rFonts w:ascii="Book Antiqua" w:hAnsi="Book Antiqua" w:cs="Times New Roman"/>
        </w:rPr>
        <w:t>. Trestného poriadku vôbec nedôjde.</w:t>
      </w:r>
    </w:p>
    <w:p w14:paraId="7B01DE82" w14:textId="439C1DC3" w:rsidR="00932F42" w:rsidRPr="00932F42" w:rsidRDefault="00932F42" w:rsidP="00932F42">
      <w:pPr>
        <w:jc w:val="both"/>
        <w:rPr>
          <w:rFonts w:ascii="Book Antiqua" w:hAnsi="Book Antiqua" w:cs="Times New Roman"/>
        </w:rPr>
      </w:pPr>
      <w:r w:rsidRPr="00932F42">
        <w:rPr>
          <w:rFonts w:ascii="Book Antiqua" w:hAnsi="Book Antiqua" w:cs="Times New Roman"/>
        </w:rPr>
        <w:t>2. Nerozhodnutie o návrhu v šesťmesačnej lehote Trestný poriadok nijako nesankcionuje.</w:t>
      </w:r>
    </w:p>
    <w:p w14:paraId="0289A5E5" w14:textId="481E1D2D" w:rsidR="00932F42" w:rsidRPr="00932F42" w:rsidRDefault="00932F42" w:rsidP="00932F42">
      <w:pPr>
        <w:jc w:val="both"/>
        <w:rPr>
          <w:rFonts w:ascii="Book Antiqua" w:hAnsi="Book Antiqua" w:cs="Times New Roman"/>
        </w:rPr>
      </w:pPr>
      <w:r w:rsidRPr="00932F42">
        <w:rPr>
          <w:rFonts w:ascii="Book Antiqua" w:hAnsi="Book Antiqua" w:cs="Times New Roman"/>
        </w:rPr>
        <w:t xml:space="preserve">3. Mimoriadny opravný prostriedok podľa § 363 a </w:t>
      </w:r>
      <w:proofErr w:type="spellStart"/>
      <w:r w:rsidRPr="00932F42">
        <w:rPr>
          <w:rFonts w:ascii="Book Antiqua" w:hAnsi="Book Antiqua" w:cs="Times New Roman"/>
        </w:rPr>
        <w:t>nasl</w:t>
      </w:r>
      <w:proofErr w:type="spellEnd"/>
      <w:r w:rsidRPr="00932F42">
        <w:rPr>
          <w:rFonts w:ascii="Book Antiqua" w:hAnsi="Book Antiqua" w:cs="Times New Roman"/>
        </w:rPr>
        <w:t xml:space="preserve">. Trestného poriadku umožňuje, aby bolo takémuto návrhu de </w:t>
      </w:r>
      <w:proofErr w:type="spellStart"/>
      <w:r w:rsidRPr="00932F42">
        <w:rPr>
          <w:rFonts w:ascii="Book Antiqua" w:hAnsi="Book Antiqua" w:cs="Times New Roman"/>
        </w:rPr>
        <w:t>facto</w:t>
      </w:r>
      <w:proofErr w:type="spellEnd"/>
      <w:r w:rsidRPr="00932F42">
        <w:rPr>
          <w:rFonts w:ascii="Book Antiqua" w:hAnsi="Book Antiqua" w:cs="Times New Roman"/>
        </w:rPr>
        <w:t xml:space="preserve"> nevyhovené tým, že sa o ňom nerozhodne v stanovenej lehote, resp. v stanovenom štádiu Trestného konania.</w:t>
      </w:r>
    </w:p>
    <w:p w14:paraId="719043DE" w14:textId="2F98206C" w:rsidR="00932F42" w:rsidRPr="00932F42" w:rsidRDefault="00932F42" w:rsidP="00F147B2">
      <w:pPr>
        <w:ind w:firstLine="708"/>
        <w:jc w:val="both"/>
        <w:rPr>
          <w:rFonts w:ascii="Book Antiqua" w:hAnsi="Book Antiqua" w:cs="Times New Roman"/>
        </w:rPr>
      </w:pPr>
      <w:r w:rsidRPr="00932F42">
        <w:rPr>
          <w:rFonts w:ascii="Book Antiqua" w:hAnsi="Book Antiqua" w:cs="Times New Roman"/>
        </w:rPr>
        <w:t xml:space="preserve">Z predmetných argumentov jasne vyplýva záver, že podaním obžaloby prieskum zákonnosti trestného stíhania (vrátane prieskumu zákonnosti vzneseného obvinenia) nezaniká, len sa presúva zo štádia prípravného konania do štádia konania pred súdom. Inými slovami, nerozhodnutím o návrhu podľa § 363 a </w:t>
      </w:r>
      <w:proofErr w:type="spellStart"/>
      <w:r w:rsidRPr="00932F42">
        <w:rPr>
          <w:rFonts w:ascii="Book Antiqua" w:hAnsi="Book Antiqua" w:cs="Times New Roman"/>
        </w:rPr>
        <w:t>nasl</w:t>
      </w:r>
      <w:proofErr w:type="spellEnd"/>
      <w:r w:rsidRPr="00932F42">
        <w:rPr>
          <w:rFonts w:ascii="Book Antiqua" w:hAnsi="Book Antiqua" w:cs="Times New Roman"/>
        </w:rPr>
        <w:t>. Trestného poriadku obvinený neutrpí ujmu na svojej podstate, pretože sa ochrana týchto práv podaním obžaloby zveruje do právomoci všeobecných súdov konajúcich vo viacerých inštanciách.</w:t>
      </w:r>
    </w:p>
    <w:p w14:paraId="59B045D0" w14:textId="49A21612" w:rsidR="00932F42" w:rsidRPr="00932F42" w:rsidRDefault="00932F42" w:rsidP="00A467D3">
      <w:pPr>
        <w:ind w:firstLine="708"/>
        <w:jc w:val="both"/>
        <w:rPr>
          <w:rFonts w:ascii="Book Antiqua" w:hAnsi="Book Antiqua" w:cs="Times New Roman"/>
        </w:rPr>
      </w:pPr>
      <w:r w:rsidRPr="00932F42">
        <w:rPr>
          <w:rFonts w:ascii="Book Antiqua" w:hAnsi="Book Antiqua" w:cs="Times New Roman"/>
        </w:rPr>
        <w:t>Navrhovaná úprava nijako nezníži ochranu práv obvineného v prípravnom konaní aj z toho dôvodu, že všetky ostatné riadne opravné prostriedky majú odkladný účinok. To znamená, že bez právoplatného rozhodnutia o podaných opravných prostriedkoch nemožno skončiť prípravné konanie a podať obžalobu. Aj táto skutočnosť len potvrdzuje nezmyselnosť a účelovosť vládnej novely z roku 2022, ktorou sa na roveň nelogicky a bezdôvodne kladie na roveň riadny opravný prostriedok a mimoriadny opravný prostriedok.</w:t>
      </w:r>
    </w:p>
    <w:p w14:paraId="4D337BBA" w14:textId="77777777" w:rsidR="00932F42" w:rsidRDefault="00932F42" w:rsidP="00932F42">
      <w:pPr>
        <w:jc w:val="both"/>
        <w:rPr>
          <w:rFonts w:ascii="Book Antiqua" w:hAnsi="Book Antiqua" w:cs="Times New Roman"/>
          <w:u w:val="single"/>
        </w:rPr>
      </w:pPr>
    </w:p>
    <w:p w14:paraId="5CFDCA12" w14:textId="27987037" w:rsidR="00FB1EFE" w:rsidRDefault="009B07DA">
      <w:pPr>
        <w:jc w:val="both"/>
        <w:rPr>
          <w:rFonts w:ascii="Book Antiqua" w:hAnsi="Book Antiqua" w:cs="Times New Roman"/>
          <w:u w:val="single"/>
        </w:rPr>
      </w:pPr>
      <w:r>
        <w:rPr>
          <w:rFonts w:ascii="Book Antiqua" w:hAnsi="Book Antiqua" w:cs="Times New Roman"/>
          <w:u w:val="single"/>
        </w:rPr>
        <w:t xml:space="preserve">K bodom </w:t>
      </w:r>
      <w:r w:rsidR="00932F42">
        <w:rPr>
          <w:rFonts w:ascii="Book Antiqua" w:hAnsi="Book Antiqua" w:cs="Times New Roman"/>
          <w:u w:val="single"/>
        </w:rPr>
        <w:t>2</w:t>
      </w:r>
      <w:r>
        <w:rPr>
          <w:rFonts w:ascii="Book Antiqua" w:hAnsi="Book Antiqua" w:cs="Times New Roman"/>
          <w:u w:val="single"/>
        </w:rPr>
        <w:t xml:space="preserve"> až 1</w:t>
      </w:r>
      <w:r w:rsidR="003537BE">
        <w:rPr>
          <w:rFonts w:ascii="Book Antiqua" w:hAnsi="Book Antiqua" w:cs="Times New Roman"/>
          <w:u w:val="single"/>
        </w:rPr>
        <w:t>1</w:t>
      </w:r>
      <w:r>
        <w:rPr>
          <w:rFonts w:ascii="Book Antiqua" w:hAnsi="Book Antiqua" w:cs="Times New Roman"/>
          <w:u w:val="single"/>
        </w:rPr>
        <w:t xml:space="preserve"> (§ 23</w:t>
      </w:r>
      <w:r w:rsidR="003537BE">
        <w:rPr>
          <w:rFonts w:ascii="Book Antiqua" w:hAnsi="Book Antiqua" w:cs="Times New Roman"/>
          <w:u w:val="single"/>
        </w:rPr>
        <w:t xml:space="preserve">5, § 241, § 244, § 283, § 290 a </w:t>
      </w:r>
      <w:r>
        <w:rPr>
          <w:rFonts w:ascii="Book Antiqua" w:hAnsi="Book Antiqua" w:cs="Times New Roman"/>
          <w:u w:val="single"/>
        </w:rPr>
        <w:t>§ 355)</w:t>
      </w:r>
    </w:p>
    <w:p w14:paraId="3BBFF6AE" w14:textId="77777777" w:rsidR="00FB1EFE" w:rsidRDefault="009B07DA">
      <w:pPr>
        <w:ind w:firstLine="708"/>
        <w:jc w:val="both"/>
        <w:rPr>
          <w:rFonts w:ascii="Book Antiqua" w:hAnsi="Book Antiqua"/>
          <w:shd w:val="clear" w:color="auto" w:fill="FFFFFF"/>
        </w:rPr>
      </w:pPr>
      <w:r>
        <w:rPr>
          <w:rFonts w:ascii="Book Antiqua" w:hAnsi="Book Antiqua"/>
          <w:shd w:val="clear" w:color="auto" w:fill="FFFFFF"/>
        </w:rPr>
        <w:lastRenderedPageBreak/>
        <w:t>Doplnenie Trestného poriadku o ďalšie možnosti obvineného namietať postupy v prípravnom konaní aj v štádiu preskúmania obžaloby nemožno vnímať inak, ako nedôvodné predlžovanie trestného konania a značný nárast agendy samosudcu.</w:t>
      </w:r>
    </w:p>
    <w:p w14:paraId="00730CDB" w14:textId="77777777" w:rsidR="007A1343" w:rsidRDefault="00A467D3">
      <w:pPr>
        <w:ind w:firstLine="708"/>
        <w:jc w:val="both"/>
        <w:rPr>
          <w:rFonts w:ascii="Book Antiqua" w:hAnsi="Book Antiqua"/>
          <w:shd w:val="clear" w:color="auto" w:fill="FFFFFF"/>
        </w:rPr>
      </w:pPr>
      <w:r>
        <w:rPr>
          <w:rFonts w:ascii="Book Antiqua" w:hAnsi="Book Antiqua"/>
          <w:shd w:val="clear" w:color="auto" w:fill="FFFFFF"/>
        </w:rPr>
        <w:t xml:space="preserve">Návrh zákona v tejto časti cieli na odbremenenie samosudcu od zbytočne detailného skúmania celého prípravného konania, čím sa doslova duplikuje práca prokurátora. Návrh zákona zároveň ruší nedávno zavedenú povinnosť samosudcu, vyargumentovať obvinenému dôvody, pre ktoré bolo </w:t>
      </w:r>
      <w:r w:rsidR="009B07DA">
        <w:rPr>
          <w:rFonts w:ascii="Book Antiqua" w:hAnsi="Book Antiqua"/>
          <w:shd w:val="clear" w:color="auto" w:fill="FFFFFF"/>
        </w:rPr>
        <w:t>podanie obžaloby dôvodné.</w:t>
      </w:r>
      <w:r>
        <w:rPr>
          <w:rFonts w:ascii="Book Antiqua" w:hAnsi="Book Antiqua"/>
          <w:shd w:val="clear" w:color="auto" w:fill="FFFFFF"/>
        </w:rPr>
        <w:t xml:space="preserve"> </w:t>
      </w:r>
    </w:p>
    <w:p w14:paraId="6CD68918" w14:textId="77777777" w:rsidR="007A1343" w:rsidRDefault="00A467D3" w:rsidP="007A1343">
      <w:pPr>
        <w:ind w:firstLine="708"/>
        <w:jc w:val="both"/>
        <w:rPr>
          <w:rFonts w:ascii="Book Antiqua" w:hAnsi="Book Antiqua"/>
          <w:shd w:val="clear" w:color="auto" w:fill="FFFFFF"/>
        </w:rPr>
      </w:pPr>
      <w:r>
        <w:rPr>
          <w:rFonts w:ascii="Book Antiqua" w:hAnsi="Book Antiqua"/>
          <w:shd w:val="clear" w:color="auto" w:fill="FFFFFF"/>
        </w:rPr>
        <w:t xml:space="preserve">   </w:t>
      </w:r>
      <w:r w:rsidR="007A1343" w:rsidRPr="007A1343">
        <w:rPr>
          <w:rFonts w:ascii="Book Antiqua" w:hAnsi="Book Antiqua"/>
          <w:shd w:val="clear" w:color="auto" w:fill="FFFFFF"/>
        </w:rPr>
        <w:t>Kým obvinenému sa umožnilo ešte aj v štádiu preskúmania obžaloby podať sťažnosť, ktorý v tomto prípade ani nemá zákonom ustanovené náležitosti, sa samosudcovi v prípade nariadenia hlavného pojednávania uložila úplne nová povinnosť, a to zdôvodniť a preukáz</w:t>
      </w:r>
      <w:r w:rsidR="007A1343">
        <w:rPr>
          <w:rFonts w:ascii="Book Antiqua" w:hAnsi="Book Antiqua"/>
          <w:shd w:val="clear" w:color="auto" w:fill="FFFFFF"/>
        </w:rPr>
        <w:t>ať obvinenému, že:</w:t>
      </w:r>
    </w:p>
    <w:p w14:paraId="09E7C368" w14:textId="77777777" w:rsidR="007A1343" w:rsidRDefault="007A1343" w:rsidP="007A1343">
      <w:pPr>
        <w:ind w:firstLine="708"/>
        <w:jc w:val="both"/>
        <w:rPr>
          <w:rFonts w:ascii="Book Antiqua" w:hAnsi="Book Antiqua"/>
          <w:shd w:val="clear" w:color="auto" w:fill="FFFFFF"/>
        </w:rPr>
      </w:pPr>
      <w:r>
        <w:rPr>
          <w:rFonts w:ascii="Book Antiqua" w:hAnsi="Book Antiqua"/>
          <w:shd w:val="clear" w:color="auto" w:fill="FFFFFF"/>
        </w:rPr>
        <w:t xml:space="preserve">- </w:t>
      </w:r>
      <w:r w:rsidRPr="007A1343">
        <w:rPr>
          <w:rFonts w:ascii="Book Antiqua" w:hAnsi="Book Antiqua"/>
          <w:shd w:val="clear" w:color="auto" w:fill="FFFFFF"/>
        </w:rPr>
        <w:t>nezistil žiadne závažné procesné chyby, naj</w:t>
      </w:r>
      <w:r>
        <w:rPr>
          <w:rFonts w:ascii="Book Antiqua" w:hAnsi="Book Antiqua"/>
          <w:shd w:val="clear" w:color="auto" w:fill="FFFFFF"/>
        </w:rPr>
        <w:t>mä porušenie práva na obhajobu,</w:t>
      </w:r>
    </w:p>
    <w:p w14:paraId="027465A1" w14:textId="77777777" w:rsidR="007A1343" w:rsidRDefault="007A1343" w:rsidP="007A1343">
      <w:pPr>
        <w:ind w:left="708"/>
        <w:jc w:val="both"/>
        <w:rPr>
          <w:rFonts w:ascii="Book Antiqua" w:hAnsi="Book Antiqua"/>
          <w:shd w:val="clear" w:color="auto" w:fill="FFFFFF"/>
        </w:rPr>
      </w:pPr>
      <w:r>
        <w:rPr>
          <w:rFonts w:ascii="Book Antiqua" w:hAnsi="Book Antiqua"/>
          <w:shd w:val="clear" w:color="auto" w:fill="FFFFFF"/>
        </w:rPr>
        <w:t xml:space="preserve">- </w:t>
      </w:r>
      <w:r w:rsidRPr="007A1343">
        <w:rPr>
          <w:rFonts w:ascii="Book Antiqua" w:hAnsi="Book Antiqua"/>
          <w:shd w:val="clear" w:color="auto" w:fill="FFFFFF"/>
        </w:rPr>
        <w:t xml:space="preserve">prokurátor predložil úplné spisy vrátane všetkých dôkazov zabezpečených v prípravnom konaní, </w:t>
      </w:r>
    </w:p>
    <w:p w14:paraId="3F3CB5AA" w14:textId="77777777" w:rsidR="007A1343" w:rsidRDefault="007A1343" w:rsidP="007A1343">
      <w:pPr>
        <w:ind w:left="708"/>
        <w:jc w:val="both"/>
        <w:rPr>
          <w:rFonts w:ascii="Book Antiqua" w:hAnsi="Book Antiqua"/>
          <w:shd w:val="clear" w:color="auto" w:fill="FFFFFF"/>
        </w:rPr>
      </w:pPr>
      <w:r>
        <w:rPr>
          <w:rFonts w:ascii="Book Antiqua" w:hAnsi="Book Antiqua"/>
          <w:shd w:val="clear" w:color="auto" w:fill="FFFFFF"/>
        </w:rPr>
        <w:t xml:space="preserve">- </w:t>
      </w:r>
      <w:r w:rsidRPr="007A1343">
        <w:rPr>
          <w:rFonts w:ascii="Book Antiqua" w:hAnsi="Book Antiqua"/>
          <w:shd w:val="clear" w:color="auto" w:fill="FFFFFF"/>
        </w:rPr>
        <w:t>obžaloba spĺňa</w:t>
      </w:r>
      <w:r>
        <w:rPr>
          <w:rFonts w:ascii="Book Antiqua" w:hAnsi="Book Antiqua"/>
          <w:shd w:val="clear" w:color="auto" w:fill="FFFFFF"/>
        </w:rPr>
        <w:t xml:space="preserve"> náležitosti podľa § 235 alebo </w:t>
      </w:r>
    </w:p>
    <w:p w14:paraId="250AC8F7" w14:textId="2EAB12AB" w:rsidR="00A467D3" w:rsidRDefault="007A1343" w:rsidP="007A1343">
      <w:pPr>
        <w:ind w:left="708"/>
        <w:jc w:val="both"/>
        <w:rPr>
          <w:rFonts w:ascii="Book Antiqua" w:hAnsi="Book Antiqua"/>
          <w:shd w:val="clear" w:color="auto" w:fill="FFFFFF"/>
        </w:rPr>
      </w:pPr>
      <w:r>
        <w:rPr>
          <w:rFonts w:ascii="Book Antiqua" w:hAnsi="Book Antiqua"/>
          <w:shd w:val="clear" w:color="auto" w:fill="FFFFFF"/>
        </w:rPr>
        <w:t xml:space="preserve">- </w:t>
      </w:r>
      <w:r w:rsidRPr="007A1343">
        <w:rPr>
          <w:rFonts w:ascii="Book Antiqua" w:hAnsi="Book Antiqua"/>
          <w:shd w:val="clear" w:color="auto" w:fill="FFFFFF"/>
        </w:rPr>
        <w:t>že, spolupracujúcej osobe neboli poskytnuté žiadne nezákonné benefity.</w:t>
      </w:r>
      <w:r w:rsidR="00A467D3">
        <w:rPr>
          <w:rFonts w:ascii="Book Antiqua" w:hAnsi="Book Antiqua"/>
          <w:shd w:val="clear" w:color="auto" w:fill="FFFFFF"/>
        </w:rPr>
        <w:t xml:space="preserve"> </w:t>
      </w:r>
    </w:p>
    <w:p w14:paraId="14A49A57" w14:textId="3AD6F455" w:rsidR="00FB1EFE" w:rsidRDefault="009B07DA">
      <w:pPr>
        <w:ind w:firstLine="708"/>
        <w:jc w:val="both"/>
        <w:rPr>
          <w:rFonts w:ascii="Book Antiqua" w:hAnsi="Book Antiqua"/>
          <w:shd w:val="clear" w:color="auto" w:fill="FFFFFF"/>
        </w:rPr>
      </w:pPr>
      <w:r>
        <w:rPr>
          <w:rFonts w:ascii="Book Antiqua" w:hAnsi="Book Antiqua"/>
          <w:shd w:val="clear" w:color="auto" w:fill="FFFFFF"/>
        </w:rPr>
        <w:t xml:space="preserve">Na tomto mieste je pritom potrebné upriamiť pozornosť a zdôrazniť, že v rámci prípravného konania má obvinený množstvo príležitostí na podanie rôznych sťažností (napr. § 214 ods. 4, § 215 ods. 3 a 6, § 216 ods. 5, § 217 ods. 3 a ďalšie), pričom každá z takýchto sťažností má odkladný účinok. Navyše už v tomto štádiu konania má obvinený možnosť podať aj </w:t>
      </w:r>
      <w:r w:rsidRPr="009B07DA">
        <w:rPr>
          <w:rFonts w:ascii="Book Antiqua" w:hAnsi="Book Antiqua"/>
          <w:b/>
          <w:shd w:val="clear" w:color="auto" w:fill="FFFFFF"/>
        </w:rPr>
        <w:t>mimoriadny opravný prostriedok</w:t>
      </w:r>
      <w:r>
        <w:rPr>
          <w:rFonts w:ascii="Book Antiqua" w:hAnsi="Book Antiqua"/>
          <w:shd w:val="clear" w:color="auto" w:fill="FFFFFF"/>
        </w:rPr>
        <w:t xml:space="preserve">, ktorým je </w:t>
      </w:r>
      <w:r w:rsidRPr="009B07DA">
        <w:rPr>
          <w:rFonts w:ascii="Book Antiqua" w:hAnsi="Book Antiqua"/>
          <w:b/>
          <w:shd w:val="clear" w:color="auto" w:fill="FFFFFF"/>
        </w:rPr>
        <w:t>zrušenie právoplatných rozhodnutí v prípravnom konaní</w:t>
      </w:r>
      <w:r>
        <w:rPr>
          <w:rFonts w:ascii="Book Antiqua" w:hAnsi="Book Antiqua"/>
          <w:shd w:val="clear" w:color="auto" w:fill="FFFFFF"/>
        </w:rPr>
        <w:t xml:space="preserve"> podľa § 363 Trestného poriadku.</w:t>
      </w:r>
    </w:p>
    <w:p w14:paraId="78A1A9BD" w14:textId="3D54740D" w:rsidR="00FB1EFE" w:rsidRDefault="009B07DA">
      <w:pPr>
        <w:ind w:firstLine="708"/>
        <w:jc w:val="both"/>
        <w:rPr>
          <w:rFonts w:ascii="Book Antiqua" w:hAnsi="Book Antiqua"/>
          <w:shd w:val="clear" w:color="auto" w:fill="FFFFFF"/>
        </w:rPr>
      </w:pPr>
      <w:r>
        <w:rPr>
          <w:rFonts w:ascii="Book Antiqua" w:hAnsi="Book Antiqua"/>
          <w:shd w:val="clear" w:color="auto" w:fill="FFFFFF"/>
        </w:rPr>
        <w:t xml:space="preserve">Možnosť podania ďalšej sťažnosti na nezákonnosť postupov v prípravnom konaní má tak výslovne duplicitný a pre samosudcu takmer až šikanózny charakter. Samosudca sa totiž už v štádiu posúdenia obžaloby musí s prípadom oboznámiť do značnej hĺbky, v opačnom prípade hrozí, že nariadenie hlavného pojednávania bude spochybnené. </w:t>
      </w:r>
    </w:p>
    <w:p w14:paraId="42F85672" w14:textId="1175C001" w:rsidR="00FB1EFE" w:rsidRDefault="009B07DA">
      <w:pPr>
        <w:ind w:firstLine="708"/>
        <w:jc w:val="both"/>
        <w:rPr>
          <w:rFonts w:ascii="Book Antiqua" w:hAnsi="Book Antiqua"/>
          <w:shd w:val="clear" w:color="auto" w:fill="FFFFFF"/>
        </w:rPr>
      </w:pPr>
      <w:r>
        <w:rPr>
          <w:rFonts w:ascii="Book Antiqua" w:hAnsi="Book Antiqua"/>
          <w:shd w:val="clear" w:color="auto" w:fill="FFFFFF"/>
        </w:rPr>
        <w:t>Popisované legislatívne zmeny dnes do značnej miery samosudcu prakticky nútia samostatne vysporiadať sa s úkonmi a činnosťou vykonanou v prípravnom konaní už v štádiu posúdenia obžaloby.</w:t>
      </w:r>
    </w:p>
    <w:p w14:paraId="6D53AD9E" w14:textId="76075387" w:rsidR="009B07DA" w:rsidRDefault="009B07DA">
      <w:pPr>
        <w:ind w:firstLine="708"/>
        <w:jc w:val="both"/>
        <w:rPr>
          <w:rFonts w:ascii="Book Antiqua" w:hAnsi="Book Antiqua"/>
          <w:shd w:val="clear" w:color="auto" w:fill="FFFFFF"/>
        </w:rPr>
      </w:pPr>
      <w:r w:rsidRPr="009B07DA">
        <w:rPr>
          <w:rFonts w:ascii="Book Antiqua" w:hAnsi="Book Antiqua"/>
          <w:shd w:val="clear" w:color="auto" w:fill="FFFFFF"/>
        </w:rPr>
        <w:t xml:space="preserve">Presunom agendy posudzovania zákonnosti prípravného konania na samosudcu sa do značnej miery popiera aj nezávislosť prokuratúry, ktorá nekoná ako štátne zastupiteľstvo, </w:t>
      </w:r>
      <w:proofErr w:type="spellStart"/>
      <w:r w:rsidRPr="009B07DA">
        <w:rPr>
          <w:rFonts w:ascii="Book Antiqua" w:hAnsi="Book Antiqua"/>
          <w:shd w:val="clear" w:color="auto" w:fill="FFFFFF"/>
        </w:rPr>
        <w:t>t.j</w:t>
      </w:r>
      <w:proofErr w:type="spellEnd"/>
      <w:r w:rsidRPr="009B07DA">
        <w:rPr>
          <w:rFonts w:ascii="Book Antiqua" w:hAnsi="Book Antiqua"/>
          <w:shd w:val="clear" w:color="auto" w:fill="FFFFFF"/>
        </w:rPr>
        <w:t xml:space="preserve">. len v prospech žalobcu, ale ako nezávislý orgán, </w:t>
      </w:r>
      <w:proofErr w:type="spellStart"/>
      <w:r w:rsidRPr="009B07DA">
        <w:rPr>
          <w:rFonts w:ascii="Book Antiqua" w:hAnsi="Book Antiqua"/>
          <w:shd w:val="clear" w:color="auto" w:fill="FFFFFF"/>
        </w:rPr>
        <w:t>t.j</w:t>
      </w:r>
      <w:proofErr w:type="spellEnd"/>
      <w:r w:rsidRPr="009B07DA">
        <w:rPr>
          <w:rFonts w:ascii="Book Antiqua" w:hAnsi="Book Antiqua"/>
          <w:shd w:val="clear" w:color="auto" w:fill="FFFFFF"/>
        </w:rPr>
        <w:t xml:space="preserve">. tak v prospech žalobcu, ako aj v prospech obvineného. Je teda úlohou prokuratúry, aby posúdila skutočnosti, ktoré sa duplicitne uložili ako povinnosť aj samosudcovi, pričom takto zavedené opatrenie má potom skôr charakter posilnenia práv obvineného, </w:t>
      </w:r>
      <w:proofErr w:type="spellStart"/>
      <w:r w:rsidRPr="009B07DA">
        <w:rPr>
          <w:rFonts w:ascii="Book Antiqua" w:hAnsi="Book Antiqua"/>
          <w:shd w:val="clear" w:color="auto" w:fill="FFFFFF"/>
        </w:rPr>
        <w:t>t.j</w:t>
      </w:r>
      <w:proofErr w:type="spellEnd"/>
      <w:r w:rsidRPr="009B07DA">
        <w:rPr>
          <w:rFonts w:ascii="Book Antiqua" w:hAnsi="Book Antiqua"/>
          <w:shd w:val="clear" w:color="auto" w:fill="FFFFFF"/>
        </w:rPr>
        <w:t>. páchateľa trestného činu, na úkor obetí trestného činu a efektívnosti trestného konania.</w:t>
      </w:r>
      <w:r>
        <w:rPr>
          <w:rFonts w:ascii="Book Antiqua" w:hAnsi="Book Antiqua"/>
          <w:shd w:val="clear" w:color="auto" w:fill="FFFFFF"/>
        </w:rPr>
        <w:t xml:space="preserve"> </w:t>
      </w:r>
    </w:p>
    <w:p w14:paraId="121C683E" w14:textId="536F4F51" w:rsidR="00596F55" w:rsidRDefault="00596F55">
      <w:pPr>
        <w:ind w:firstLine="708"/>
        <w:jc w:val="both"/>
        <w:rPr>
          <w:rFonts w:ascii="Book Antiqua" w:hAnsi="Book Antiqua"/>
          <w:shd w:val="clear" w:color="auto" w:fill="FFFFFF"/>
        </w:rPr>
      </w:pPr>
      <w:r>
        <w:rPr>
          <w:rFonts w:ascii="Book Antiqua" w:hAnsi="Book Antiqua"/>
          <w:shd w:val="clear" w:color="auto" w:fill="FFFFFF"/>
        </w:rPr>
        <w:t xml:space="preserve">S poukazom na existujúce práva obvinených aj prax potvrdzuje, že parciálnou časťou trestného konania - prípravným konaním, sa dnes veľmi často zaoberajú až tri subjekty. Prokurátor, samosudca a aj generálny prokurátor. Takýto stav neúmerne zaťažuje a predlžuje trestné konanie, čím ho robí veľmi neefektívnym.   </w:t>
      </w:r>
    </w:p>
    <w:p w14:paraId="5C8CCD46" w14:textId="77777777" w:rsidR="009B07DA" w:rsidRDefault="009B07DA">
      <w:pPr>
        <w:ind w:firstLine="708"/>
        <w:jc w:val="both"/>
        <w:rPr>
          <w:rFonts w:ascii="Book Antiqua" w:hAnsi="Book Antiqua"/>
          <w:shd w:val="clear" w:color="auto" w:fill="FFFFFF"/>
        </w:rPr>
      </w:pPr>
    </w:p>
    <w:p w14:paraId="1AB7C1EF" w14:textId="77777777" w:rsidR="00FB1EFE" w:rsidRDefault="009B07DA">
      <w:pPr>
        <w:ind w:firstLine="708"/>
        <w:jc w:val="both"/>
        <w:rPr>
          <w:rFonts w:ascii="Book Antiqua" w:hAnsi="Book Antiqua"/>
          <w:shd w:val="clear" w:color="auto" w:fill="FFFFFF"/>
        </w:rPr>
      </w:pPr>
      <w:r>
        <w:rPr>
          <w:rFonts w:ascii="Book Antiqua" w:hAnsi="Book Antiqua"/>
          <w:shd w:val="clear" w:color="auto" w:fill="FFFFFF"/>
        </w:rPr>
        <w:lastRenderedPageBreak/>
        <w:t>Aj s poukazom na judikatúru</w:t>
      </w:r>
      <w:r>
        <w:rPr>
          <w:rFonts w:ascii="Book Antiqua" w:hAnsi="Book Antiqua"/>
        </w:rPr>
        <w:t xml:space="preserve"> Najvyššieho súdu a judikatúru</w:t>
      </w:r>
      <w:r>
        <w:rPr>
          <w:rFonts w:ascii="Book Antiqua" w:hAnsi="Book Antiqua"/>
          <w:b/>
        </w:rPr>
        <w:t xml:space="preserve"> </w:t>
      </w:r>
      <w:r>
        <w:rPr>
          <w:rFonts w:ascii="Book Antiqua" w:hAnsi="Book Antiqua"/>
        </w:rPr>
        <w:t xml:space="preserve">Ústavného súdu </w:t>
      </w:r>
      <w:r>
        <w:rPr>
          <w:rFonts w:ascii="Book Antiqua" w:hAnsi="Book Antiqua"/>
          <w:shd w:val="clear" w:color="auto" w:fill="FFFFFF"/>
        </w:rPr>
        <w:t xml:space="preserve">Slovenskej republiky vyplýva záver, že podaním obžaloby </w:t>
      </w:r>
      <w:r>
        <w:rPr>
          <w:rFonts w:ascii="Book Antiqua" w:hAnsi="Book Antiqua"/>
          <w:b/>
          <w:shd w:val="clear" w:color="auto" w:fill="FFFFFF"/>
        </w:rPr>
        <w:t>prieskum zákonnosti trestného stíhania</w:t>
      </w:r>
      <w:r>
        <w:rPr>
          <w:rFonts w:ascii="Book Antiqua" w:hAnsi="Book Antiqua"/>
          <w:shd w:val="clear" w:color="auto" w:fill="FFFFFF"/>
        </w:rPr>
        <w:t xml:space="preserve"> (vrátane prieskumu zákonnosti zadovážených dôkazov a priebehu prípravného konania) </w:t>
      </w:r>
      <w:r>
        <w:rPr>
          <w:rFonts w:ascii="Book Antiqua" w:hAnsi="Book Antiqua"/>
          <w:b/>
          <w:shd w:val="clear" w:color="auto" w:fill="FFFFFF"/>
        </w:rPr>
        <w:t>nezaniká, len sa presúva zo štádia prípravného konania do štádia konania pred súdom</w:t>
      </w:r>
      <w:r>
        <w:rPr>
          <w:rFonts w:ascii="Book Antiqua" w:hAnsi="Book Antiqua"/>
          <w:shd w:val="clear" w:color="auto" w:fill="FFFFFF"/>
        </w:rPr>
        <w:t xml:space="preserve">. Inými slovami, </w:t>
      </w:r>
      <w:r>
        <w:rPr>
          <w:rFonts w:ascii="Book Antiqua" w:hAnsi="Book Antiqua"/>
          <w:b/>
          <w:shd w:val="clear" w:color="auto" w:fill="FFFFFF"/>
        </w:rPr>
        <w:t>absenciou explicitného zdôvodnenia toho prečo žaloba spĺňa všetky náležitosti § 235</w:t>
      </w:r>
      <w:r>
        <w:rPr>
          <w:rFonts w:ascii="Book Antiqua" w:hAnsi="Book Antiqua"/>
          <w:shd w:val="clear" w:color="auto" w:fill="FFFFFF"/>
        </w:rPr>
        <w:t xml:space="preserve"> Trestného poriadku </w:t>
      </w:r>
      <w:r>
        <w:rPr>
          <w:rFonts w:ascii="Book Antiqua" w:hAnsi="Book Antiqua"/>
          <w:b/>
          <w:shd w:val="clear" w:color="auto" w:fill="FFFFFF"/>
        </w:rPr>
        <w:t>obvinený neutrpí ujmu na svojej podstate, pretože sa ochrana týchto práv podaním obžaloby zveruje do právomoci všeobecných súdov konajúcich vo viacerých inštanciách</w:t>
      </w:r>
      <w:r>
        <w:rPr>
          <w:rFonts w:ascii="Book Antiqua" w:hAnsi="Book Antiqua"/>
          <w:shd w:val="clear" w:color="auto" w:fill="FFFFFF"/>
        </w:rPr>
        <w:t xml:space="preserve">. </w:t>
      </w:r>
    </w:p>
    <w:p w14:paraId="3E3FD4FA" w14:textId="77777777" w:rsidR="00FB1EFE" w:rsidRDefault="00FB1EFE">
      <w:pPr>
        <w:ind w:firstLine="708"/>
        <w:jc w:val="both"/>
        <w:rPr>
          <w:rFonts w:ascii="Book Antiqua" w:hAnsi="Book Antiqua"/>
          <w:shd w:val="clear" w:color="auto" w:fill="FFFFFF"/>
        </w:rPr>
      </w:pPr>
    </w:p>
    <w:p w14:paraId="5ABDC6AD" w14:textId="77777777" w:rsidR="00FB1EFE" w:rsidRDefault="009B07DA">
      <w:pPr>
        <w:jc w:val="both"/>
        <w:rPr>
          <w:rFonts w:ascii="Book Antiqua" w:hAnsi="Book Antiqua" w:cs="Times New Roman"/>
          <w:b/>
        </w:rPr>
      </w:pPr>
      <w:r>
        <w:rPr>
          <w:rFonts w:ascii="Book Antiqua" w:hAnsi="Book Antiqua" w:cs="Times New Roman"/>
          <w:b/>
        </w:rPr>
        <w:t>K Čl. II</w:t>
      </w:r>
    </w:p>
    <w:p w14:paraId="3D7BB6DC" w14:textId="77777777" w:rsidR="00FB1EFE" w:rsidRDefault="009B07DA">
      <w:pPr>
        <w:jc w:val="both"/>
        <w:rPr>
          <w:rFonts w:ascii="Book Antiqua" w:hAnsi="Book Antiqua" w:cs="Times New Roman"/>
        </w:rPr>
      </w:pPr>
      <w:r>
        <w:rPr>
          <w:rFonts w:ascii="Book Antiqua" w:hAnsi="Book Antiqua" w:cs="Times New Roman"/>
        </w:rPr>
        <w:t xml:space="preserve">Navrhuje sa účinnosť predkladaného návrhu zákona, so zohľadnením potrebnej dĺžky </w:t>
      </w:r>
      <w:proofErr w:type="spellStart"/>
      <w:r>
        <w:rPr>
          <w:rFonts w:ascii="Book Antiqua" w:hAnsi="Book Antiqua" w:cs="Times New Roman"/>
        </w:rPr>
        <w:t>legisvakančnej</w:t>
      </w:r>
      <w:proofErr w:type="spellEnd"/>
      <w:r>
        <w:rPr>
          <w:rFonts w:ascii="Book Antiqua" w:hAnsi="Book Antiqua" w:cs="Times New Roman"/>
        </w:rPr>
        <w:t xml:space="preserve"> lehoty, na 1. októbra 2025.</w:t>
      </w:r>
    </w:p>
    <w:p w14:paraId="34214DBF" w14:textId="77777777" w:rsidR="00FB1EFE" w:rsidRDefault="00FB1EFE">
      <w:pPr>
        <w:jc w:val="both"/>
        <w:rPr>
          <w:rFonts w:ascii="Book Antiqua" w:hAnsi="Book Antiqua" w:cs="Times New Roman"/>
        </w:rPr>
      </w:pPr>
    </w:p>
    <w:p w14:paraId="17C7907F" w14:textId="77777777" w:rsidR="00FB1EFE" w:rsidRDefault="00FB1EFE">
      <w:pPr>
        <w:jc w:val="both"/>
        <w:rPr>
          <w:rFonts w:ascii="Book Antiqua" w:hAnsi="Book Antiqua" w:cs="Times New Roman"/>
        </w:rPr>
      </w:pPr>
    </w:p>
    <w:p w14:paraId="000CBE76" w14:textId="77777777" w:rsidR="00FB1EFE" w:rsidRDefault="00FB1EFE">
      <w:pPr>
        <w:spacing w:before="120"/>
        <w:rPr>
          <w:rFonts w:ascii="Book Antiqua" w:hAnsi="Book Antiqua" w:cs="Times New Roman"/>
        </w:rPr>
      </w:pPr>
    </w:p>
    <w:p w14:paraId="62F376CE" w14:textId="77777777" w:rsidR="00FB1EFE" w:rsidRDefault="00FB1EFE">
      <w:pPr>
        <w:spacing w:before="120"/>
        <w:rPr>
          <w:rFonts w:ascii="Book Antiqua" w:eastAsia="Times New Roman" w:hAnsi="Book Antiqua" w:cs="Times New Roman"/>
          <w:b/>
          <w:smallCaps/>
        </w:rPr>
      </w:pPr>
    </w:p>
    <w:p w14:paraId="1DB0EC6C" w14:textId="77777777" w:rsidR="00FB1EFE" w:rsidRDefault="00FB1EFE">
      <w:pPr>
        <w:spacing w:before="120"/>
        <w:rPr>
          <w:rFonts w:ascii="Book Antiqua" w:eastAsia="Times New Roman" w:hAnsi="Book Antiqua" w:cs="Times New Roman"/>
          <w:b/>
          <w:smallCaps/>
        </w:rPr>
      </w:pPr>
    </w:p>
    <w:p w14:paraId="42B8E25F" w14:textId="77777777" w:rsidR="00FB1EFE" w:rsidRDefault="00FB1EFE">
      <w:pPr>
        <w:spacing w:before="120"/>
        <w:rPr>
          <w:rFonts w:ascii="Book Antiqua" w:eastAsia="Times New Roman" w:hAnsi="Book Antiqua" w:cs="Times New Roman"/>
          <w:b/>
          <w:smallCaps/>
        </w:rPr>
      </w:pPr>
    </w:p>
    <w:p w14:paraId="7A74F023" w14:textId="77777777" w:rsidR="00FB1EFE" w:rsidRDefault="00FB1EFE">
      <w:pPr>
        <w:spacing w:before="120"/>
        <w:rPr>
          <w:rFonts w:ascii="Book Antiqua" w:eastAsia="Times New Roman" w:hAnsi="Book Antiqua" w:cs="Times New Roman"/>
          <w:b/>
          <w:smallCaps/>
        </w:rPr>
      </w:pPr>
    </w:p>
    <w:p w14:paraId="09061111" w14:textId="77777777" w:rsidR="00932F42" w:rsidRDefault="00932F42">
      <w:pPr>
        <w:spacing w:before="120"/>
        <w:jc w:val="center"/>
        <w:rPr>
          <w:rFonts w:ascii="Book Antiqua" w:eastAsia="Times New Roman" w:hAnsi="Book Antiqua" w:cs="Times New Roman"/>
          <w:b/>
          <w:smallCaps/>
        </w:rPr>
      </w:pPr>
      <w:r>
        <w:rPr>
          <w:rFonts w:ascii="Book Antiqua" w:eastAsia="Times New Roman" w:hAnsi="Book Antiqua" w:cs="Times New Roman"/>
          <w:b/>
          <w:smallCaps/>
        </w:rPr>
        <w:br w:type="page"/>
      </w:r>
    </w:p>
    <w:p w14:paraId="194CD259" w14:textId="39B8FE71" w:rsidR="00FB1EFE" w:rsidRDefault="009B07DA">
      <w:pPr>
        <w:spacing w:before="120"/>
        <w:jc w:val="center"/>
        <w:rPr>
          <w:rFonts w:ascii="Book Antiqua" w:eastAsia="Times New Roman" w:hAnsi="Book Antiqua" w:cs="Times New Roman"/>
          <w:b/>
          <w:smallCaps/>
        </w:rPr>
      </w:pPr>
      <w:r>
        <w:rPr>
          <w:rFonts w:ascii="Book Antiqua" w:eastAsia="Times New Roman" w:hAnsi="Book Antiqua" w:cs="Times New Roman"/>
          <w:b/>
          <w:smallCaps/>
        </w:rPr>
        <w:lastRenderedPageBreak/>
        <w:t>DOLOŽKA ZLUČITEĽNOSTI</w:t>
      </w:r>
    </w:p>
    <w:p w14:paraId="332E56CE" w14:textId="77777777" w:rsidR="00FB1EFE" w:rsidRDefault="009B07DA">
      <w:pPr>
        <w:spacing w:before="120" w:after="0"/>
        <w:jc w:val="center"/>
        <w:rPr>
          <w:rFonts w:ascii="Book Antiqua" w:eastAsia="Times New Roman" w:hAnsi="Book Antiqua" w:cs="Times New Roman"/>
        </w:rPr>
      </w:pPr>
      <w:r>
        <w:rPr>
          <w:rFonts w:ascii="Book Antiqua" w:eastAsia="Times New Roman" w:hAnsi="Book Antiqua" w:cs="Times New Roman"/>
          <w:b/>
        </w:rPr>
        <w:t>návrhu zákona</w:t>
      </w:r>
      <w:r>
        <w:rPr>
          <w:rFonts w:ascii="Book Antiqua" w:eastAsia="Times New Roman" w:hAnsi="Book Antiqua" w:cs="Times New Roman"/>
        </w:rPr>
        <w:t xml:space="preserve"> </w:t>
      </w:r>
      <w:r>
        <w:rPr>
          <w:rFonts w:ascii="Book Antiqua" w:eastAsia="Times New Roman" w:hAnsi="Book Antiqua" w:cs="Times New Roman"/>
          <w:b/>
        </w:rPr>
        <w:t>s právom Európskej únie</w:t>
      </w:r>
    </w:p>
    <w:p w14:paraId="13C4F8B3" w14:textId="77777777" w:rsidR="00FB1EFE" w:rsidRDefault="009B07DA">
      <w:pPr>
        <w:spacing w:before="120" w:after="0"/>
        <w:jc w:val="both"/>
        <w:rPr>
          <w:rFonts w:ascii="Book Antiqua" w:eastAsia="Times New Roman" w:hAnsi="Book Antiqua" w:cs="Times New Roman"/>
        </w:rPr>
      </w:pPr>
      <w:r>
        <w:rPr>
          <w:rFonts w:ascii="Book Antiqua" w:eastAsia="Times New Roman" w:hAnsi="Book Antiqua" w:cs="Times New Roman"/>
        </w:rPr>
        <w:t> </w:t>
      </w:r>
    </w:p>
    <w:p w14:paraId="02CE176D" w14:textId="77777777" w:rsidR="00FB1EFE" w:rsidRDefault="009B07DA">
      <w:pPr>
        <w:spacing w:before="120" w:after="0"/>
        <w:jc w:val="both"/>
        <w:rPr>
          <w:rFonts w:ascii="Book Antiqua" w:hAnsi="Book Antiqua" w:cs="Times New Roman"/>
        </w:rPr>
      </w:pPr>
      <w:r>
        <w:rPr>
          <w:rFonts w:ascii="Book Antiqua" w:eastAsia="Times New Roman" w:hAnsi="Book Antiqua" w:cs="Times New Roman"/>
          <w:b/>
        </w:rPr>
        <w:t>1. Navrhovateľ zákona:</w:t>
      </w:r>
      <w:r>
        <w:rPr>
          <w:rFonts w:ascii="Book Antiqua" w:eastAsia="Times New Roman" w:hAnsi="Book Antiqua" w:cs="Times New Roman"/>
        </w:rPr>
        <w:t xml:space="preserve"> skupina poslancov Národnej rady Slovenskej republiky </w:t>
      </w:r>
    </w:p>
    <w:p w14:paraId="3ED85F2B" w14:textId="77777777" w:rsidR="00FB1EFE" w:rsidRDefault="00FB1EFE">
      <w:pPr>
        <w:spacing w:before="120" w:after="0"/>
        <w:jc w:val="both"/>
        <w:rPr>
          <w:rFonts w:ascii="Book Antiqua" w:eastAsia="Times New Roman" w:hAnsi="Book Antiqua" w:cs="Times New Roman"/>
        </w:rPr>
      </w:pPr>
    </w:p>
    <w:p w14:paraId="4343F5C7" w14:textId="76602C94" w:rsidR="00FB1EFE" w:rsidRDefault="009B07DA">
      <w:pPr>
        <w:pStyle w:val="Zkladntext2"/>
        <w:jc w:val="both"/>
        <w:rPr>
          <w:rFonts w:ascii="Book Antiqua" w:hAnsi="Book Antiqua"/>
          <w:sz w:val="22"/>
          <w:szCs w:val="22"/>
        </w:rPr>
      </w:pPr>
      <w:r>
        <w:rPr>
          <w:rFonts w:ascii="Book Antiqua" w:hAnsi="Book Antiqua"/>
          <w:b/>
          <w:sz w:val="22"/>
          <w:szCs w:val="22"/>
        </w:rPr>
        <w:t>2. Názov návrhu zákona:</w:t>
      </w:r>
      <w:r>
        <w:rPr>
          <w:rFonts w:ascii="Book Antiqua" w:hAnsi="Book Antiqua"/>
          <w:sz w:val="22"/>
          <w:szCs w:val="22"/>
        </w:rPr>
        <w:t xml:space="preserve"> </w:t>
      </w:r>
      <w:r w:rsidR="007540BD">
        <w:rPr>
          <w:rFonts w:ascii="Book Antiqua" w:hAnsi="Book Antiqua"/>
          <w:sz w:val="22"/>
          <w:szCs w:val="22"/>
        </w:rPr>
        <w:t>n</w:t>
      </w:r>
      <w:r>
        <w:rPr>
          <w:rFonts w:ascii="Book Antiqua" w:hAnsi="Book Antiqua"/>
          <w:sz w:val="22"/>
          <w:szCs w:val="22"/>
        </w:rPr>
        <w:t xml:space="preserve">ávrh zákona, ktorým sa </w:t>
      </w:r>
      <w:r>
        <w:rPr>
          <w:rFonts w:ascii="Book Antiqua" w:hAnsi="Book Antiqua"/>
          <w:sz w:val="22"/>
          <w:szCs w:val="22"/>
          <w:shd w:val="clear" w:color="auto" w:fill="FFFFFF"/>
        </w:rPr>
        <w:t>mení zákon č. 301/2005 Z. z.  Trestný poriadok v znení neskorších predpisov</w:t>
      </w:r>
    </w:p>
    <w:p w14:paraId="4FA5FD68" w14:textId="77777777" w:rsidR="00FB1EFE" w:rsidRDefault="00FB1EFE">
      <w:pPr>
        <w:spacing w:before="120" w:after="0" w:line="252" w:lineRule="auto"/>
        <w:rPr>
          <w:rFonts w:ascii="Book Antiqua" w:hAnsi="Book Antiqua" w:cs="Times New Roman"/>
          <w:b/>
        </w:rPr>
      </w:pPr>
    </w:p>
    <w:p w14:paraId="5F60AA74" w14:textId="77777777" w:rsidR="00FB1EFE" w:rsidRDefault="00FB1EFE">
      <w:pPr>
        <w:jc w:val="both"/>
        <w:rPr>
          <w:rFonts w:ascii="Book Antiqua" w:eastAsia="Times New Roman" w:hAnsi="Book Antiqua" w:cs="Times New Roman"/>
          <w:b/>
        </w:rPr>
      </w:pPr>
    </w:p>
    <w:p w14:paraId="1FF1114E" w14:textId="77777777" w:rsidR="00FB1EFE" w:rsidRDefault="009B07DA">
      <w:pPr>
        <w:pStyle w:val="Normlnywebov"/>
        <w:spacing w:before="120" w:after="0"/>
        <w:jc w:val="both"/>
        <w:rPr>
          <w:rFonts w:ascii="Book Antiqua" w:hAnsi="Book Antiqua"/>
          <w:sz w:val="22"/>
          <w:szCs w:val="22"/>
        </w:rPr>
      </w:pPr>
      <w:r>
        <w:rPr>
          <w:rFonts w:ascii="Book Antiqua" w:hAnsi="Book Antiqua"/>
          <w:b/>
          <w:sz w:val="22"/>
          <w:szCs w:val="22"/>
        </w:rPr>
        <w:t xml:space="preserve">3. </w:t>
      </w:r>
      <w:r>
        <w:rPr>
          <w:rFonts w:ascii="Book Antiqua" w:hAnsi="Book Antiqua" w:cs="Book Antiqua"/>
          <w:b/>
          <w:bCs/>
          <w:sz w:val="22"/>
          <w:szCs w:val="22"/>
        </w:rPr>
        <w:t>Predmet návrhu zákona:</w:t>
      </w:r>
    </w:p>
    <w:p w14:paraId="7E31A603" w14:textId="77777777" w:rsidR="00FB1EFE" w:rsidRDefault="009B07DA">
      <w:pPr>
        <w:pStyle w:val="Vchodzie"/>
        <w:numPr>
          <w:ilvl w:val="0"/>
          <w:numId w:val="2"/>
        </w:numPr>
        <w:spacing w:before="120" w:after="200" w:line="276" w:lineRule="auto"/>
        <w:jc w:val="both"/>
        <w:rPr>
          <w:rFonts w:ascii="Book Antiqua" w:hAnsi="Book Antiqua"/>
          <w:sz w:val="22"/>
          <w:szCs w:val="22"/>
        </w:rPr>
      </w:pPr>
      <w:r>
        <w:rPr>
          <w:rFonts w:ascii="Book Antiqua" w:hAnsi="Book Antiqua"/>
          <w:sz w:val="22"/>
          <w:szCs w:val="22"/>
        </w:rPr>
        <w:t>nie je upravený v primárnom práve Európskej únie,</w:t>
      </w:r>
    </w:p>
    <w:p w14:paraId="51BAC8A2" w14:textId="77777777" w:rsidR="00FB1EFE" w:rsidRDefault="009B07DA">
      <w:pPr>
        <w:pStyle w:val="Normlnywebov"/>
        <w:numPr>
          <w:ilvl w:val="0"/>
          <w:numId w:val="2"/>
        </w:numPr>
        <w:spacing w:before="120" w:beforeAutospacing="0" w:after="0" w:afterAutospacing="0"/>
        <w:jc w:val="both"/>
        <w:rPr>
          <w:rFonts w:ascii="Book Antiqua" w:hAnsi="Book Antiqua"/>
          <w:sz w:val="22"/>
          <w:szCs w:val="22"/>
        </w:rPr>
      </w:pPr>
      <w:r>
        <w:rPr>
          <w:rFonts w:ascii="Book Antiqua" w:hAnsi="Book Antiqua"/>
          <w:sz w:val="22"/>
          <w:szCs w:val="22"/>
        </w:rPr>
        <w:t>nie</w:t>
      </w:r>
      <w:r>
        <w:rPr>
          <w:rFonts w:ascii="Book Antiqua" w:hAnsi="Book Antiqua" w:cs="Book Antiqua"/>
          <w:sz w:val="22"/>
          <w:szCs w:val="22"/>
        </w:rPr>
        <w:t xml:space="preserve"> je upravený v sekundárnom práve Európskej únie, </w:t>
      </w:r>
    </w:p>
    <w:p w14:paraId="05AFDF53" w14:textId="77777777" w:rsidR="00FB1EFE" w:rsidRDefault="009B07DA">
      <w:pPr>
        <w:pStyle w:val="Normlnywebov"/>
        <w:numPr>
          <w:ilvl w:val="0"/>
          <w:numId w:val="2"/>
        </w:numPr>
        <w:spacing w:before="120" w:beforeAutospacing="0" w:after="0" w:afterAutospacing="0"/>
        <w:jc w:val="both"/>
        <w:rPr>
          <w:rFonts w:ascii="Book Antiqua" w:hAnsi="Book Antiqua"/>
          <w:sz w:val="22"/>
          <w:szCs w:val="22"/>
        </w:rPr>
      </w:pPr>
      <w:r>
        <w:rPr>
          <w:rFonts w:ascii="Book Antiqua" w:hAnsi="Book Antiqua"/>
          <w:sz w:val="22"/>
          <w:szCs w:val="22"/>
        </w:rPr>
        <w:t>nie</w:t>
      </w:r>
      <w:r>
        <w:rPr>
          <w:rFonts w:ascii="Book Antiqua" w:hAnsi="Book Antiqua" w:cs="Book Antiqua"/>
          <w:sz w:val="22"/>
          <w:szCs w:val="22"/>
        </w:rPr>
        <w:t xml:space="preserve"> je obsiahnutý v judikatúre Súdneho dvora Európskej únie.</w:t>
      </w:r>
    </w:p>
    <w:p w14:paraId="471718EB" w14:textId="77777777" w:rsidR="00FB1EFE" w:rsidRDefault="00FB1EFE">
      <w:pPr>
        <w:pStyle w:val="Normlnywebov"/>
        <w:spacing w:before="120" w:after="0"/>
        <w:ind w:left="720"/>
        <w:jc w:val="both"/>
        <w:rPr>
          <w:rFonts w:ascii="Book Antiqua" w:hAnsi="Book Antiqua" w:cs="Book Antiqua"/>
          <w:sz w:val="22"/>
          <w:szCs w:val="22"/>
        </w:rPr>
      </w:pPr>
    </w:p>
    <w:p w14:paraId="5C23B7D3" w14:textId="77777777" w:rsidR="00FB1EFE" w:rsidRDefault="009B07DA">
      <w:pPr>
        <w:pStyle w:val="Normlnywebov"/>
        <w:spacing w:before="120" w:after="0"/>
        <w:jc w:val="both"/>
        <w:rPr>
          <w:rFonts w:ascii="Book Antiqua" w:hAnsi="Book Antiqua"/>
          <w:sz w:val="22"/>
          <w:szCs w:val="22"/>
        </w:rPr>
      </w:pPr>
      <w:r>
        <w:rPr>
          <w:rFonts w:ascii="Book Antiqua" w:hAnsi="Book Antiqua" w:cs="Book Antiqua"/>
          <w:sz w:val="22"/>
          <w:szCs w:val="22"/>
        </w:rPr>
        <w:t>Vzhľadom na to, že predmet návrhu zákona nie je upravený v práve Európskej únie, je bezpredmetné vyjadrovať sa k bodom 4. a 5.</w:t>
      </w:r>
    </w:p>
    <w:p w14:paraId="48607124" w14:textId="77777777" w:rsidR="00FB1EFE" w:rsidRDefault="00FB1EFE">
      <w:pPr>
        <w:spacing w:before="120"/>
        <w:jc w:val="both"/>
        <w:rPr>
          <w:rFonts w:ascii="Book Antiqua" w:eastAsia="Times New Roman" w:hAnsi="Book Antiqua" w:cs="Times New Roman"/>
          <w:b/>
          <w:smallCaps/>
        </w:rPr>
      </w:pPr>
    </w:p>
    <w:p w14:paraId="36E16099" w14:textId="77777777" w:rsidR="00FB1EFE" w:rsidRDefault="00FB1EFE">
      <w:pPr>
        <w:spacing w:before="120"/>
        <w:jc w:val="center"/>
        <w:rPr>
          <w:rFonts w:ascii="Book Antiqua" w:eastAsia="Times New Roman" w:hAnsi="Book Antiqua" w:cs="Times New Roman"/>
          <w:b/>
          <w:smallCaps/>
        </w:rPr>
      </w:pPr>
    </w:p>
    <w:p w14:paraId="10DAC73B" w14:textId="77777777" w:rsidR="00FB1EFE" w:rsidRDefault="00FB1EFE">
      <w:pPr>
        <w:spacing w:before="120"/>
        <w:rPr>
          <w:rFonts w:ascii="Book Antiqua" w:eastAsia="Times New Roman" w:hAnsi="Book Antiqua" w:cs="Times New Roman"/>
          <w:b/>
          <w:smallCaps/>
        </w:rPr>
      </w:pPr>
    </w:p>
    <w:p w14:paraId="1B48E6E1" w14:textId="77777777" w:rsidR="00FB1EFE" w:rsidRDefault="00FB1EFE">
      <w:pPr>
        <w:spacing w:before="120"/>
        <w:rPr>
          <w:rFonts w:ascii="Book Antiqua" w:eastAsia="Times New Roman" w:hAnsi="Book Antiqua" w:cs="Times New Roman"/>
          <w:b/>
          <w:smallCaps/>
        </w:rPr>
      </w:pPr>
    </w:p>
    <w:p w14:paraId="3870F28C" w14:textId="77777777" w:rsidR="00FB1EFE" w:rsidRDefault="00FB1EFE">
      <w:pPr>
        <w:spacing w:before="120"/>
        <w:rPr>
          <w:rFonts w:ascii="Book Antiqua" w:eastAsia="Times New Roman" w:hAnsi="Book Antiqua" w:cs="Times New Roman"/>
          <w:b/>
          <w:smallCaps/>
        </w:rPr>
      </w:pPr>
    </w:p>
    <w:p w14:paraId="3CF6EE10" w14:textId="77777777" w:rsidR="00FB1EFE" w:rsidRDefault="00FB1EFE">
      <w:pPr>
        <w:spacing w:before="120"/>
        <w:rPr>
          <w:rFonts w:ascii="Book Antiqua" w:eastAsia="Times New Roman" w:hAnsi="Book Antiqua" w:cs="Times New Roman"/>
          <w:b/>
          <w:smallCaps/>
        </w:rPr>
      </w:pPr>
    </w:p>
    <w:p w14:paraId="6F5EA7D2" w14:textId="77777777" w:rsidR="00FB1EFE" w:rsidRDefault="00FB1EFE">
      <w:pPr>
        <w:spacing w:before="120"/>
        <w:rPr>
          <w:rFonts w:ascii="Book Antiqua" w:eastAsia="Times New Roman" w:hAnsi="Book Antiqua" w:cs="Times New Roman"/>
          <w:b/>
          <w:smallCaps/>
        </w:rPr>
      </w:pPr>
    </w:p>
    <w:p w14:paraId="7FD02939" w14:textId="77777777" w:rsidR="00FB1EFE" w:rsidRDefault="00FB1EFE">
      <w:pPr>
        <w:spacing w:before="120"/>
        <w:rPr>
          <w:rFonts w:ascii="Book Antiqua" w:eastAsia="Times New Roman" w:hAnsi="Book Antiqua" w:cs="Times New Roman"/>
          <w:b/>
          <w:smallCaps/>
        </w:rPr>
      </w:pPr>
    </w:p>
    <w:p w14:paraId="44C0E8FB" w14:textId="77777777" w:rsidR="00FB1EFE" w:rsidRDefault="00FB1EFE">
      <w:pPr>
        <w:spacing w:before="120"/>
        <w:rPr>
          <w:rFonts w:ascii="Book Antiqua" w:eastAsia="Times New Roman" w:hAnsi="Book Antiqua" w:cs="Times New Roman"/>
          <w:b/>
          <w:smallCaps/>
        </w:rPr>
      </w:pPr>
    </w:p>
    <w:p w14:paraId="15B46868" w14:textId="77777777" w:rsidR="00FB1EFE" w:rsidRDefault="00FB1EFE">
      <w:pPr>
        <w:spacing w:before="120"/>
        <w:rPr>
          <w:rFonts w:ascii="Book Antiqua" w:eastAsia="Times New Roman" w:hAnsi="Book Antiqua" w:cs="Times New Roman"/>
          <w:b/>
          <w:smallCaps/>
        </w:rPr>
      </w:pPr>
    </w:p>
    <w:p w14:paraId="16E50BCB" w14:textId="77777777" w:rsidR="00FB1EFE" w:rsidRDefault="00FB1EFE">
      <w:pPr>
        <w:spacing w:before="120"/>
        <w:rPr>
          <w:rFonts w:ascii="Book Antiqua" w:eastAsia="Times New Roman" w:hAnsi="Book Antiqua" w:cs="Times New Roman"/>
          <w:b/>
          <w:smallCaps/>
        </w:rPr>
      </w:pPr>
    </w:p>
    <w:p w14:paraId="3607A47C" w14:textId="77777777" w:rsidR="00FB1EFE" w:rsidRDefault="00FB1EFE">
      <w:pPr>
        <w:spacing w:before="120"/>
        <w:rPr>
          <w:rFonts w:ascii="Book Antiqua" w:eastAsia="Times New Roman" w:hAnsi="Book Antiqua" w:cs="Times New Roman"/>
          <w:b/>
          <w:smallCaps/>
        </w:rPr>
      </w:pPr>
    </w:p>
    <w:p w14:paraId="7B1202CE" w14:textId="77777777" w:rsidR="00FB1EFE" w:rsidRDefault="00FB1EFE">
      <w:pPr>
        <w:spacing w:before="120"/>
        <w:rPr>
          <w:rFonts w:ascii="Book Antiqua" w:eastAsia="Times New Roman" w:hAnsi="Book Antiqua" w:cs="Times New Roman"/>
          <w:b/>
          <w:smallCaps/>
        </w:rPr>
      </w:pPr>
    </w:p>
    <w:p w14:paraId="4475B6EC" w14:textId="77777777" w:rsidR="00FB1EFE" w:rsidRDefault="00FB1EFE">
      <w:pPr>
        <w:spacing w:before="120"/>
        <w:jc w:val="center"/>
        <w:rPr>
          <w:rFonts w:ascii="Book Antiqua" w:eastAsia="Times New Roman" w:hAnsi="Book Antiqua" w:cs="Times New Roman"/>
          <w:b/>
          <w:smallCaps/>
        </w:rPr>
      </w:pPr>
    </w:p>
    <w:p w14:paraId="1316D70C" w14:textId="77777777" w:rsidR="00FB1EFE" w:rsidRDefault="00FB1EFE">
      <w:pPr>
        <w:spacing w:before="120"/>
        <w:jc w:val="center"/>
        <w:rPr>
          <w:rFonts w:ascii="Book Antiqua" w:eastAsia="Times New Roman" w:hAnsi="Book Antiqua" w:cs="Times New Roman"/>
          <w:b/>
          <w:smallCaps/>
        </w:rPr>
      </w:pPr>
    </w:p>
    <w:p w14:paraId="353F886B" w14:textId="77777777" w:rsidR="00FB1EFE" w:rsidRDefault="009B07DA">
      <w:pPr>
        <w:spacing w:after="0" w:line="240" w:lineRule="auto"/>
        <w:jc w:val="center"/>
        <w:rPr>
          <w:rFonts w:ascii="Book Antiqua" w:eastAsia="Times New Roman" w:hAnsi="Book Antiqua" w:cs="Times New Roman"/>
          <w:b/>
          <w:lang w:eastAsia="sk-SK"/>
        </w:rPr>
      </w:pPr>
      <w:r>
        <w:rPr>
          <w:rFonts w:ascii="Book Antiqua" w:eastAsia="Times New Roman" w:hAnsi="Book Antiqua" w:cs="Times New Roman"/>
          <w:b/>
          <w:lang w:eastAsia="sk-SK"/>
        </w:rPr>
        <w:lastRenderedPageBreak/>
        <w:t>Doložka vybraných vplyvov</w:t>
      </w:r>
    </w:p>
    <w:p w14:paraId="61613D5F" w14:textId="77777777" w:rsidR="00FB1EFE" w:rsidRDefault="00FB1EFE">
      <w:pPr>
        <w:spacing w:after="200" w:line="276" w:lineRule="auto"/>
        <w:ind w:left="426"/>
        <w:contextualSpacing/>
        <w:rPr>
          <w:rFonts w:ascii="Book Antiqua" w:eastAsia="Times New Roman" w:hAnsi="Book Antiqua" w:cs="Times New Roman"/>
          <w:b/>
          <w:sz w:val="20"/>
          <w:szCs w:val="20"/>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FB1EFE" w14:paraId="3E34F33C" w14:textId="77777777">
        <w:tc>
          <w:tcPr>
            <w:tcW w:w="9180" w:type="dxa"/>
            <w:gridSpan w:val="9"/>
            <w:tcBorders>
              <w:bottom w:val="single" w:sz="4" w:space="0" w:color="FFFFFF"/>
            </w:tcBorders>
            <w:shd w:val="clear" w:color="auto" w:fill="E2E2E2"/>
          </w:tcPr>
          <w:p w14:paraId="6A7C50CF" w14:textId="77777777" w:rsidR="00FB1EFE" w:rsidRDefault="009B07DA">
            <w:pPr>
              <w:numPr>
                <w:ilvl w:val="0"/>
                <w:numId w:val="3"/>
              </w:numPr>
              <w:spacing w:after="0" w:line="240" w:lineRule="auto"/>
              <w:ind w:left="426"/>
              <w:contextualSpacing/>
              <w:rPr>
                <w:rFonts w:ascii="Book Antiqua" w:hAnsi="Book Antiqua"/>
                <w:b/>
                <w:sz w:val="20"/>
                <w:szCs w:val="20"/>
              </w:rPr>
            </w:pPr>
            <w:r>
              <w:rPr>
                <w:rFonts w:ascii="Book Antiqua" w:hAnsi="Book Antiqua"/>
                <w:b/>
                <w:sz w:val="20"/>
                <w:szCs w:val="20"/>
              </w:rPr>
              <w:t>Základné údaje</w:t>
            </w:r>
          </w:p>
        </w:tc>
      </w:tr>
      <w:tr w:rsidR="00FB1EFE" w14:paraId="6BBBC79A" w14:textId="77777777">
        <w:tc>
          <w:tcPr>
            <w:tcW w:w="9180" w:type="dxa"/>
            <w:gridSpan w:val="9"/>
            <w:tcBorders>
              <w:bottom w:val="single" w:sz="4" w:space="0" w:color="FFFFFF"/>
            </w:tcBorders>
            <w:shd w:val="clear" w:color="auto" w:fill="E2E2E2"/>
          </w:tcPr>
          <w:p w14:paraId="10641D11" w14:textId="77777777" w:rsidR="00FB1EFE" w:rsidRDefault="009B07DA">
            <w:pPr>
              <w:spacing w:after="200" w:line="276" w:lineRule="auto"/>
              <w:contextualSpacing/>
              <w:rPr>
                <w:rFonts w:ascii="Book Antiqua" w:hAnsi="Book Antiqua"/>
                <w:b/>
                <w:sz w:val="20"/>
                <w:szCs w:val="20"/>
              </w:rPr>
            </w:pPr>
            <w:r>
              <w:rPr>
                <w:rFonts w:ascii="Book Antiqua" w:hAnsi="Book Antiqua"/>
                <w:b/>
                <w:sz w:val="20"/>
                <w:szCs w:val="20"/>
              </w:rPr>
              <w:t>Názov návrhu zákona</w:t>
            </w:r>
          </w:p>
        </w:tc>
      </w:tr>
      <w:tr w:rsidR="00FB1EFE" w14:paraId="7F279886" w14:textId="77777777">
        <w:tc>
          <w:tcPr>
            <w:tcW w:w="9180" w:type="dxa"/>
            <w:gridSpan w:val="9"/>
            <w:tcBorders>
              <w:top w:val="single" w:sz="4" w:space="0" w:color="FFFFFF"/>
            </w:tcBorders>
          </w:tcPr>
          <w:p w14:paraId="1DE54227" w14:textId="5EBE3E38" w:rsidR="00FB1EFE" w:rsidRDefault="007540BD">
            <w:pPr>
              <w:spacing w:after="200" w:line="276" w:lineRule="auto"/>
              <w:jc w:val="both"/>
              <w:rPr>
                <w:rFonts w:ascii="Book Antiqua" w:hAnsi="Book Antiqua"/>
                <w:sz w:val="20"/>
                <w:szCs w:val="20"/>
                <w:lang w:eastAsia="sk-SK"/>
              </w:rPr>
            </w:pPr>
            <w:r>
              <w:rPr>
                <w:rFonts w:ascii="Book Antiqua" w:hAnsi="Book Antiqua"/>
                <w:sz w:val="20"/>
                <w:szCs w:val="20"/>
              </w:rPr>
              <w:t xml:space="preserve">Návrh zákona, </w:t>
            </w:r>
            <w:r w:rsidR="009B07DA">
              <w:rPr>
                <w:rFonts w:ascii="Book Antiqua" w:hAnsi="Book Antiqua"/>
                <w:sz w:val="20"/>
                <w:szCs w:val="20"/>
              </w:rPr>
              <w:t>ktorým sa mení zákon č. 301/2005 Z. z.  Trestný poriadok v znení neskorších predpisov</w:t>
            </w:r>
          </w:p>
        </w:tc>
      </w:tr>
      <w:tr w:rsidR="00FB1EFE" w14:paraId="55F28905" w14:textId="77777777">
        <w:tc>
          <w:tcPr>
            <w:tcW w:w="9180" w:type="dxa"/>
            <w:gridSpan w:val="9"/>
            <w:tcBorders>
              <w:bottom w:val="single" w:sz="4" w:space="0" w:color="FFFFFF"/>
            </w:tcBorders>
            <w:shd w:val="clear" w:color="auto" w:fill="E2E2E2"/>
          </w:tcPr>
          <w:p w14:paraId="2D133C06" w14:textId="77777777" w:rsidR="00FB1EFE" w:rsidRDefault="009B07DA">
            <w:pPr>
              <w:spacing w:after="200" w:line="276" w:lineRule="auto"/>
              <w:ind w:left="142"/>
              <w:contextualSpacing/>
              <w:rPr>
                <w:rFonts w:ascii="Book Antiqua" w:hAnsi="Book Antiqua"/>
                <w:b/>
                <w:sz w:val="20"/>
                <w:szCs w:val="20"/>
              </w:rPr>
            </w:pPr>
            <w:r>
              <w:rPr>
                <w:rFonts w:ascii="Book Antiqua" w:hAnsi="Book Antiqua"/>
                <w:b/>
                <w:sz w:val="20"/>
                <w:szCs w:val="20"/>
              </w:rPr>
              <w:t xml:space="preserve">Navrhovateľ (a </w:t>
            </w:r>
            <w:proofErr w:type="spellStart"/>
            <w:r>
              <w:rPr>
                <w:rFonts w:ascii="Book Antiqua" w:hAnsi="Book Antiqua"/>
                <w:b/>
                <w:sz w:val="20"/>
                <w:szCs w:val="20"/>
              </w:rPr>
              <w:t>spolunavrhovatelia</w:t>
            </w:r>
            <w:proofErr w:type="spellEnd"/>
            <w:r>
              <w:rPr>
                <w:rFonts w:ascii="Book Antiqua" w:hAnsi="Book Antiqua"/>
                <w:b/>
                <w:sz w:val="20"/>
                <w:szCs w:val="20"/>
              </w:rPr>
              <w:t>)</w:t>
            </w:r>
          </w:p>
        </w:tc>
      </w:tr>
      <w:tr w:rsidR="00FB1EFE" w14:paraId="385EA22D" w14:textId="77777777">
        <w:tc>
          <w:tcPr>
            <w:tcW w:w="9180" w:type="dxa"/>
            <w:gridSpan w:val="9"/>
            <w:tcBorders>
              <w:top w:val="single" w:sz="4" w:space="0" w:color="FFFFFF"/>
            </w:tcBorders>
            <w:shd w:val="clear" w:color="auto" w:fill="FFFFFF"/>
          </w:tcPr>
          <w:p w14:paraId="547F72A9" w14:textId="77777777" w:rsidR="00FB1EFE" w:rsidRDefault="009B07DA">
            <w:pPr>
              <w:suppressAutoHyphens/>
              <w:spacing w:before="120" w:after="0" w:line="276" w:lineRule="auto"/>
              <w:jc w:val="both"/>
              <w:rPr>
                <w:rFonts w:ascii="Book Antiqua" w:hAnsi="Book Antiqua"/>
                <w:sz w:val="20"/>
                <w:szCs w:val="20"/>
                <w:lang w:eastAsia="ar-SA"/>
              </w:rPr>
            </w:pPr>
            <w:r>
              <w:rPr>
                <w:rFonts w:ascii="Book Antiqua" w:hAnsi="Book Antiqua"/>
                <w:sz w:val="20"/>
                <w:szCs w:val="20"/>
                <w:lang w:eastAsia="ar-SA"/>
              </w:rPr>
              <w:t>Skupina</w:t>
            </w:r>
            <w:r>
              <w:rPr>
                <w:rFonts w:ascii="Book Antiqua" w:hAnsi="Book Antiqua"/>
                <w:b/>
                <w:bCs/>
                <w:sz w:val="20"/>
                <w:szCs w:val="20"/>
                <w:lang w:eastAsia="ar-SA"/>
              </w:rPr>
              <w:t xml:space="preserve"> </w:t>
            </w:r>
            <w:r>
              <w:rPr>
                <w:rFonts w:ascii="Book Antiqua" w:hAnsi="Book Antiqua"/>
                <w:sz w:val="20"/>
                <w:szCs w:val="20"/>
                <w:lang w:eastAsia="ar-SA"/>
              </w:rPr>
              <w:t xml:space="preserve">poslancov Národnej rady Slovenskej republiky </w:t>
            </w:r>
          </w:p>
        </w:tc>
      </w:tr>
      <w:tr w:rsidR="00FB1EFE" w14:paraId="53ACFB05" w14:textId="77777777">
        <w:tc>
          <w:tcPr>
            <w:tcW w:w="9180" w:type="dxa"/>
            <w:gridSpan w:val="9"/>
            <w:tcBorders>
              <w:left w:val="nil"/>
              <w:right w:val="nil"/>
            </w:tcBorders>
            <w:shd w:val="clear" w:color="auto" w:fill="FFFFFF"/>
          </w:tcPr>
          <w:p w14:paraId="21805797" w14:textId="77777777" w:rsidR="00FB1EFE" w:rsidRDefault="00FB1EFE">
            <w:pPr>
              <w:spacing w:after="200" w:line="276" w:lineRule="auto"/>
              <w:rPr>
                <w:rFonts w:ascii="Book Antiqua" w:hAnsi="Book Antiqua"/>
                <w:sz w:val="20"/>
                <w:szCs w:val="20"/>
                <w:lang w:eastAsia="sk-SK"/>
              </w:rPr>
            </w:pPr>
          </w:p>
        </w:tc>
      </w:tr>
      <w:tr w:rsidR="00FB1EFE" w14:paraId="21A1BE8F" w14:textId="77777777">
        <w:tc>
          <w:tcPr>
            <w:tcW w:w="9180" w:type="dxa"/>
            <w:gridSpan w:val="9"/>
            <w:tcBorders>
              <w:bottom w:val="single" w:sz="4" w:space="0" w:color="FFFFFF"/>
            </w:tcBorders>
            <w:shd w:val="clear" w:color="auto" w:fill="E2E2E2"/>
          </w:tcPr>
          <w:p w14:paraId="2E26CD61" w14:textId="77777777" w:rsidR="00FB1EFE" w:rsidRDefault="009B07DA">
            <w:pPr>
              <w:numPr>
                <w:ilvl w:val="0"/>
                <w:numId w:val="3"/>
              </w:numPr>
              <w:spacing w:after="0" w:line="240" w:lineRule="auto"/>
              <w:ind w:left="426"/>
              <w:contextualSpacing/>
              <w:rPr>
                <w:rFonts w:ascii="Book Antiqua" w:hAnsi="Book Antiqua"/>
                <w:b/>
                <w:sz w:val="20"/>
                <w:szCs w:val="20"/>
              </w:rPr>
            </w:pPr>
            <w:r>
              <w:rPr>
                <w:rFonts w:ascii="Book Antiqua" w:hAnsi="Book Antiqua"/>
                <w:b/>
                <w:sz w:val="20"/>
                <w:szCs w:val="20"/>
              </w:rPr>
              <w:t>Definovanie problému</w:t>
            </w:r>
          </w:p>
        </w:tc>
      </w:tr>
      <w:tr w:rsidR="00FB1EFE" w14:paraId="334EB81A" w14:textId="77777777">
        <w:trPr>
          <w:trHeight w:val="718"/>
        </w:trPr>
        <w:tc>
          <w:tcPr>
            <w:tcW w:w="9180" w:type="dxa"/>
            <w:gridSpan w:val="9"/>
            <w:tcBorders>
              <w:top w:val="single" w:sz="4" w:space="0" w:color="FFFFFF"/>
            </w:tcBorders>
            <w:shd w:val="clear" w:color="auto" w:fill="FFFFFF"/>
          </w:tcPr>
          <w:p w14:paraId="55182FE4" w14:textId="77777777" w:rsidR="00FB1EFE" w:rsidRDefault="009B07DA">
            <w:pPr>
              <w:spacing w:after="200" w:line="276" w:lineRule="auto"/>
              <w:jc w:val="both"/>
              <w:rPr>
                <w:rFonts w:ascii="Book Antiqua" w:hAnsi="Book Antiqua"/>
                <w:i/>
                <w:sz w:val="20"/>
                <w:szCs w:val="20"/>
                <w:lang w:eastAsia="sk-SK"/>
              </w:rPr>
            </w:pPr>
            <w:r>
              <w:rPr>
                <w:rFonts w:ascii="Book Antiqua" w:hAnsi="Book Antiqua"/>
                <w:i/>
                <w:sz w:val="20"/>
                <w:szCs w:val="20"/>
                <w:lang w:eastAsia="sk-SK"/>
              </w:rPr>
              <w:t>Uveďte základné problémy, ktoré sú dôvodom vypracovania predkladaného materiálu (dôvody majú presne poukázať na problém, ktorý existuje a je nutné ho predloženým materiálom riešiť).</w:t>
            </w:r>
          </w:p>
          <w:p w14:paraId="1BF223A8" w14:textId="77777777" w:rsidR="00FB1EFE" w:rsidRDefault="009B07DA">
            <w:pPr>
              <w:spacing w:after="200" w:line="276" w:lineRule="auto"/>
              <w:jc w:val="both"/>
              <w:rPr>
                <w:rFonts w:ascii="Book Antiqua" w:hAnsi="Book Antiqua"/>
                <w:iCs/>
                <w:sz w:val="20"/>
                <w:szCs w:val="20"/>
                <w:lang w:eastAsia="sk-SK"/>
              </w:rPr>
            </w:pPr>
            <w:r>
              <w:rPr>
                <w:rFonts w:ascii="Book Antiqua" w:hAnsi="Book Antiqua"/>
                <w:iCs/>
                <w:sz w:val="20"/>
                <w:szCs w:val="20"/>
                <w:lang w:eastAsia="sk-SK"/>
              </w:rPr>
              <w:t xml:space="preserve">Navrhovaný zákon nemá priamy vplyv na rozpočet verejnej správy. Ide o procesnú úpravu priebehu parciálnej časti trestného konania, ktorá však za istých okolností je spôsobilá znemožniť predčasné ukončenie trestného stíhania, ešte predtým, než sa obvinená osoba postaví pred súd.   </w:t>
            </w:r>
          </w:p>
        </w:tc>
      </w:tr>
      <w:tr w:rsidR="00FB1EFE" w14:paraId="1A086A63" w14:textId="77777777">
        <w:tc>
          <w:tcPr>
            <w:tcW w:w="9180" w:type="dxa"/>
            <w:gridSpan w:val="9"/>
            <w:tcBorders>
              <w:bottom w:val="nil"/>
            </w:tcBorders>
            <w:shd w:val="clear" w:color="auto" w:fill="E2E2E2"/>
          </w:tcPr>
          <w:p w14:paraId="6DF98FA4" w14:textId="77777777" w:rsidR="00FB1EFE" w:rsidRDefault="009B07DA">
            <w:pPr>
              <w:numPr>
                <w:ilvl w:val="0"/>
                <w:numId w:val="3"/>
              </w:numPr>
              <w:spacing w:after="0" w:line="240" w:lineRule="auto"/>
              <w:ind w:left="426"/>
              <w:contextualSpacing/>
              <w:rPr>
                <w:rFonts w:ascii="Book Antiqua" w:hAnsi="Book Antiqua"/>
                <w:b/>
                <w:sz w:val="20"/>
                <w:szCs w:val="20"/>
              </w:rPr>
            </w:pPr>
            <w:r>
              <w:rPr>
                <w:rFonts w:ascii="Book Antiqua" w:hAnsi="Book Antiqua"/>
                <w:b/>
                <w:sz w:val="20"/>
                <w:szCs w:val="20"/>
              </w:rPr>
              <w:t>Ciele a výsledný stav</w:t>
            </w:r>
          </w:p>
        </w:tc>
      </w:tr>
      <w:tr w:rsidR="00FB1EFE" w14:paraId="168160A9" w14:textId="77777777">
        <w:trPr>
          <w:trHeight w:val="741"/>
        </w:trPr>
        <w:tc>
          <w:tcPr>
            <w:tcW w:w="9180" w:type="dxa"/>
            <w:gridSpan w:val="9"/>
            <w:tcBorders>
              <w:top w:val="nil"/>
            </w:tcBorders>
            <w:shd w:val="clear" w:color="auto" w:fill="FFFFFF"/>
          </w:tcPr>
          <w:p w14:paraId="4FE60958" w14:textId="77777777" w:rsidR="00FB1EFE" w:rsidRDefault="009B07DA">
            <w:pPr>
              <w:spacing w:after="200" w:line="276" w:lineRule="auto"/>
              <w:rPr>
                <w:rFonts w:ascii="Book Antiqua" w:hAnsi="Book Antiqua"/>
                <w:i/>
                <w:sz w:val="20"/>
                <w:szCs w:val="20"/>
                <w:lang w:eastAsia="sk-SK"/>
              </w:rPr>
            </w:pPr>
            <w:r>
              <w:rPr>
                <w:rFonts w:ascii="Book Antiqua" w:hAnsi="Book Antiqua"/>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47014358" w14:textId="77777777" w:rsidR="00FB1EFE" w:rsidRDefault="009B07DA">
            <w:pPr>
              <w:spacing w:after="200" w:line="276" w:lineRule="auto"/>
              <w:jc w:val="both"/>
              <w:rPr>
                <w:rFonts w:ascii="Book Antiqua" w:hAnsi="Book Antiqua"/>
                <w:iCs/>
                <w:sz w:val="20"/>
                <w:szCs w:val="20"/>
                <w:lang w:eastAsia="sk-SK"/>
              </w:rPr>
            </w:pPr>
            <w:r>
              <w:rPr>
                <w:rFonts w:ascii="Book Antiqua" w:hAnsi="Book Antiqua"/>
                <w:iCs/>
                <w:sz w:val="20"/>
                <w:szCs w:val="20"/>
                <w:lang w:eastAsia="sk-SK"/>
              </w:rPr>
              <w:t>Cieľom predkladaného návrhu zákona je odstránenie škodlivého stavu, kedy môže byť trestné konanie zmarené a ktoré je v rozpore s judikatúrou Najvyššieho súdu Slovenskej republiky a judikatúrou Ústavného súdu Slovenskej republiky.</w:t>
            </w:r>
          </w:p>
        </w:tc>
      </w:tr>
      <w:tr w:rsidR="00FB1EFE" w14:paraId="6EC68E9E" w14:textId="77777777">
        <w:tc>
          <w:tcPr>
            <w:tcW w:w="9180" w:type="dxa"/>
            <w:gridSpan w:val="9"/>
            <w:tcBorders>
              <w:bottom w:val="nil"/>
            </w:tcBorders>
            <w:shd w:val="clear" w:color="auto" w:fill="E2E2E2"/>
          </w:tcPr>
          <w:p w14:paraId="7C65F720" w14:textId="77777777" w:rsidR="00FB1EFE" w:rsidRDefault="009B07DA">
            <w:pPr>
              <w:numPr>
                <w:ilvl w:val="0"/>
                <w:numId w:val="3"/>
              </w:numPr>
              <w:spacing w:after="0" w:line="240" w:lineRule="auto"/>
              <w:ind w:left="426"/>
              <w:contextualSpacing/>
              <w:rPr>
                <w:rFonts w:ascii="Book Antiqua" w:hAnsi="Book Antiqua"/>
                <w:b/>
                <w:sz w:val="20"/>
                <w:szCs w:val="20"/>
              </w:rPr>
            </w:pPr>
            <w:r>
              <w:rPr>
                <w:rFonts w:ascii="Book Antiqua" w:hAnsi="Book Antiqua"/>
                <w:b/>
                <w:sz w:val="20"/>
                <w:szCs w:val="20"/>
              </w:rPr>
              <w:t>Dotknuté subjekty</w:t>
            </w:r>
          </w:p>
        </w:tc>
      </w:tr>
      <w:tr w:rsidR="00FB1EFE" w14:paraId="41F455C0" w14:textId="77777777">
        <w:tc>
          <w:tcPr>
            <w:tcW w:w="9180" w:type="dxa"/>
            <w:gridSpan w:val="9"/>
            <w:tcBorders>
              <w:top w:val="nil"/>
            </w:tcBorders>
            <w:shd w:val="clear" w:color="auto" w:fill="FFFFFF"/>
          </w:tcPr>
          <w:p w14:paraId="525A3750" w14:textId="77777777" w:rsidR="00FB1EFE" w:rsidRDefault="009B07DA">
            <w:pPr>
              <w:spacing w:after="200" w:line="276" w:lineRule="auto"/>
              <w:rPr>
                <w:rFonts w:ascii="Book Antiqua" w:hAnsi="Book Antiqua"/>
                <w:b/>
                <w:sz w:val="20"/>
                <w:szCs w:val="20"/>
                <w:lang w:eastAsia="sk-SK"/>
              </w:rPr>
            </w:pPr>
            <w:r>
              <w:rPr>
                <w:rFonts w:ascii="Book Antiqua" w:hAnsi="Book Antiqua"/>
                <w:i/>
                <w:sz w:val="20"/>
                <w:szCs w:val="20"/>
                <w:lang w:eastAsia="sk-SK"/>
              </w:rPr>
              <w:t xml:space="preserve">Uveďte subjekty, ktorých sa zmeny predkladaného materiálu dotknú priamo aj nepriamo: </w:t>
            </w:r>
          </w:p>
          <w:p w14:paraId="165E7D29" w14:textId="77777777" w:rsidR="00FB1EFE" w:rsidRDefault="009B07DA">
            <w:pPr>
              <w:spacing w:after="200" w:line="240" w:lineRule="auto"/>
              <w:jc w:val="both"/>
              <w:rPr>
                <w:rFonts w:ascii="Book Antiqua" w:hAnsi="Book Antiqua"/>
                <w:i/>
                <w:sz w:val="20"/>
                <w:szCs w:val="20"/>
                <w:lang w:eastAsia="sk-SK"/>
              </w:rPr>
            </w:pPr>
            <w:r>
              <w:rPr>
                <w:rFonts w:ascii="Book Antiqua" w:hAnsi="Book Antiqua"/>
                <w:iCs/>
                <w:sz w:val="20"/>
                <w:szCs w:val="20"/>
                <w:lang w:eastAsia="sk-SK"/>
              </w:rPr>
              <w:t>Obvinení a poškodení v trestnom konaní a nepriam</w:t>
            </w:r>
            <w:bookmarkStart w:id="2" w:name="_GoBack"/>
            <w:bookmarkEnd w:id="2"/>
            <w:r>
              <w:rPr>
                <w:rFonts w:ascii="Book Antiqua" w:hAnsi="Book Antiqua"/>
                <w:iCs/>
                <w:sz w:val="20"/>
                <w:szCs w:val="20"/>
                <w:lang w:eastAsia="sk-SK"/>
              </w:rPr>
              <w:t>o aj široká verejnosť.</w:t>
            </w:r>
          </w:p>
        </w:tc>
      </w:tr>
      <w:tr w:rsidR="00FB1EFE" w14:paraId="3E9085B9" w14:textId="77777777">
        <w:tc>
          <w:tcPr>
            <w:tcW w:w="9180" w:type="dxa"/>
            <w:gridSpan w:val="9"/>
            <w:tcBorders>
              <w:bottom w:val="nil"/>
            </w:tcBorders>
            <w:shd w:val="clear" w:color="auto" w:fill="E2E2E2"/>
          </w:tcPr>
          <w:p w14:paraId="558A8802" w14:textId="77777777" w:rsidR="00FB1EFE" w:rsidRDefault="009B07DA">
            <w:pPr>
              <w:numPr>
                <w:ilvl w:val="0"/>
                <w:numId w:val="3"/>
              </w:numPr>
              <w:spacing w:after="0" w:line="240" w:lineRule="auto"/>
              <w:ind w:left="426"/>
              <w:contextualSpacing/>
              <w:rPr>
                <w:rFonts w:ascii="Book Antiqua" w:hAnsi="Book Antiqua"/>
                <w:b/>
                <w:sz w:val="20"/>
                <w:szCs w:val="20"/>
              </w:rPr>
            </w:pPr>
            <w:r>
              <w:rPr>
                <w:rFonts w:ascii="Book Antiqua" w:hAnsi="Book Antiqua"/>
                <w:b/>
                <w:sz w:val="20"/>
                <w:szCs w:val="20"/>
              </w:rPr>
              <w:t>Alternatívne riešenia</w:t>
            </w:r>
          </w:p>
        </w:tc>
      </w:tr>
      <w:tr w:rsidR="00FB1EFE" w14:paraId="46B75481" w14:textId="77777777">
        <w:trPr>
          <w:trHeight w:val="1524"/>
        </w:trPr>
        <w:tc>
          <w:tcPr>
            <w:tcW w:w="9180" w:type="dxa"/>
            <w:gridSpan w:val="9"/>
            <w:tcBorders>
              <w:top w:val="nil"/>
            </w:tcBorders>
            <w:shd w:val="clear" w:color="auto" w:fill="FFFFFF"/>
          </w:tcPr>
          <w:p w14:paraId="4966F19C" w14:textId="77777777" w:rsidR="00FB1EFE" w:rsidRDefault="009B07DA">
            <w:pPr>
              <w:spacing w:after="200" w:line="276" w:lineRule="auto"/>
              <w:jc w:val="both"/>
              <w:rPr>
                <w:rFonts w:ascii="Times New Roman" w:hAnsi="Times New Roman"/>
                <w:i/>
                <w:sz w:val="20"/>
                <w:szCs w:val="20"/>
                <w:lang w:eastAsia="sk-SK"/>
              </w:rPr>
            </w:pPr>
            <w:r>
              <w:rPr>
                <w:rFonts w:ascii="Times New Roman" w:hAnsi="Times New Roman"/>
                <w:i/>
                <w:sz w:val="20"/>
                <w:szCs w:val="20"/>
                <w:lang w:eastAsia="sk-SK"/>
              </w:rPr>
              <w:t>Aké alternatívne riešenia vedúce k stanovenému cieľu boli identifikované a posudzované pre riešenie definovaného problému?</w:t>
            </w:r>
          </w:p>
          <w:p w14:paraId="0D4FBAA0" w14:textId="77777777" w:rsidR="00FB1EFE" w:rsidRDefault="009B07DA">
            <w:pPr>
              <w:spacing w:after="200" w:line="276" w:lineRule="auto"/>
              <w:jc w:val="both"/>
              <w:rPr>
                <w:rFonts w:ascii="Book Antiqua" w:hAnsi="Book Antiqua"/>
                <w:iCs/>
                <w:sz w:val="20"/>
                <w:szCs w:val="20"/>
                <w:lang w:eastAsia="sk-SK"/>
              </w:rPr>
            </w:pPr>
            <w:r>
              <w:rPr>
                <w:rFonts w:ascii="Book Antiqua" w:hAnsi="Book Antiqua"/>
                <w:iCs/>
                <w:sz w:val="20"/>
                <w:szCs w:val="20"/>
                <w:lang w:eastAsia="sk-SK"/>
              </w:rPr>
              <w:t xml:space="preserve">Zrušenie mimoriadneho opravného prostriedku podľa § 363 Trestného poriadku v štádiu prípravného konania. </w:t>
            </w:r>
          </w:p>
        </w:tc>
      </w:tr>
      <w:tr w:rsidR="00FB1EFE" w14:paraId="4A4D9648" w14:textId="77777777">
        <w:tc>
          <w:tcPr>
            <w:tcW w:w="9180" w:type="dxa"/>
            <w:gridSpan w:val="9"/>
            <w:tcBorders>
              <w:bottom w:val="single" w:sz="4" w:space="0" w:color="FFFFFF"/>
            </w:tcBorders>
            <w:shd w:val="clear" w:color="auto" w:fill="E2E2E2"/>
          </w:tcPr>
          <w:p w14:paraId="0231C48A" w14:textId="77777777" w:rsidR="00FB1EFE" w:rsidRDefault="009B07DA">
            <w:pPr>
              <w:numPr>
                <w:ilvl w:val="0"/>
                <w:numId w:val="3"/>
              </w:numPr>
              <w:spacing w:after="0" w:line="240" w:lineRule="auto"/>
              <w:ind w:left="426"/>
              <w:contextualSpacing/>
              <w:rPr>
                <w:rFonts w:ascii="Book Antiqua" w:hAnsi="Book Antiqua"/>
                <w:b/>
                <w:sz w:val="20"/>
                <w:szCs w:val="20"/>
              </w:rPr>
            </w:pPr>
            <w:r>
              <w:rPr>
                <w:rFonts w:ascii="Book Antiqua" w:hAnsi="Book Antiqua"/>
                <w:b/>
                <w:sz w:val="20"/>
                <w:szCs w:val="20"/>
              </w:rPr>
              <w:t>Vykonávacie predpisy</w:t>
            </w:r>
          </w:p>
        </w:tc>
      </w:tr>
      <w:tr w:rsidR="00FB1EFE" w14:paraId="1C75C5D1" w14:textId="77777777">
        <w:tc>
          <w:tcPr>
            <w:tcW w:w="6203" w:type="dxa"/>
            <w:gridSpan w:val="5"/>
            <w:tcBorders>
              <w:top w:val="single" w:sz="4" w:space="0" w:color="FFFFFF"/>
              <w:bottom w:val="nil"/>
              <w:right w:val="nil"/>
            </w:tcBorders>
            <w:shd w:val="clear" w:color="auto" w:fill="FFFFFF"/>
          </w:tcPr>
          <w:p w14:paraId="1D8B322F" w14:textId="77777777" w:rsidR="00FB1EFE" w:rsidRDefault="009B07DA">
            <w:pPr>
              <w:spacing w:after="200" w:line="276" w:lineRule="auto"/>
              <w:rPr>
                <w:rFonts w:ascii="Book Antiqua" w:hAnsi="Book Antiqua"/>
                <w:i/>
                <w:sz w:val="20"/>
                <w:szCs w:val="20"/>
                <w:lang w:eastAsia="sk-SK"/>
              </w:rPr>
            </w:pPr>
            <w:r>
              <w:rPr>
                <w:rFonts w:ascii="Book Antiqua" w:hAnsi="Book Antiqua"/>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00110062" w14:textId="77777777" w:rsidR="00FB1EFE" w:rsidRDefault="009B07DA">
            <w:pPr>
              <w:spacing w:after="200" w:line="276" w:lineRule="auto"/>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r>
              <w:rPr>
                <w:rFonts w:ascii="Book Antiqua" w:hAnsi="Book Antiqua"/>
                <w:b/>
                <w:sz w:val="20"/>
                <w:szCs w:val="20"/>
                <w:lang w:eastAsia="sk-SK"/>
              </w:rPr>
              <w:t xml:space="preserve">  Áno</w:t>
            </w:r>
          </w:p>
        </w:tc>
        <w:tc>
          <w:tcPr>
            <w:tcW w:w="1560" w:type="dxa"/>
            <w:gridSpan w:val="2"/>
            <w:tcBorders>
              <w:top w:val="single" w:sz="4" w:space="0" w:color="FFFFFF"/>
              <w:left w:val="nil"/>
              <w:bottom w:val="nil"/>
            </w:tcBorders>
            <w:shd w:val="clear" w:color="auto" w:fill="FFFFFF"/>
          </w:tcPr>
          <w:p w14:paraId="274851C5" w14:textId="77777777" w:rsidR="00FB1EFE" w:rsidRDefault="009B07DA">
            <w:pPr>
              <w:spacing w:after="200" w:line="276" w:lineRule="auto"/>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r>
              <w:rPr>
                <w:rFonts w:ascii="Book Antiqua" w:hAnsi="Book Antiqua"/>
                <w:b/>
                <w:sz w:val="20"/>
                <w:szCs w:val="20"/>
                <w:lang w:eastAsia="sk-SK"/>
              </w:rPr>
              <w:t xml:space="preserve">  Nie</w:t>
            </w:r>
          </w:p>
        </w:tc>
      </w:tr>
      <w:tr w:rsidR="00FB1EFE" w14:paraId="49A9949D" w14:textId="77777777">
        <w:tc>
          <w:tcPr>
            <w:tcW w:w="9180" w:type="dxa"/>
            <w:gridSpan w:val="9"/>
            <w:tcBorders>
              <w:top w:val="nil"/>
            </w:tcBorders>
            <w:shd w:val="clear" w:color="auto" w:fill="FFFFFF"/>
          </w:tcPr>
          <w:p w14:paraId="6D329C78" w14:textId="77777777" w:rsidR="00FB1EFE" w:rsidRDefault="009B07DA">
            <w:pPr>
              <w:spacing w:after="200" w:line="276" w:lineRule="auto"/>
              <w:rPr>
                <w:rFonts w:ascii="Book Antiqua" w:hAnsi="Book Antiqua"/>
                <w:i/>
                <w:sz w:val="20"/>
                <w:szCs w:val="20"/>
                <w:lang w:eastAsia="sk-SK"/>
              </w:rPr>
            </w:pPr>
            <w:r>
              <w:rPr>
                <w:rFonts w:ascii="Book Antiqua" w:hAnsi="Book Antiqua"/>
                <w:i/>
                <w:sz w:val="20"/>
                <w:szCs w:val="20"/>
                <w:lang w:eastAsia="sk-SK"/>
              </w:rPr>
              <w:t>Ak áno, uveďte ktoré oblasti budú nimi upravené, resp. ktorých vykonávacích predpisov sa zmena dotkne:</w:t>
            </w:r>
          </w:p>
        </w:tc>
      </w:tr>
      <w:tr w:rsidR="00FB1EFE" w14:paraId="53B7E3E8" w14:textId="77777777">
        <w:tc>
          <w:tcPr>
            <w:tcW w:w="9180" w:type="dxa"/>
            <w:gridSpan w:val="9"/>
            <w:tcBorders>
              <w:bottom w:val="single" w:sz="4" w:space="0" w:color="FFFFFF"/>
            </w:tcBorders>
            <w:shd w:val="clear" w:color="auto" w:fill="E2E2E2"/>
          </w:tcPr>
          <w:p w14:paraId="09B72FF8" w14:textId="77777777" w:rsidR="00FB1EFE" w:rsidRDefault="009B07DA">
            <w:pPr>
              <w:numPr>
                <w:ilvl w:val="0"/>
                <w:numId w:val="3"/>
              </w:numPr>
              <w:spacing w:after="0" w:line="240" w:lineRule="auto"/>
              <w:ind w:left="426"/>
              <w:contextualSpacing/>
              <w:rPr>
                <w:rFonts w:ascii="Book Antiqua" w:hAnsi="Book Antiqua"/>
                <w:b/>
                <w:sz w:val="20"/>
                <w:szCs w:val="20"/>
              </w:rPr>
            </w:pPr>
            <w:r>
              <w:rPr>
                <w:rFonts w:ascii="Book Antiqua" w:hAnsi="Book Antiqua"/>
                <w:b/>
                <w:sz w:val="20"/>
                <w:szCs w:val="20"/>
              </w:rPr>
              <w:t xml:space="preserve">Transpozícia práva EÚ </w:t>
            </w:r>
          </w:p>
        </w:tc>
      </w:tr>
      <w:tr w:rsidR="00FB1EFE" w14:paraId="684E51FC" w14:textId="77777777">
        <w:trPr>
          <w:trHeight w:val="157"/>
        </w:trPr>
        <w:tc>
          <w:tcPr>
            <w:tcW w:w="9180" w:type="dxa"/>
            <w:gridSpan w:val="9"/>
            <w:tcBorders>
              <w:top w:val="nil"/>
              <w:left w:val="single" w:sz="4" w:space="0" w:color="000000"/>
              <w:bottom w:val="nil"/>
            </w:tcBorders>
            <w:shd w:val="clear" w:color="auto" w:fill="FFFFFF"/>
          </w:tcPr>
          <w:p w14:paraId="50AF1891" w14:textId="77777777" w:rsidR="00FB1EFE" w:rsidRDefault="009B07DA">
            <w:pPr>
              <w:spacing w:after="200" w:line="276" w:lineRule="auto"/>
              <w:jc w:val="both"/>
              <w:rPr>
                <w:rFonts w:ascii="Book Antiqua" w:hAnsi="Book Antiqua"/>
                <w:i/>
                <w:sz w:val="20"/>
                <w:szCs w:val="20"/>
                <w:lang w:eastAsia="sk-SK"/>
              </w:rPr>
            </w:pPr>
            <w:r>
              <w:rPr>
                <w:rFonts w:ascii="Book Antiqua" w:hAnsi="Book Antiqua"/>
                <w:i/>
                <w:sz w:val="20"/>
                <w:szCs w:val="20"/>
                <w:lang w:eastAsia="sk-SK"/>
              </w:rPr>
              <w:t>Bezpredmetné</w:t>
            </w:r>
          </w:p>
        </w:tc>
      </w:tr>
      <w:tr w:rsidR="00FB1EFE" w14:paraId="265C4689" w14:textId="77777777">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14:paraId="1FAC0C30" w14:textId="77777777" w:rsidR="00FB1EFE" w:rsidRDefault="00FB1EFE">
            <w:pPr>
              <w:spacing w:after="200" w:line="276" w:lineRule="auto"/>
              <w:rPr>
                <w:rFonts w:ascii="Book Antiqua" w:hAnsi="Book Antiqua"/>
                <w:sz w:val="20"/>
                <w:szCs w:val="20"/>
                <w:lang w:eastAsia="sk-SK"/>
              </w:rPr>
            </w:pPr>
          </w:p>
        </w:tc>
      </w:tr>
      <w:tr w:rsidR="00FB1EFE" w14:paraId="5F674C66" w14:textId="77777777">
        <w:tc>
          <w:tcPr>
            <w:tcW w:w="9180" w:type="dxa"/>
            <w:gridSpan w:val="9"/>
            <w:tcBorders>
              <w:bottom w:val="single" w:sz="4" w:space="0" w:color="FFFFFF"/>
            </w:tcBorders>
            <w:shd w:val="clear" w:color="auto" w:fill="E2E2E2"/>
          </w:tcPr>
          <w:p w14:paraId="3D0AB8FB" w14:textId="77777777" w:rsidR="00FB1EFE" w:rsidRDefault="009B07DA">
            <w:pPr>
              <w:numPr>
                <w:ilvl w:val="0"/>
                <w:numId w:val="3"/>
              </w:numPr>
              <w:spacing w:after="0" w:line="240" w:lineRule="auto"/>
              <w:ind w:left="426"/>
              <w:contextualSpacing/>
              <w:rPr>
                <w:rFonts w:ascii="Book Antiqua" w:hAnsi="Book Antiqua"/>
                <w:b/>
                <w:sz w:val="20"/>
                <w:szCs w:val="20"/>
              </w:rPr>
            </w:pPr>
            <w:r>
              <w:rPr>
                <w:rFonts w:ascii="Book Antiqua" w:hAnsi="Book Antiqua"/>
                <w:b/>
                <w:sz w:val="20"/>
                <w:szCs w:val="20"/>
              </w:rPr>
              <w:t>Preskúmanie účelnosti</w:t>
            </w:r>
          </w:p>
        </w:tc>
      </w:tr>
      <w:tr w:rsidR="00FB1EFE" w14:paraId="642176D6" w14:textId="77777777">
        <w:tc>
          <w:tcPr>
            <w:tcW w:w="9180" w:type="dxa"/>
            <w:gridSpan w:val="9"/>
            <w:tcBorders>
              <w:top w:val="single" w:sz="4" w:space="0" w:color="FFFFFF"/>
            </w:tcBorders>
            <w:shd w:val="clear" w:color="auto" w:fill="FFFFFF"/>
          </w:tcPr>
          <w:p w14:paraId="18EACF61" w14:textId="77777777" w:rsidR="00FB1EFE" w:rsidRDefault="009B07DA">
            <w:pPr>
              <w:spacing w:after="200" w:line="240" w:lineRule="auto"/>
              <w:rPr>
                <w:rFonts w:ascii="Book Antiqua" w:hAnsi="Book Antiqua"/>
                <w:i/>
                <w:sz w:val="20"/>
                <w:szCs w:val="20"/>
                <w:lang w:eastAsia="sk-SK"/>
              </w:rPr>
            </w:pPr>
            <w:r>
              <w:rPr>
                <w:rFonts w:ascii="Book Antiqua" w:hAnsi="Book Antiqua"/>
                <w:i/>
                <w:sz w:val="20"/>
                <w:szCs w:val="20"/>
                <w:lang w:eastAsia="sk-SK"/>
              </w:rPr>
              <w:t xml:space="preserve">Uveďte termín, kedy by malo dôjsť k preskúmaniu účinnosti a účelnosti predkladaného materiálu. </w:t>
            </w:r>
          </w:p>
          <w:p w14:paraId="03228C6A" w14:textId="77777777" w:rsidR="00FB1EFE" w:rsidRDefault="009B07DA">
            <w:pPr>
              <w:spacing w:after="200" w:line="240" w:lineRule="auto"/>
              <w:rPr>
                <w:rFonts w:ascii="Book Antiqua" w:hAnsi="Book Antiqua"/>
                <w:iCs/>
                <w:sz w:val="20"/>
                <w:szCs w:val="20"/>
                <w:lang w:eastAsia="sk-SK"/>
              </w:rPr>
            </w:pPr>
            <w:r>
              <w:rPr>
                <w:rFonts w:ascii="Book Antiqua" w:hAnsi="Book Antiqua"/>
                <w:iCs/>
                <w:sz w:val="20"/>
                <w:szCs w:val="20"/>
                <w:lang w:eastAsia="sk-SK"/>
              </w:rPr>
              <w:t>Napríklad v štvrtom kvartáli roka 2026, alebo začiatkom roka 2027.</w:t>
            </w:r>
          </w:p>
          <w:p w14:paraId="5F717F9E" w14:textId="77777777" w:rsidR="00FB1EFE" w:rsidRDefault="009B07DA">
            <w:pPr>
              <w:spacing w:after="200" w:line="240" w:lineRule="auto"/>
              <w:rPr>
                <w:rFonts w:ascii="Book Antiqua" w:hAnsi="Book Antiqua"/>
                <w:i/>
                <w:sz w:val="20"/>
                <w:szCs w:val="20"/>
                <w:lang w:eastAsia="sk-SK"/>
              </w:rPr>
            </w:pPr>
            <w:r>
              <w:rPr>
                <w:rFonts w:ascii="Book Antiqua" w:hAnsi="Book Antiqua"/>
                <w:i/>
                <w:sz w:val="20"/>
                <w:szCs w:val="20"/>
                <w:lang w:eastAsia="sk-SK"/>
              </w:rPr>
              <w:t>Uveďte kritériá, na základe ktorých bude preskúmanie vykonané.</w:t>
            </w:r>
          </w:p>
          <w:p w14:paraId="2039CAB0" w14:textId="77777777" w:rsidR="00FB1EFE" w:rsidRDefault="009B07DA">
            <w:pPr>
              <w:spacing w:after="200" w:line="240" w:lineRule="auto"/>
              <w:rPr>
                <w:rFonts w:ascii="Book Antiqua" w:hAnsi="Book Antiqua"/>
                <w:iCs/>
                <w:sz w:val="20"/>
                <w:szCs w:val="20"/>
                <w:lang w:eastAsia="sk-SK"/>
              </w:rPr>
            </w:pPr>
            <w:r>
              <w:rPr>
                <w:rFonts w:ascii="Book Antiqua" w:hAnsi="Book Antiqua"/>
                <w:iCs/>
                <w:sz w:val="20"/>
                <w:szCs w:val="20"/>
                <w:lang w:eastAsia="sk-SK"/>
              </w:rPr>
              <w:lastRenderedPageBreak/>
              <w:t>Štatistika žalôb podaných pred rozhodnutím uplatnenia § 363 Trestného poriadku.</w:t>
            </w:r>
          </w:p>
        </w:tc>
      </w:tr>
      <w:tr w:rsidR="00FB1EFE" w14:paraId="0318DB07" w14:textId="77777777">
        <w:trPr>
          <w:trHeight w:val="283"/>
        </w:trPr>
        <w:tc>
          <w:tcPr>
            <w:tcW w:w="9180" w:type="dxa"/>
            <w:gridSpan w:val="9"/>
            <w:tcBorders>
              <w:bottom w:val="single" w:sz="4" w:space="0" w:color="FFFFFF"/>
            </w:tcBorders>
            <w:shd w:val="clear" w:color="auto" w:fill="E2E2E2"/>
            <w:vAlign w:val="center"/>
          </w:tcPr>
          <w:p w14:paraId="72D8D2B8" w14:textId="77777777" w:rsidR="00FB1EFE" w:rsidRDefault="009B07DA">
            <w:pPr>
              <w:numPr>
                <w:ilvl w:val="0"/>
                <w:numId w:val="3"/>
              </w:numPr>
              <w:spacing w:after="0" w:line="240" w:lineRule="auto"/>
              <w:ind w:left="426"/>
              <w:contextualSpacing/>
              <w:rPr>
                <w:rFonts w:ascii="Book Antiqua" w:hAnsi="Book Antiqua"/>
                <w:b/>
                <w:sz w:val="20"/>
                <w:szCs w:val="20"/>
              </w:rPr>
            </w:pPr>
            <w:r>
              <w:rPr>
                <w:rFonts w:ascii="Book Antiqua" w:hAnsi="Book Antiqua"/>
                <w:b/>
                <w:sz w:val="20"/>
                <w:szCs w:val="20"/>
              </w:rPr>
              <w:lastRenderedPageBreak/>
              <w:t>Vybrané vplyvy materiálu</w:t>
            </w:r>
          </w:p>
        </w:tc>
      </w:tr>
      <w:tr w:rsidR="00FB1EFE" w14:paraId="31982B9D" w14:textId="77777777">
        <w:tc>
          <w:tcPr>
            <w:tcW w:w="3812" w:type="dxa"/>
            <w:tcBorders>
              <w:bottom w:val="nil"/>
            </w:tcBorders>
            <w:shd w:val="clear" w:color="auto" w:fill="E2E2E2"/>
          </w:tcPr>
          <w:p w14:paraId="6B974A85" w14:textId="77777777" w:rsidR="00FB1EFE" w:rsidRDefault="009B07DA">
            <w:pPr>
              <w:spacing w:after="200" w:line="240" w:lineRule="auto"/>
              <w:rPr>
                <w:rFonts w:ascii="Book Antiqua" w:hAnsi="Book Antiqua"/>
                <w:b/>
                <w:sz w:val="20"/>
                <w:szCs w:val="20"/>
                <w:lang w:eastAsia="sk-SK"/>
              </w:rPr>
            </w:pPr>
            <w:r>
              <w:rPr>
                <w:rFonts w:ascii="Book Antiqua" w:hAnsi="Book Antiqua"/>
                <w:b/>
                <w:sz w:val="20"/>
                <w:szCs w:val="20"/>
                <w:lang w:eastAsia="sk-SK"/>
              </w:rPr>
              <w:t>Vplyvy na rozpočet verejnej správy</w:t>
            </w:r>
          </w:p>
        </w:tc>
        <w:tc>
          <w:tcPr>
            <w:tcW w:w="541" w:type="dxa"/>
            <w:tcBorders>
              <w:bottom w:val="dotted" w:sz="4" w:space="0" w:color="auto"/>
              <w:right w:val="nil"/>
            </w:tcBorders>
          </w:tcPr>
          <w:p w14:paraId="2612CC41" w14:textId="77777777" w:rsidR="00FB1EFE" w:rsidRDefault="009B07DA">
            <w:pPr>
              <w:spacing w:after="200" w:line="240" w:lineRule="auto"/>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p>
        </w:tc>
        <w:tc>
          <w:tcPr>
            <w:tcW w:w="1312" w:type="dxa"/>
            <w:tcBorders>
              <w:left w:val="nil"/>
              <w:bottom w:val="dotted" w:sz="4" w:space="0" w:color="auto"/>
              <w:right w:val="nil"/>
            </w:tcBorders>
          </w:tcPr>
          <w:p w14:paraId="3A328E70" w14:textId="77777777" w:rsidR="00FB1EFE" w:rsidRDefault="009B07DA">
            <w:pPr>
              <w:spacing w:after="200" w:line="240" w:lineRule="auto"/>
              <w:rPr>
                <w:rFonts w:ascii="Book Antiqua" w:hAnsi="Book Antiqua"/>
                <w:b/>
                <w:sz w:val="20"/>
                <w:szCs w:val="20"/>
                <w:lang w:eastAsia="sk-SK"/>
              </w:rPr>
            </w:pPr>
            <w:r>
              <w:rPr>
                <w:rFonts w:ascii="Book Antiqua" w:hAnsi="Book Antiqua"/>
                <w:b/>
                <w:sz w:val="20"/>
                <w:szCs w:val="20"/>
                <w:lang w:eastAsia="sk-SK"/>
              </w:rPr>
              <w:t>Pozitívne</w:t>
            </w:r>
          </w:p>
        </w:tc>
        <w:tc>
          <w:tcPr>
            <w:tcW w:w="538" w:type="dxa"/>
            <w:gridSpan w:val="2"/>
            <w:tcBorders>
              <w:left w:val="nil"/>
              <w:bottom w:val="dotted" w:sz="4" w:space="0" w:color="auto"/>
              <w:right w:val="nil"/>
            </w:tcBorders>
          </w:tcPr>
          <w:p w14:paraId="408F3AB3" w14:textId="77777777" w:rsidR="00FB1EFE" w:rsidRDefault="009B07DA">
            <w:pPr>
              <w:spacing w:after="200" w:line="240" w:lineRule="auto"/>
              <w:jc w:val="center"/>
              <w:rPr>
                <w:rFonts w:ascii="Book Antiqua" w:hAnsi="Book Antiqua"/>
                <w:b/>
                <w:sz w:val="20"/>
                <w:szCs w:val="20"/>
                <w:lang w:eastAsia="sk-SK"/>
              </w:rPr>
            </w:pPr>
            <w:r>
              <w:rPr>
                <w:rFonts w:ascii="MS Gothic" w:eastAsia="MS Gothic" w:hAnsi="MS Gothic" w:hint="eastAsia"/>
                <w:b/>
                <w:sz w:val="20"/>
                <w:szCs w:val="20"/>
                <w:lang w:eastAsia="sk-SK"/>
              </w:rPr>
              <w:t>☒</w:t>
            </w:r>
          </w:p>
        </w:tc>
        <w:tc>
          <w:tcPr>
            <w:tcW w:w="1133" w:type="dxa"/>
            <w:tcBorders>
              <w:left w:val="nil"/>
              <w:bottom w:val="dotted" w:sz="4" w:space="0" w:color="auto"/>
              <w:right w:val="nil"/>
            </w:tcBorders>
          </w:tcPr>
          <w:p w14:paraId="51CBC0F7" w14:textId="77777777" w:rsidR="00FB1EFE" w:rsidRDefault="009B07DA">
            <w:pPr>
              <w:spacing w:after="200" w:line="240" w:lineRule="auto"/>
              <w:rPr>
                <w:rFonts w:ascii="Book Antiqua" w:hAnsi="Book Antiqua"/>
                <w:b/>
                <w:sz w:val="20"/>
                <w:szCs w:val="20"/>
                <w:lang w:eastAsia="sk-SK"/>
              </w:rPr>
            </w:pPr>
            <w:r>
              <w:rPr>
                <w:rFonts w:ascii="Book Antiqua" w:hAnsi="Book Antiqua"/>
                <w:b/>
                <w:sz w:val="20"/>
                <w:szCs w:val="20"/>
                <w:lang w:eastAsia="sk-SK"/>
              </w:rPr>
              <w:t>Žiadne</w:t>
            </w:r>
          </w:p>
        </w:tc>
        <w:tc>
          <w:tcPr>
            <w:tcW w:w="547" w:type="dxa"/>
            <w:gridSpan w:val="2"/>
            <w:tcBorders>
              <w:left w:val="nil"/>
              <w:bottom w:val="dotted" w:sz="4" w:space="0" w:color="auto"/>
              <w:right w:val="nil"/>
            </w:tcBorders>
          </w:tcPr>
          <w:p w14:paraId="10B698B4" w14:textId="77777777" w:rsidR="00FB1EFE" w:rsidRDefault="009B07DA">
            <w:pPr>
              <w:spacing w:after="200" w:line="240" w:lineRule="auto"/>
              <w:ind w:left="-107" w:right="-108"/>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p>
        </w:tc>
        <w:tc>
          <w:tcPr>
            <w:tcW w:w="1297" w:type="dxa"/>
            <w:tcBorders>
              <w:left w:val="nil"/>
              <w:bottom w:val="dotted" w:sz="4" w:space="0" w:color="auto"/>
            </w:tcBorders>
          </w:tcPr>
          <w:p w14:paraId="480CE41E" w14:textId="77777777" w:rsidR="00FB1EFE" w:rsidRDefault="009B07DA">
            <w:pPr>
              <w:spacing w:after="200" w:line="240" w:lineRule="auto"/>
              <w:ind w:left="34"/>
              <w:rPr>
                <w:rFonts w:ascii="Book Antiqua" w:hAnsi="Book Antiqua"/>
                <w:b/>
                <w:sz w:val="20"/>
                <w:szCs w:val="20"/>
                <w:lang w:eastAsia="sk-SK"/>
              </w:rPr>
            </w:pPr>
            <w:r>
              <w:rPr>
                <w:rFonts w:ascii="Book Antiqua" w:hAnsi="Book Antiqua"/>
                <w:b/>
                <w:sz w:val="20"/>
                <w:szCs w:val="20"/>
                <w:lang w:eastAsia="sk-SK"/>
              </w:rPr>
              <w:t>Negatívne</w:t>
            </w:r>
          </w:p>
        </w:tc>
      </w:tr>
      <w:tr w:rsidR="00FB1EFE" w14:paraId="07C1E853" w14:textId="77777777">
        <w:tc>
          <w:tcPr>
            <w:tcW w:w="3812" w:type="dxa"/>
            <w:tcBorders>
              <w:top w:val="nil"/>
              <w:bottom w:val="nil"/>
            </w:tcBorders>
            <w:shd w:val="clear" w:color="auto" w:fill="E2E2E2"/>
          </w:tcPr>
          <w:p w14:paraId="35CE0246" w14:textId="77777777" w:rsidR="00FB1EFE" w:rsidRDefault="009B07DA">
            <w:pPr>
              <w:spacing w:after="200" w:line="240" w:lineRule="auto"/>
              <w:rPr>
                <w:rFonts w:ascii="Book Antiqua" w:hAnsi="Book Antiqua"/>
                <w:sz w:val="20"/>
                <w:szCs w:val="20"/>
                <w:lang w:eastAsia="sk-SK"/>
              </w:rPr>
            </w:pPr>
            <w:r>
              <w:rPr>
                <w:rFonts w:ascii="Book Antiqua" w:hAnsi="Book Antiqua"/>
                <w:sz w:val="20"/>
                <w:szCs w:val="20"/>
                <w:lang w:eastAsia="sk-SK"/>
              </w:rPr>
              <w:t xml:space="preserve">    z toho rozpočtovo zabezpečené vplyvy, v prípade identifikovaného negatívneho vplyvu</w:t>
            </w:r>
          </w:p>
        </w:tc>
        <w:tc>
          <w:tcPr>
            <w:tcW w:w="541" w:type="dxa"/>
            <w:tcBorders>
              <w:top w:val="dotted" w:sz="4" w:space="0" w:color="auto"/>
              <w:bottom w:val="dotted" w:sz="4" w:space="0" w:color="auto"/>
              <w:right w:val="nil"/>
            </w:tcBorders>
            <w:vAlign w:val="center"/>
          </w:tcPr>
          <w:p w14:paraId="3B3A01E9" w14:textId="77777777" w:rsidR="00FB1EFE" w:rsidRDefault="009B07DA">
            <w:pPr>
              <w:spacing w:after="200" w:line="240" w:lineRule="auto"/>
              <w:jc w:val="center"/>
              <w:rPr>
                <w:rFonts w:ascii="Book Antiqua" w:hAnsi="Book Antiqua"/>
                <w:sz w:val="20"/>
                <w:szCs w:val="20"/>
                <w:lang w:eastAsia="sk-SK"/>
              </w:rPr>
            </w:pPr>
            <w:r>
              <w:rPr>
                <w:rFonts w:ascii="Segoe UI Symbol" w:eastAsia="MS Gothic" w:hAnsi="Segoe UI Symbol" w:cs="Segoe UI Symbol"/>
                <w:sz w:val="20"/>
                <w:szCs w:val="20"/>
                <w:lang w:eastAsia="sk-SK"/>
              </w:rPr>
              <w:t>☐</w:t>
            </w:r>
          </w:p>
        </w:tc>
        <w:tc>
          <w:tcPr>
            <w:tcW w:w="1312" w:type="dxa"/>
            <w:tcBorders>
              <w:top w:val="dotted" w:sz="4" w:space="0" w:color="auto"/>
              <w:left w:val="nil"/>
              <w:bottom w:val="dotted" w:sz="4" w:space="0" w:color="auto"/>
              <w:right w:val="nil"/>
            </w:tcBorders>
            <w:vAlign w:val="center"/>
          </w:tcPr>
          <w:p w14:paraId="3B681040" w14:textId="77777777" w:rsidR="00FB1EFE" w:rsidRDefault="009B07DA">
            <w:pPr>
              <w:spacing w:after="200" w:line="240" w:lineRule="auto"/>
              <w:rPr>
                <w:rFonts w:ascii="Book Antiqua" w:hAnsi="Book Antiqua"/>
                <w:sz w:val="20"/>
                <w:szCs w:val="20"/>
                <w:lang w:eastAsia="sk-SK"/>
              </w:rPr>
            </w:pPr>
            <w:r>
              <w:rPr>
                <w:rFonts w:ascii="Book Antiqua" w:hAnsi="Book Antiqua"/>
                <w:sz w:val="20"/>
                <w:szCs w:val="20"/>
                <w:lang w:eastAsia="sk-SK"/>
              </w:rPr>
              <w:t>Áno</w:t>
            </w:r>
          </w:p>
        </w:tc>
        <w:tc>
          <w:tcPr>
            <w:tcW w:w="538" w:type="dxa"/>
            <w:gridSpan w:val="2"/>
            <w:tcBorders>
              <w:top w:val="dotted" w:sz="4" w:space="0" w:color="auto"/>
              <w:left w:val="nil"/>
              <w:bottom w:val="dotted" w:sz="4" w:space="0" w:color="auto"/>
              <w:right w:val="nil"/>
            </w:tcBorders>
            <w:vAlign w:val="center"/>
          </w:tcPr>
          <w:p w14:paraId="22444177" w14:textId="77777777" w:rsidR="00FB1EFE" w:rsidRDefault="009B07DA">
            <w:pPr>
              <w:spacing w:after="200" w:line="240" w:lineRule="auto"/>
              <w:jc w:val="center"/>
              <w:rPr>
                <w:rFonts w:ascii="Book Antiqua" w:hAnsi="Book Antiqua"/>
                <w:sz w:val="20"/>
                <w:szCs w:val="20"/>
                <w:lang w:eastAsia="sk-SK"/>
              </w:rPr>
            </w:pPr>
            <w:r>
              <w:rPr>
                <w:rFonts w:ascii="Segoe UI Symbol" w:eastAsia="MS Gothic" w:hAnsi="Segoe UI Symbol" w:cs="Segoe UI Symbol"/>
                <w:sz w:val="20"/>
                <w:szCs w:val="20"/>
                <w:lang w:eastAsia="sk-SK"/>
              </w:rPr>
              <w:t>☐</w:t>
            </w:r>
          </w:p>
        </w:tc>
        <w:tc>
          <w:tcPr>
            <w:tcW w:w="1133" w:type="dxa"/>
            <w:tcBorders>
              <w:top w:val="dotted" w:sz="4" w:space="0" w:color="auto"/>
              <w:left w:val="nil"/>
              <w:bottom w:val="dotted" w:sz="4" w:space="0" w:color="auto"/>
              <w:right w:val="nil"/>
            </w:tcBorders>
            <w:vAlign w:val="center"/>
          </w:tcPr>
          <w:p w14:paraId="2F904062" w14:textId="77777777" w:rsidR="00FB1EFE" w:rsidRDefault="009B07DA">
            <w:pPr>
              <w:spacing w:after="200" w:line="240" w:lineRule="auto"/>
              <w:rPr>
                <w:rFonts w:ascii="Book Antiqua" w:hAnsi="Book Antiqua"/>
                <w:sz w:val="20"/>
                <w:szCs w:val="20"/>
                <w:lang w:eastAsia="sk-SK"/>
              </w:rPr>
            </w:pPr>
            <w:r>
              <w:rPr>
                <w:rFonts w:ascii="Book Antiqua" w:hAnsi="Book Antiqua"/>
                <w:sz w:val="20"/>
                <w:szCs w:val="20"/>
                <w:lang w:eastAsia="sk-SK"/>
              </w:rPr>
              <w:t>Nie</w:t>
            </w:r>
          </w:p>
        </w:tc>
        <w:tc>
          <w:tcPr>
            <w:tcW w:w="547" w:type="dxa"/>
            <w:gridSpan w:val="2"/>
            <w:tcBorders>
              <w:top w:val="dotted" w:sz="4" w:space="0" w:color="auto"/>
              <w:left w:val="nil"/>
              <w:bottom w:val="dotted" w:sz="4" w:space="0" w:color="auto"/>
              <w:right w:val="nil"/>
            </w:tcBorders>
            <w:vAlign w:val="center"/>
          </w:tcPr>
          <w:p w14:paraId="4C02B463" w14:textId="77777777" w:rsidR="00FB1EFE" w:rsidRDefault="009B07DA">
            <w:pPr>
              <w:spacing w:after="200" w:line="240" w:lineRule="auto"/>
              <w:ind w:left="-107" w:right="-108"/>
              <w:jc w:val="center"/>
              <w:rPr>
                <w:rFonts w:ascii="Book Antiqua" w:hAnsi="Book Antiqua"/>
                <w:sz w:val="20"/>
                <w:szCs w:val="20"/>
                <w:lang w:eastAsia="sk-SK"/>
              </w:rPr>
            </w:pPr>
            <w:r>
              <w:rPr>
                <w:rFonts w:ascii="Segoe UI Symbol" w:eastAsia="MS Gothic" w:hAnsi="Segoe UI Symbol" w:cs="Segoe UI Symbol"/>
                <w:sz w:val="20"/>
                <w:szCs w:val="20"/>
                <w:lang w:eastAsia="sk-SK"/>
              </w:rPr>
              <w:t>☐</w:t>
            </w:r>
          </w:p>
        </w:tc>
        <w:tc>
          <w:tcPr>
            <w:tcW w:w="1297" w:type="dxa"/>
            <w:tcBorders>
              <w:top w:val="dotted" w:sz="4" w:space="0" w:color="auto"/>
              <w:left w:val="nil"/>
              <w:bottom w:val="dotted" w:sz="4" w:space="0" w:color="auto"/>
            </w:tcBorders>
            <w:vAlign w:val="center"/>
          </w:tcPr>
          <w:p w14:paraId="1ECF0A11" w14:textId="77777777" w:rsidR="00FB1EFE" w:rsidRDefault="009B07DA">
            <w:pPr>
              <w:spacing w:after="200" w:line="240" w:lineRule="auto"/>
              <w:ind w:left="34"/>
              <w:rPr>
                <w:rFonts w:ascii="Book Antiqua" w:hAnsi="Book Antiqua"/>
                <w:sz w:val="20"/>
                <w:szCs w:val="20"/>
                <w:lang w:eastAsia="sk-SK"/>
              </w:rPr>
            </w:pPr>
            <w:r>
              <w:rPr>
                <w:rFonts w:ascii="Book Antiqua" w:hAnsi="Book Antiqua"/>
                <w:sz w:val="20"/>
                <w:szCs w:val="20"/>
                <w:lang w:eastAsia="sk-SK"/>
              </w:rPr>
              <w:t>Čiastočne</w:t>
            </w:r>
          </w:p>
        </w:tc>
      </w:tr>
      <w:tr w:rsidR="00FB1EFE" w14:paraId="77FFE459" w14:textId="77777777">
        <w:tc>
          <w:tcPr>
            <w:tcW w:w="3812" w:type="dxa"/>
            <w:tcBorders>
              <w:top w:val="nil"/>
              <w:bottom w:val="nil"/>
            </w:tcBorders>
            <w:shd w:val="clear" w:color="auto" w:fill="E2E2E2"/>
          </w:tcPr>
          <w:p w14:paraId="34FA69D5" w14:textId="77777777" w:rsidR="00FB1EFE" w:rsidRDefault="009B07DA">
            <w:pPr>
              <w:spacing w:after="200" w:line="240" w:lineRule="auto"/>
              <w:rPr>
                <w:rFonts w:ascii="Book Antiqua" w:hAnsi="Book Antiqua"/>
                <w:b/>
                <w:sz w:val="20"/>
                <w:szCs w:val="20"/>
                <w:lang w:eastAsia="sk-SK"/>
              </w:rPr>
            </w:pPr>
            <w:r>
              <w:rPr>
                <w:rFonts w:ascii="Book Antiqua" w:hAnsi="Book Antiqua"/>
                <w:b/>
                <w:sz w:val="20"/>
                <w:szCs w:val="20"/>
                <w:lang w:eastAsia="sk-SK"/>
              </w:rPr>
              <w:t>v tom vplyvy na rozpočty obcí a vyšších územných celkov</w:t>
            </w:r>
          </w:p>
        </w:tc>
        <w:tc>
          <w:tcPr>
            <w:tcW w:w="541" w:type="dxa"/>
            <w:tcBorders>
              <w:top w:val="dotted" w:sz="4" w:space="0" w:color="auto"/>
              <w:bottom w:val="dotted" w:sz="4" w:space="0" w:color="auto"/>
              <w:right w:val="nil"/>
            </w:tcBorders>
          </w:tcPr>
          <w:p w14:paraId="05BAD445" w14:textId="77777777" w:rsidR="00FB1EFE" w:rsidRDefault="009B07DA">
            <w:pPr>
              <w:spacing w:after="200" w:line="240" w:lineRule="auto"/>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p>
        </w:tc>
        <w:tc>
          <w:tcPr>
            <w:tcW w:w="1312" w:type="dxa"/>
            <w:tcBorders>
              <w:top w:val="dotted" w:sz="4" w:space="0" w:color="auto"/>
              <w:left w:val="nil"/>
              <w:bottom w:val="dotted" w:sz="4" w:space="0" w:color="auto"/>
              <w:right w:val="nil"/>
            </w:tcBorders>
          </w:tcPr>
          <w:p w14:paraId="6B6DFDE8" w14:textId="77777777" w:rsidR="00FB1EFE" w:rsidRDefault="009B07DA">
            <w:pPr>
              <w:spacing w:after="200" w:line="240" w:lineRule="auto"/>
              <w:rPr>
                <w:rFonts w:ascii="Book Antiqua" w:hAnsi="Book Antiqua"/>
                <w:b/>
                <w:sz w:val="20"/>
                <w:szCs w:val="20"/>
                <w:lang w:eastAsia="sk-SK"/>
              </w:rPr>
            </w:pPr>
            <w:r>
              <w:rPr>
                <w:rFonts w:ascii="Book Antiqua" w:hAnsi="Book Antiqua"/>
                <w:b/>
                <w:sz w:val="20"/>
                <w:szCs w:val="20"/>
                <w:lang w:eastAsia="sk-SK"/>
              </w:rPr>
              <w:t>Pozitívne</w:t>
            </w:r>
          </w:p>
        </w:tc>
        <w:tc>
          <w:tcPr>
            <w:tcW w:w="538" w:type="dxa"/>
            <w:gridSpan w:val="2"/>
            <w:tcBorders>
              <w:top w:val="dotted" w:sz="4" w:space="0" w:color="auto"/>
              <w:left w:val="nil"/>
              <w:bottom w:val="dotted" w:sz="4" w:space="0" w:color="auto"/>
              <w:right w:val="nil"/>
            </w:tcBorders>
          </w:tcPr>
          <w:p w14:paraId="75B298E0" w14:textId="77777777" w:rsidR="00FB1EFE" w:rsidRDefault="009B07DA">
            <w:pPr>
              <w:spacing w:after="200" w:line="240" w:lineRule="auto"/>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p>
        </w:tc>
        <w:tc>
          <w:tcPr>
            <w:tcW w:w="1133" w:type="dxa"/>
            <w:tcBorders>
              <w:top w:val="dotted" w:sz="4" w:space="0" w:color="auto"/>
              <w:left w:val="nil"/>
              <w:bottom w:val="dotted" w:sz="4" w:space="0" w:color="auto"/>
              <w:right w:val="nil"/>
            </w:tcBorders>
          </w:tcPr>
          <w:p w14:paraId="5F9FC348" w14:textId="77777777" w:rsidR="00FB1EFE" w:rsidRDefault="009B07DA">
            <w:pPr>
              <w:spacing w:after="200" w:line="240" w:lineRule="auto"/>
              <w:rPr>
                <w:rFonts w:ascii="Book Antiqua" w:hAnsi="Book Antiqua"/>
                <w:b/>
                <w:sz w:val="20"/>
                <w:szCs w:val="20"/>
                <w:lang w:eastAsia="sk-SK"/>
              </w:rPr>
            </w:pPr>
            <w:r>
              <w:rPr>
                <w:rFonts w:ascii="Book Antiqua" w:hAnsi="Book Antiqua"/>
                <w:b/>
                <w:sz w:val="20"/>
                <w:szCs w:val="20"/>
                <w:lang w:eastAsia="sk-SK"/>
              </w:rPr>
              <w:t>Žiadne</w:t>
            </w:r>
          </w:p>
        </w:tc>
        <w:tc>
          <w:tcPr>
            <w:tcW w:w="547" w:type="dxa"/>
            <w:gridSpan w:val="2"/>
            <w:tcBorders>
              <w:top w:val="dotted" w:sz="4" w:space="0" w:color="auto"/>
              <w:left w:val="nil"/>
              <w:bottom w:val="dotted" w:sz="4" w:space="0" w:color="auto"/>
              <w:right w:val="nil"/>
            </w:tcBorders>
          </w:tcPr>
          <w:p w14:paraId="0F138F61" w14:textId="77777777" w:rsidR="00FB1EFE" w:rsidRDefault="009B07DA">
            <w:pPr>
              <w:spacing w:after="200" w:line="240" w:lineRule="auto"/>
              <w:ind w:left="-107" w:right="-108"/>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p>
        </w:tc>
        <w:tc>
          <w:tcPr>
            <w:tcW w:w="1297" w:type="dxa"/>
            <w:tcBorders>
              <w:top w:val="dotted" w:sz="4" w:space="0" w:color="auto"/>
              <w:left w:val="nil"/>
              <w:bottom w:val="dotted" w:sz="4" w:space="0" w:color="auto"/>
            </w:tcBorders>
          </w:tcPr>
          <w:p w14:paraId="7C703721" w14:textId="77777777" w:rsidR="00FB1EFE" w:rsidRDefault="009B07DA">
            <w:pPr>
              <w:spacing w:after="200" w:line="240" w:lineRule="auto"/>
              <w:ind w:left="34"/>
              <w:rPr>
                <w:rFonts w:ascii="Book Antiqua" w:hAnsi="Book Antiqua"/>
                <w:b/>
                <w:sz w:val="20"/>
                <w:szCs w:val="20"/>
                <w:lang w:eastAsia="sk-SK"/>
              </w:rPr>
            </w:pPr>
            <w:r>
              <w:rPr>
                <w:rFonts w:ascii="Book Antiqua" w:hAnsi="Book Antiqua"/>
                <w:b/>
                <w:sz w:val="20"/>
                <w:szCs w:val="20"/>
                <w:lang w:eastAsia="sk-SK"/>
              </w:rPr>
              <w:t>Negatívne</w:t>
            </w:r>
          </w:p>
        </w:tc>
      </w:tr>
      <w:tr w:rsidR="00FB1EFE" w14:paraId="467BC92D" w14:textId="77777777">
        <w:tc>
          <w:tcPr>
            <w:tcW w:w="3812" w:type="dxa"/>
            <w:tcBorders>
              <w:top w:val="nil"/>
              <w:bottom w:val="single" w:sz="4" w:space="0" w:color="000000"/>
            </w:tcBorders>
            <w:shd w:val="clear" w:color="auto" w:fill="E2E2E2"/>
          </w:tcPr>
          <w:p w14:paraId="2EE811CF" w14:textId="77777777" w:rsidR="00FB1EFE" w:rsidRDefault="009B07DA">
            <w:pPr>
              <w:spacing w:after="200" w:line="240" w:lineRule="auto"/>
              <w:ind w:left="171"/>
              <w:rPr>
                <w:rFonts w:ascii="Book Antiqua" w:hAnsi="Book Antiqua"/>
                <w:sz w:val="20"/>
                <w:szCs w:val="20"/>
                <w:lang w:eastAsia="sk-SK"/>
              </w:rPr>
            </w:pPr>
            <w:r>
              <w:rPr>
                <w:rFonts w:ascii="Book Antiqua" w:hAnsi="Book Antiqua"/>
                <w:sz w:val="20"/>
                <w:szCs w:val="20"/>
                <w:lang w:eastAsia="sk-SK"/>
              </w:rPr>
              <w:t>z toho rozpočtovo zabezpečené vplyvy, v prípade identifikovaného negatívneho vplyvu</w:t>
            </w:r>
          </w:p>
        </w:tc>
        <w:tc>
          <w:tcPr>
            <w:tcW w:w="541" w:type="dxa"/>
            <w:tcBorders>
              <w:top w:val="dotted" w:sz="4" w:space="0" w:color="auto"/>
              <w:bottom w:val="dotted" w:sz="4" w:space="0" w:color="auto"/>
              <w:right w:val="nil"/>
            </w:tcBorders>
            <w:vAlign w:val="center"/>
          </w:tcPr>
          <w:p w14:paraId="18000632" w14:textId="77777777" w:rsidR="00FB1EFE" w:rsidRDefault="009B07DA">
            <w:pPr>
              <w:spacing w:after="200" w:line="240" w:lineRule="auto"/>
              <w:jc w:val="center"/>
              <w:rPr>
                <w:rFonts w:ascii="Book Antiqua" w:hAnsi="Book Antiqua"/>
                <w:sz w:val="20"/>
                <w:szCs w:val="20"/>
                <w:lang w:eastAsia="sk-SK"/>
              </w:rPr>
            </w:pPr>
            <w:r>
              <w:rPr>
                <w:rFonts w:ascii="Segoe UI Symbol" w:eastAsia="MS Gothic" w:hAnsi="Segoe UI Symbol" w:cs="Segoe UI Symbol"/>
                <w:sz w:val="20"/>
                <w:szCs w:val="20"/>
                <w:lang w:eastAsia="sk-SK"/>
              </w:rPr>
              <w:t>☐</w:t>
            </w:r>
          </w:p>
        </w:tc>
        <w:tc>
          <w:tcPr>
            <w:tcW w:w="1312" w:type="dxa"/>
            <w:tcBorders>
              <w:top w:val="dotted" w:sz="4" w:space="0" w:color="auto"/>
              <w:left w:val="nil"/>
              <w:bottom w:val="dotted" w:sz="4" w:space="0" w:color="auto"/>
              <w:right w:val="nil"/>
            </w:tcBorders>
            <w:vAlign w:val="center"/>
          </w:tcPr>
          <w:p w14:paraId="53FA7764" w14:textId="77777777" w:rsidR="00FB1EFE" w:rsidRDefault="009B07DA">
            <w:pPr>
              <w:spacing w:after="200" w:line="240" w:lineRule="auto"/>
              <w:rPr>
                <w:rFonts w:ascii="Book Antiqua" w:hAnsi="Book Antiqua"/>
                <w:sz w:val="20"/>
                <w:szCs w:val="20"/>
                <w:lang w:eastAsia="sk-SK"/>
              </w:rPr>
            </w:pPr>
            <w:r>
              <w:rPr>
                <w:rFonts w:ascii="Book Antiqua" w:hAnsi="Book Antiqua"/>
                <w:sz w:val="20"/>
                <w:szCs w:val="20"/>
                <w:lang w:eastAsia="sk-SK"/>
              </w:rPr>
              <w:t>Áno</w:t>
            </w:r>
          </w:p>
        </w:tc>
        <w:tc>
          <w:tcPr>
            <w:tcW w:w="538" w:type="dxa"/>
            <w:gridSpan w:val="2"/>
            <w:tcBorders>
              <w:top w:val="dotted" w:sz="4" w:space="0" w:color="auto"/>
              <w:left w:val="nil"/>
              <w:bottom w:val="dotted" w:sz="4" w:space="0" w:color="auto"/>
              <w:right w:val="nil"/>
            </w:tcBorders>
            <w:vAlign w:val="center"/>
          </w:tcPr>
          <w:p w14:paraId="4AC31F41" w14:textId="77777777" w:rsidR="00FB1EFE" w:rsidRDefault="009B07DA">
            <w:pPr>
              <w:spacing w:after="200" w:line="240" w:lineRule="auto"/>
              <w:jc w:val="center"/>
              <w:rPr>
                <w:rFonts w:ascii="Book Antiqua" w:hAnsi="Book Antiqua"/>
                <w:sz w:val="20"/>
                <w:szCs w:val="20"/>
                <w:lang w:eastAsia="sk-SK"/>
              </w:rPr>
            </w:pPr>
            <w:r>
              <w:rPr>
                <w:rFonts w:ascii="Segoe UI Symbol" w:eastAsia="MS Gothic" w:hAnsi="Segoe UI Symbol" w:cs="Segoe UI Symbol"/>
                <w:sz w:val="20"/>
                <w:szCs w:val="20"/>
                <w:lang w:eastAsia="sk-SK"/>
              </w:rPr>
              <w:t>☐</w:t>
            </w:r>
          </w:p>
        </w:tc>
        <w:tc>
          <w:tcPr>
            <w:tcW w:w="1133" w:type="dxa"/>
            <w:tcBorders>
              <w:top w:val="dotted" w:sz="4" w:space="0" w:color="auto"/>
              <w:left w:val="nil"/>
              <w:bottom w:val="dotted" w:sz="4" w:space="0" w:color="auto"/>
              <w:right w:val="nil"/>
            </w:tcBorders>
            <w:vAlign w:val="center"/>
          </w:tcPr>
          <w:p w14:paraId="3A92D7FB" w14:textId="77777777" w:rsidR="00FB1EFE" w:rsidRDefault="009B07DA">
            <w:pPr>
              <w:spacing w:after="200" w:line="240" w:lineRule="auto"/>
              <w:rPr>
                <w:rFonts w:ascii="Book Antiqua" w:hAnsi="Book Antiqua"/>
                <w:sz w:val="20"/>
                <w:szCs w:val="20"/>
                <w:lang w:eastAsia="sk-SK"/>
              </w:rPr>
            </w:pPr>
            <w:r>
              <w:rPr>
                <w:rFonts w:ascii="Book Antiqua" w:hAnsi="Book Antiqua"/>
                <w:sz w:val="20"/>
                <w:szCs w:val="20"/>
                <w:lang w:eastAsia="sk-SK"/>
              </w:rPr>
              <w:t>Nie</w:t>
            </w:r>
          </w:p>
        </w:tc>
        <w:tc>
          <w:tcPr>
            <w:tcW w:w="547" w:type="dxa"/>
            <w:gridSpan w:val="2"/>
            <w:tcBorders>
              <w:top w:val="dotted" w:sz="4" w:space="0" w:color="auto"/>
              <w:left w:val="nil"/>
              <w:bottom w:val="dotted" w:sz="4" w:space="0" w:color="auto"/>
              <w:right w:val="nil"/>
            </w:tcBorders>
            <w:vAlign w:val="center"/>
          </w:tcPr>
          <w:p w14:paraId="2E748A15" w14:textId="77777777" w:rsidR="00FB1EFE" w:rsidRDefault="009B07DA">
            <w:pPr>
              <w:spacing w:after="200" w:line="240" w:lineRule="auto"/>
              <w:ind w:left="-107" w:right="-108"/>
              <w:jc w:val="center"/>
              <w:rPr>
                <w:rFonts w:ascii="Book Antiqua" w:hAnsi="Book Antiqua"/>
                <w:sz w:val="20"/>
                <w:szCs w:val="20"/>
                <w:lang w:eastAsia="sk-SK"/>
              </w:rPr>
            </w:pPr>
            <w:r>
              <w:rPr>
                <w:rFonts w:ascii="Segoe UI Symbol" w:eastAsia="MS Gothic" w:hAnsi="Segoe UI Symbol" w:cs="Segoe UI Symbol"/>
                <w:sz w:val="20"/>
                <w:szCs w:val="20"/>
                <w:lang w:eastAsia="sk-SK"/>
              </w:rPr>
              <w:t>☐</w:t>
            </w:r>
          </w:p>
        </w:tc>
        <w:tc>
          <w:tcPr>
            <w:tcW w:w="1297" w:type="dxa"/>
            <w:tcBorders>
              <w:top w:val="dotted" w:sz="4" w:space="0" w:color="auto"/>
              <w:left w:val="nil"/>
              <w:bottom w:val="dotted" w:sz="4" w:space="0" w:color="auto"/>
            </w:tcBorders>
            <w:vAlign w:val="center"/>
          </w:tcPr>
          <w:p w14:paraId="47E20F8F" w14:textId="77777777" w:rsidR="00FB1EFE" w:rsidRDefault="009B07DA">
            <w:pPr>
              <w:spacing w:after="200" w:line="240" w:lineRule="auto"/>
              <w:ind w:left="34"/>
              <w:rPr>
                <w:rFonts w:ascii="Book Antiqua" w:hAnsi="Book Antiqua"/>
                <w:sz w:val="20"/>
                <w:szCs w:val="20"/>
                <w:lang w:eastAsia="sk-SK"/>
              </w:rPr>
            </w:pPr>
            <w:r>
              <w:rPr>
                <w:rFonts w:ascii="Book Antiqua" w:hAnsi="Book Antiqua"/>
                <w:sz w:val="20"/>
                <w:szCs w:val="20"/>
                <w:lang w:eastAsia="sk-SK"/>
              </w:rPr>
              <w:t>Čiastočne</w:t>
            </w:r>
          </w:p>
        </w:tc>
      </w:tr>
      <w:tr w:rsidR="00FB1EFE" w14:paraId="535C06A5" w14:textId="77777777">
        <w:tc>
          <w:tcPr>
            <w:tcW w:w="3812" w:type="dxa"/>
            <w:tcBorders>
              <w:top w:val="single" w:sz="4" w:space="0" w:color="000000"/>
              <w:bottom w:val="nil"/>
            </w:tcBorders>
            <w:shd w:val="clear" w:color="auto" w:fill="E2E2E2"/>
          </w:tcPr>
          <w:p w14:paraId="15E1903A" w14:textId="77777777" w:rsidR="00FB1EFE" w:rsidRDefault="009B07DA">
            <w:pPr>
              <w:spacing w:after="200" w:line="240" w:lineRule="auto"/>
              <w:contextualSpacing/>
              <w:rPr>
                <w:rFonts w:ascii="Book Antiqua" w:hAnsi="Book Antiqua"/>
                <w:b/>
                <w:sz w:val="20"/>
                <w:szCs w:val="20"/>
                <w:lang w:eastAsia="sk-SK"/>
              </w:rPr>
            </w:pPr>
            <w:r>
              <w:rPr>
                <w:rFonts w:ascii="Book Antiqua" w:hAnsi="Book Antiqua"/>
                <w:b/>
                <w:sz w:val="20"/>
                <w:szCs w:val="20"/>
                <w:lang w:eastAsia="sk-SK"/>
              </w:rPr>
              <w:t>Vplyvy na podnikateľské prostredie</w:t>
            </w:r>
          </w:p>
        </w:tc>
        <w:tc>
          <w:tcPr>
            <w:tcW w:w="541" w:type="dxa"/>
            <w:tcBorders>
              <w:bottom w:val="dotted" w:sz="4" w:space="0" w:color="auto"/>
              <w:right w:val="nil"/>
            </w:tcBorders>
            <w:vAlign w:val="center"/>
          </w:tcPr>
          <w:p w14:paraId="0966C27D" w14:textId="77777777" w:rsidR="00FB1EFE" w:rsidRDefault="009B07DA">
            <w:pPr>
              <w:spacing w:after="200" w:line="240" w:lineRule="auto"/>
              <w:contextualSpacing/>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p>
        </w:tc>
        <w:tc>
          <w:tcPr>
            <w:tcW w:w="1312" w:type="dxa"/>
            <w:tcBorders>
              <w:left w:val="nil"/>
              <w:bottom w:val="dotted" w:sz="4" w:space="0" w:color="auto"/>
              <w:right w:val="nil"/>
            </w:tcBorders>
            <w:vAlign w:val="center"/>
          </w:tcPr>
          <w:p w14:paraId="463FD87A" w14:textId="77777777" w:rsidR="00FB1EFE" w:rsidRDefault="009B07DA">
            <w:pPr>
              <w:spacing w:after="200" w:line="240" w:lineRule="auto"/>
              <w:ind w:right="-108"/>
              <w:contextualSpacing/>
              <w:rPr>
                <w:rFonts w:ascii="Book Antiqua" w:hAnsi="Book Antiqua"/>
                <w:b/>
                <w:sz w:val="20"/>
                <w:szCs w:val="20"/>
                <w:lang w:eastAsia="sk-SK"/>
              </w:rPr>
            </w:pPr>
            <w:r>
              <w:rPr>
                <w:rFonts w:ascii="Book Antiqua" w:hAnsi="Book Antiqua"/>
                <w:b/>
                <w:sz w:val="20"/>
                <w:szCs w:val="20"/>
                <w:lang w:eastAsia="sk-SK"/>
              </w:rPr>
              <w:t>Pozitívne</w:t>
            </w:r>
          </w:p>
        </w:tc>
        <w:tc>
          <w:tcPr>
            <w:tcW w:w="538" w:type="dxa"/>
            <w:gridSpan w:val="2"/>
            <w:tcBorders>
              <w:left w:val="nil"/>
              <w:bottom w:val="dotted" w:sz="4" w:space="0" w:color="auto"/>
              <w:right w:val="nil"/>
            </w:tcBorders>
            <w:vAlign w:val="center"/>
          </w:tcPr>
          <w:p w14:paraId="1A609A76" w14:textId="77777777" w:rsidR="00FB1EFE" w:rsidRDefault="009B07DA">
            <w:pPr>
              <w:spacing w:after="200" w:line="240" w:lineRule="auto"/>
              <w:contextualSpacing/>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p>
        </w:tc>
        <w:tc>
          <w:tcPr>
            <w:tcW w:w="1133" w:type="dxa"/>
            <w:tcBorders>
              <w:left w:val="nil"/>
              <w:bottom w:val="dotted" w:sz="4" w:space="0" w:color="auto"/>
              <w:right w:val="nil"/>
            </w:tcBorders>
            <w:vAlign w:val="center"/>
          </w:tcPr>
          <w:p w14:paraId="0712680E" w14:textId="77777777" w:rsidR="00FB1EFE" w:rsidRDefault="009B07DA">
            <w:pPr>
              <w:spacing w:after="200" w:line="240" w:lineRule="auto"/>
              <w:contextualSpacing/>
              <w:rPr>
                <w:rFonts w:ascii="Book Antiqua" w:hAnsi="Book Antiqua"/>
                <w:b/>
                <w:sz w:val="20"/>
                <w:szCs w:val="20"/>
                <w:lang w:eastAsia="sk-SK"/>
              </w:rPr>
            </w:pPr>
            <w:r>
              <w:rPr>
                <w:rFonts w:ascii="Book Antiqua" w:hAnsi="Book Antiqua"/>
                <w:b/>
                <w:sz w:val="20"/>
                <w:szCs w:val="20"/>
                <w:lang w:eastAsia="sk-SK"/>
              </w:rPr>
              <w:t>Žiadne</w:t>
            </w:r>
          </w:p>
        </w:tc>
        <w:tc>
          <w:tcPr>
            <w:tcW w:w="547" w:type="dxa"/>
            <w:gridSpan w:val="2"/>
            <w:tcBorders>
              <w:left w:val="nil"/>
              <w:bottom w:val="dotted" w:sz="4" w:space="0" w:color="auto"/>
              <w:right w:val="nil"/>
            </w:tcBorders>
            <w:vAlign w:val="center"/>
          </w:tcPr>
          <w:p w14:paraId="682E83A0" w14:textId="77777777" w:rsidR="00FB1EFE" w:rsidRDefault="009B07DA">
            <w:pPr>
              <w:spacing w:after="200" w:line="240" w:lineRule="auto"/>
              <w:contextualSpacing/>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p>
        </w:tc>
        <w:tc>
          <w:tcPr>
            <w:tcW w:w="1297" w:type="dxa"/>
            <w:tcBorders>
              <w:left w:val="nil"/>
              <w:bottom w:val="dotted" w:sz="4" w:space="0" w:color="auto"/>
            </w:tcBorders>
            <w:vAlign w:val="center"/>
          </w:tcPr>
          <w:p w14:paraId="5B7C8736" w14:textId="77777777" w:rsidR="00FB1EFE" w:rsidRDefault="009B07DA">
            <w:pPr>
              <w:spacing w:after="200" w:line="240" w:lineRule="auto"/>
              <w:ind w:left="54"/>
              <w:contextualSpacing/>
              <w:rPr>
                <w:rFonts w:ascii="Book Antiqua" w:hAnsi="Book Antiqua"/>
                <w:b/>
                <w:sz w:val="20"/>
                <w:szCs w:val="20"/>
                <w:lang w:eastAsia="sk-SK"/>
              </w:rPr>
            </w:pPr>
            <w:r>
              <w:rPr>
                <w:rFonts w:ascii="Book Antiqua" w:hAnsi="Book Antiqua"/>
                <w:b/>
                <w:sz w:val="20"/>
                <w:szCs w:val="20"/>
                <w:lang w:eastAsia="sk-SK"/>
              </w:rPr>
              <w:t>Negatívne</w:t>
            </w:r>
          </w:p>
        </w:tc>
      </w:tr>
      <w:tr w:rsidR="00FB1EFE" w14:paraId="357B2A4B" w14:textId="77777777">
        <w:tc>
          <w:tcPr>
            <w:tcW w:w="3812" w:type="dxa"/>
            <w:tcBorders>
              <w:top w:val="nil"/>
            </w:tcBorders>
            <w:shd w:val="clear" w:color="auto" w:fill="E2E2E2"/>
          </w:tcPr>
          <w:p w14:paraId="0C77D497" w14:textId="77777777" w:rsidR="00FB1EFE" w:rsidRDefault="009B07DA">
            <w:pPr>
              <w:spacing w:after="200" w:line="240" w:lineRule="auto"/>
              <w:contextualSpacing/>
              <w:rPr>
                <w:rFonts w:ascii="Book Antiqua" w:hAnsi="Book Antiqua"/>
                <w:b/>
                <w:sz w:val="20"/>
                <w:szCs w:val="20"/>
                <w:lang w:eastAsia="sk-SK"/>
              </w:rPr>
            </w:pPr>
            <w:r>
              <w:rPr>
                <w:rFonts w:ascii="Book Antiqua" w:hAnsi="Book Antiqua"/>
                <w:sz w:val="20"/>
                <w:szCs w:val="20"/>
                <w:lang w:eastAsia="sk-SK"/>
              </w:rPr>
              <w:t xml:space="preserve">   predpokladané vyčíslenie:</w:t>
            </w:r>
          </w:p>
        </w:tc>
        <w:tc>
          <w:tcPr>
            <w:tcW w:w="541" w:type="dxa"/>
            <w:tcBorders>
              <w:top w:val="dotted" w:sz="4" w:space="0" w:color="auto"/>
              <w:right w:val="nil"/>
            </w:tcBorders>
            <w:vAlign w:val="center"/>
          </w:tcPr>
          <w:p w14:paraId="6C2366DD" w14:textId="77777777" w:rsidR="00FB1EFE" w:rsidRDefault="00FB1EFE">
            <w:pPr>
              <w:spacing w:after="200" w:line="240" w:lineRule="auto"/>
              <w:contextualSpacing/>
              <w:jc w:val="center"/>
              <w:rPr>
                <w:rFonts w:ascii="Book Antiqua" w:hAnsi="Book Antiqua"/>
                <w:b/>
                <w:sz w:val="20"/>
                <w:szCs w:val="20"/>
                <w:lang w:eastAsia="sk-SK"/>
              </w:rPr>
            </w:pPr>
          </w:p>
        </w:tc>
        <w:tc>
          <w:tcPr>
            <w:tcW w:w="1596" w:type="dxa"/>
            <w:gridSpan w:val="2"/>
            <w:tcBorders>
              <w:top w:val="dotted" w:sz="4" w:space="0" w:color="auto"/>
              <w:left w:val="nil"/>
              <w:right w:val="nil"/>
            </w:tcBorders>
            <w:vAlign w:val="center"/>
          </w:tcPr>
          <w:p w14:paraId="252E2D77" w14:textId="77777777" w:rsidR="00FB1EFE" w:rsidRDefault="00FB1EFE">
            <w:pPr>
              <w:spacing w:after="200" w:line="240" w:lineRule="auto"/>
              <w:ind w:right="-108"/>
              <w:contextualSpacing/>
              <w:rPr>
                <w:rFonts w:ascii="Book Antiqua" w:hAnsi="Book Antiqua"/>
                <w:b/>
                <w:sz w:val="20"/>
                <w:szCs w:val="20"/>
                <w:lang w:eastAsia="sk-SK"/>
              </w:rPr>
            </w:pPr>
          </w:p>
        </w:tc>
        <w:tc>
          <w:tcPr>
            <w:tcW w:w="254" w:type="dxa"/>
            <w:tcBorders>
              <w:top w:val="dotted" w:sz="4" w:space="0" w:color="auto"/>
              <w:left w:val="nil"/>
              <w:right w:val="nil"/>
            </w:tcBorders>
            <w:vAlign w:val="center"/>
          </w:tcPr>
          <w:p w14:paraId="7792E766" w14:textId="77777777" w:rsidR="00FB1EFE" w:rsidRDefault="00FB1EFE">
            <w:pPr>
              <w:spacing w:after="200" w:line="240" w:lineRule="auto"/>
              <w:contextualSpacing/>
              <w:jc w:val="center"/>
              <w:rPr>
                <w:rFonts w:ascii="Book Antiqua" w:hAnsi="Book Antiqua"/>
                <w:b/>
                <w:sz w:val="20"/>
                <w:szCs w:val="20"/>
                <w:lang w:eastAsia="sk-SK"/>
              </w:rPr>
            </w:pPr>
          </w:p>
        </w:tc>
        <w:tc>
          <w:tcPr>
            <w:tcW w:w="1133" w:type="dxa"/>
            <w:tcBorders>
              <w:top w:val="dotted" w:sz="4" w:space="0" w:color="auto"/>
              <w:left w:val="nil"/>
              <w:right w:val="nil"/>
            </w:tcBorders>
            <w:vAlign w:val="center"/>
          </w:tcPr>
          <w:p w14:paraId="59C42499" w14:textId="77777777" w:rsidR="00FB1EFE" w:rsidRDefault="00FB1EFE">
            <w:pPr>
              <w:spacing w:after="200" w:line="240" w:lineRule="auto"/>
              <w:contextualSpacing/>
              <w:rPr>
                <w:rFonts w:ascii="Book Antiqua" w:hAnsi="Book Antiqua"/>
                <w:b/>
                <w:sz w:val="20"/>
                <w:szCs w:val="20"/>
                <w:lang w:eastAsia="sk-SK"/>
              </w:rPr>
            </w:pPr>
          </w:p>
        </w:tc>
        <w:tc>
          <w:tcPr>
            <w:tcW w:w="547" w:type="dxa"/>
            <w:gridSpan w:val="2"/>
            <w:tcBorders>
              <w:top w:val="dotted" w:sz="4" w:space="0" w:color="auto"/>
              <w:left w:val="nil"/>
              <w:right w:val="nil"/>
            </w:tcBorders>
            <w:vAlign w:val="center"/>
          </w:tcPr>
          <w:p w14:paraId="54BCD4D4" w14:textId="77777777" w:rsidR="00FB1EFE" w:rsidRDefault="00FB1EFE">
            <w:pPr>
              <w:spacing w:after="200" w:line="240" w:lineRule="auto"/>
              <w:contextualSpacing/>
              <w:jc w:val="center"/>
              <w:rPr>
                <w:rFonts w:ascii="Book Antiqua" w:hAnsi="Book Antiqua"/>
                <w:b/>
                <w:sz w:val="20"/>
                <w:szCs w:val="20"/>
                <w:lang w:eastAsia="sk-SK"/>
              </w:rPr>
            </w:pPr>
          </w:p>
        </w:tc>
        <w:tc>
          <w:tcPr>
            <w:tcW w:w="1297" w:type="dxa"/>
            <w:tcBorders>
              <w:top w:val="dotted" w:sz="4" w:space="0" w:color="auto"/>
              <w:left w:val="nil"/>
            </w:tcBorders>
            <w:vAlign w:val="center"/>
          </w:tcPr>
          <w:p w14:paraId="6B3D9B49" w14:textId="77777777" w:rsidR="00FB1EFE" w:rsidRDefault="00FB1EFE">
            <w:pPr>
              <w:spacing w:after="200" w:line="240" w:lineRule="auto"/>
              <w:contextualSpacing/>
              <w:rPr>
                <w:rFonts w:ascii="Book Antiqua" w:hAnsi="Book Antiqua"/>
                <w:b/>
                <w:sz w:val="20"/>
                <w:szCs w:val="20"/>
                <w:lang w:eastAsia="sk-SK"/>
              </w:rPr>
            </w:pPr>
          </w:p>
        </w:tc>
      </w:tr>
      <w:tr w:rsidR="00FB1EFE" w14:paraId="2FE9E284" w14:textId="77777777">
        <w:tc>
          <w:tcPr>
            <w:tcW w:w="3812" w:type="dxa"/>
            <w:tcBorders>
              <w:top w:val="single" w:sz="4" w:space="0" w:color="000000"/>
            </w:tcBorders>
            <w:shd w:val="clear" w:color="auto" w:fill="E2E2E2"/>
          </w:tcPr>
          <w:p w14:paraId="511252F1" w14:textId="77777777" w:rsidR="00FB1EFE" w:rsidRDefault="009B07DA">
            <w:pPr>
              <w:spacing w:after="200" w:line="240" w:lineRule="auto"/>
              <w:contextualSpacing/>
              <w:rPr>
                <w:rFonts w:ascii="Book Antiqua" w:hAnsi="Book Antiqua"/>
                <w:b/>
                <w:sz w:val="20"/>
                <w:szCs w:val="20"/>
                <w:lang w:eastAsia="sk-SK"/>
              </w:rPr>
            </w:pPr>
            <w:r>
              <w:rPr>
                <w:rFonts w:ascii="Book Antiqua" w:hAnsi="Book Antiqua"/>
                <w:b/>
                <w:sz w:val="20"/>
                <w:szCs w:val="20"/>
                <w:lang w:eastAsia="sk-SK"/>
              </w:rPr>
              <w:t>Sociálne vplyvy</w:t>
            </w:r>
          </w:p>
        </w:tc>
        <w:tc>
          <w:tcPr>
            <w:tcW w:w="541" w:type="dxa"/>
            <w:tcBorders>
              <w:right w:val="nil"/>
            </w:tcBorders>
          </w:tcPr>
          <w:p w14:paraId="4704BD45" w14:textId="77777777" w:rsidR="00FB1EFE" w:rsidRDefault="009B07DA">
            <w:pPr>
              <w:spacing w:after="200" w:line="240" w:lineRule="auto"/>
              <w:contextualSpacing/>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p>
        </w:tc>
        <w:tc>
          <w:tcPr>
            <w:tcW w:w="1312" w:type="dxa"/>
            <w:tcBorders>
              <w:left w:val="nil"/>
              <w:right w:val="nil"/>
            </w:tcBorders>
          </w:tcPr>
          <w:p w14:paraId="1BDDD21E" w14:textId="77777777" w:rsidR="00FB1EFE" w:rsidRDefault="009B07DA">
            <w:pPr>
              <w:spacing w:after="200" w:line="240" w:lineRule="auto"/>
              <w:ind w:right="-108"/>
              <w:contextualSpacing/>
              <w:rPr>
                <w:rFonts w:ascii="Book Antiqua" w:hAnsi="Book Antiqua"/>
                <w:b/>
                <w:sz w:val="20"/>
                <w:szCs w:val="20"/>
                <w:lang w:eastAsia="sk-SK"/>
              </w:rPr>
            </w:pPr>
            <w:r>
              <w:rPr>
                <w:rFonts w:ascii="Book Antiqua" w:hAnsi="Book Antiqua"/>
                <w:b/>
                <w:sz w:val="20"/>
                <w:szCs w:val="20"/>
                <w:lang w:eastAsia="sk-SK"/>
              </w:rPr>
              <w:t>Pozitívne</w:t>
            </w:r>
          </w:p>
        </w:tc>
        <w:tc>
          <w:tcPr>
            <w:tcW w:w="538" w:type="dxa"/>
            <w:gridSpan w:val="2"/>
            <w:tcBorders>
              <w:left w:val="nil"/>
              <w:right w:val="nil"/>
            </w:tcBorders>
          </w:tcPr>
          <w:p w14:paraId="27D27868" w14:textId="77777777" w:rsidR="00FB1EFE" w:rsidRDefault="009B07DA">
            <w:pPr>
              <w:spacing w:after="200" w:line="240" w:lineRule="auto"/>
              <w:contextualSpacing/>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p>
        </w:tc>
        <w:tc>
          <w:tcPr>
            <w:tcW w:w="1133" w:type="dxa"/>
            <w:tcBorders>
              <w:left w:val="nil"/>
              <w:right w:val="nil"/>
            </w:tcBorders>
          </w:tcPr>
          <w:p w14:paraId="5061E767" w14:textId="77777777" w:rsidR="00FB1EFE" w:rsidRDefault="009B07DA">
            <w:pPr>
              <w:spacing w:after="200" w:line="240" w:lineRule="auto"/>
              <w:contextualSpacing/>
              <w:rPr>
                <w:rFonts w:ascii="Book Antiqua" w:hAnsi="Book Antiqua"/>
                <w:b/>
                <w:sz w:val="20"/>
                <w:szCs w:val="20"/>
                <w:lang w:eastAsia="sk-SK"/>
              </w:rPr>
            </w:pPr>
            <w:r>
              <w:rPr>
                <w:rFonts w:ascii="Book Antiqua" w:hAnsi="Book Antiqua"/>
                <w:b/>
                <w:sz w:val="20"/>
                <w:szCs w:val="20"/>
                <w:lang w:eastAsia="sk-SK"/>
              </w:rPr>
              <w:t>Žiadne</w:t>
            </w:r>
          </w:p>
        </w:tc>
        <w:tc>
          <w:tcPr>
            <w:tcW w:w="547" w:type="dxa"/>
            <w:gridSpan w:val="2"/>
            <w:tcBorders>
              <w:left w:val="nil"/>
              <w:right w:val="nil"/>
            </w:tcBorders>
          </w:tcPr>
          <w:p w14:paraId="56F7280B" w14:textId="77777777" w:rsidR="00FB1EFE" w:rsidRDefault="009B07DA">
            <w:pPr>
              <w:spacing w:after="200" w:line="240" w:lineRule="auto"/>
              <w:contextualSpacing/>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p>
        </w:tc>
        <w:tc>
          <w:tcPr>
            <w:tcW w:w="1297" w:type="dxa"/>
            <w:tcBorders>
              <w:left w:val="nil"/>
            </w:tcBorders>
          </w:tcPr>
          <w:p w14:paraId="62C80EBA" w14:textId="77777777" w:rsidR="00FB1EFE" w:rsidRDefault="009B07DA">
            <w:pPr>
              <w:spacing w:after="200" w:line="240" w:lineRule="auto"/>
              <w:ind w:left="54"/>
              <w:contextualSpacing/>
              <w:rPr>
                <w:rFonts w:ascii="Book Antiqua" w:hAnsi="Book Antiqua"/>
                <w:b/>
                <w:sz w:val="20"/>
                <w:szCs w:val="20"/>
                <w:lang w:eastAsia="sk-SK"/>
              </w:rPr>
            </w:pPr>
            <w:r>
              <w:rPr>
                <w:rFonts w:ascii="Book Antiqua" w:hAnsi="Book Antiqua"/>
                <w:b/>
                <w:sz w:val="20"/>
                <w:szCs w:val="20"/>
                <w:lang w:eastAsia="sk-SK"/>
              </w:rPr>
              <w:t>Negatívne</w:t>
            </w:r>
          </w:p>
        </w:tc>
      </w:tr>
      <w:tr w:rsidR="00FB1EFE" w14:paraId="6E20B3E7" w14:textId="77777777">
        <w:tc>
          <w:tcPr>
            <w:tcW w:w="3812" w:type="dxa"/>
            <w:shd w:val="clear" w:color="auto" w:fill="E2E2E2"/>
          </w:tcPr>
          <w:p w14:paraId="3AA3BFD7" w14:textId="77777777" w:rsidR="00FB1EFE" w:rsidRDefault="009B07DA">
            <w:pPr>
              <w:spacing w:after="200" w:line="240" w:lineRule="auto"/>
              <w:contextualSpacing/>
              <w:rPr>
                <w:rFonts w:ascii="Book Antiqua" w:hAnsi="Book Antiqua"/>
                <w:b/>
                <w:sz w:val="20"/>
                <w:szCs w:val="20"/>
                <w:lang w:eastAsia="sk-SK"/>
              </w:rPr>
            </w:pPr>
            <w:r>
              <w:rPr>
                <w:rFonts w:ascii="Book Antiqua" w:hAnsi="Book Antiqua"/>
                <w:b/>
                <w:sz w:val="20"/>
                <w:szCs w:val="20"/>
                <w:lang w:eastAsia="sk-SK"/>
              </w:rPr>
              <w:t>Vplyvy na životné prostredie</w:t>
            </w:r>
          </w:p>
        </w:tc>
        <w:tc>
          <w:tcPr>
            <w:tcW w:w="541" w:type="dxa"/>
            <w:tcBorders>
              <w:right w:val="nil"/>
            </w:tcBorders>
          </w:tcPr>
          <w:p w14:paraId="3703656F" w14:textId="77777777" w:rsidR="00FB1EFE" w:rsidRDefault="009B07DA">
            <w:pPr>
              <w:spacing w:after="200" w:line="240" w:lineRule="auto"/>
              <w:contextualSpacing/>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p>
        </w:tc>
        <w:tc>
          <w:tcPr>
            <w:tcW w:w="1312" w:type="dxa"/>
            <w:tcBorders>
              <w:left w:val="nil"/>
              <w:right w:val="nil"/>
            </w:tcBorders>
          </w:tcPr>
          <w:p w14:paraId="1857345C" w14:textId="77777777" w:rsidR="00FB1EFE" w:rsidRDefault="009B07DA">
            <w:pPr>
              <w:spacing w:after="200" w:line="240" w:lineRule="auto"/>
              <w:ind w:right="-108"/>
              <w:contextualSpacing/>
              <w:rPr>
                <w:rFonts w:ascii="Book Antiqua" w:hAnsi="Book Antiqua"/>
                <w:b/>
                <w:sz w:val="20"/>
                <w:szCs w:val="20"/>
                <w:lang w:eastAsia="sk-SK"/>
              </w:rPr>
            </w:pPr>
            <w:r>
              <w:rPr>
                <w:rFonts w:ascii="Book Antiqua" w:hAnsi="Book Antiqua"/>
                <w:b/>
                <w:sz w:val="20"/>
                <w:szCs w:val="20"/>
                <w:lang w:eastAsia="sk-SK"/>
              </w:rPr>
              <w:t>Pozitívne</w:t>
            </w:r>
          </w:p>
        </w:tc>
        <w:tc>
          <w:tcPr>
            <w:tcW w:w="538" w:type="dxa"/>
            <w:gridSpan w:val="2"/>
            <w:tcBorders>
              <w:left w:val="nil"/>
              <w:right w:val="nil"/>
            </w:tcBorders>
          </w:tcPr>
          <w:p w14:paraId="64806983" w14:textId="77777777" w:rsidR="00FB1EFE" w:rsidRDefault="009B07DA">
            <w:pPr>
              <w:spacing w:after="200" w:line="240" w:lineRule="auto"/>
              <w:contextualSpacing/>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p>
        </w:tc>
        <w:tc>
          <w:tcPr>
            <w:tcW w:w="1133" w:type="dxa"/>
            <w:tcBorders>
              <w:left w:val="nil"/>
              <w:right w:val="nil"/>
            </w:tcBorders>
          </w:tcPr>
          <w:p w14:paraId="2D5CBA5B" w14:textId="77777777" w:rsidR="00FB1EFE" w:rsidRDefault="009B07DA">
            <w:pPr>
              <w:spacing w:after="200" w:line="240" w:lineRule="auto"/>
              <w:contextualSpacing/>
              <w:rPr>
                <w:rFonts w:ascii="Book Antiqua" w:hAnsi="Book Antiqua"/>
                <w:b/>
                <w:sz w:val="20"/>
                <w:szCs w:val="20"/>
                <w:lang w:eastAsia="sk-SK"/>
              </w:rPr>
            </w:pPr>
            <w:r>
              <w:rPr>
                <w:rFonts w:ascii="Book Antiqua" w:hAnsi="Book Antiqua"/>
                <w:b/>
                <w:sz w:val="20"/>
                <w:szCs w:val="20"/>
                <w:lang w:eastAsia="sk-SK"/>
              </w:rPr>
              <w:t>Žiadne</w:t>
            </w:r>
          </w:p>
        </w:tc>
        <w:tc>
          <w:tcPr>
            <w:tcW w:w="547" w:type="dxa"/>
            <w:gridSpan w:val="2"/>
            <w:tcBorders>
              <w:left w:val="nil"/>
              <w:right w:val="nil"/>
            </w:tcBorders>
          </w:tcPr>
          <w:p w14:paraId="596600E3" w14:textId="77777777" w:rsidR="00FB1EFE" w:rsidRDefault="009B07DA">
            <w:pPr>
              <w:spacing w:after="200" w:line="240" w:lineRule="auto"/>
              <w:contextualSpacing/>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p>
        </w:tc>
        <w:tc>
          <w:tcPr>
            <w:tcW w:w="1297" w:type="dxa"/>
            <w:tcBorders>
              <w:left w:val="nil"/>
            </w:tcBorders>
          </w:tcPr>
          <w:p w14:paraId="393CD769" w14:textId="77777777" w:rsidR="00FB1EFE" w:rsidRDefault="009B07DA">
            <w:pPr>
              <w:spacing w:after="200" w:line="240" w:lineRule="auto"/>
              <w:ind w:left="54"/>
              <w:contextualSpacing/>
              <w:rPr>
                <w:rFonts w:ascii="Book Antiqua" w:hAnsi="Book Antiqua"/>
                <w:b/>
                <w:sz w:val="20"/>
                <w:szCs w:val="20"/>
                <w:lang w:eastAsia="sk-SK"/>
              </w:rPr>
            </w:pPr>
            <w:r>
              <w:rPr>
                <w:rFonts w:ascii="Book Antiqua" w:hAnsi="Book Antiqua"/>
                <w:b/>
                <w:sz w:val="20"/>
                <w:szCs w:val="20"/>
                <w:lang w:eastAsia="sk-SK"/>
              </w:rPr>
              <w:t>Negatívne</w:t>
            </w:r>
          </w:p>
        </w:tc>
      </w:tr>
      <w:tr w:rsidR="00FB1EFE" w14:paraId="4B2CB816" w14:textId="77777777">
        <w:tc>
          <w:tcPr>
            <w:tcW w:w="3812" w:type="dxa"/>
            <w:shd w:val="clear" w:color="auto" w:fill="E2E2E2"/>
          </w:tcPr>
          <w:p w14:paraId="77A2A02C" w14:textId="77777777" w:rsidR="00FB1EFE" w:rsidRDefault="009B07DA">
            <w:pPr>
              <w:spacing w:after="200" w:line="240" w:lineRule="auto"/>
              <w:contextualSpacing/>
              <w:rPr>
                <w:rFonts w:ascii="Book Antiqua" w:hAnsi="Book Antiqua"/>
                <w:b/>
                <w:sz w:val="20"/>
                <w:szCs w:val="20"/>
                <w:lang w:eastAsia="sk-SK"/>
              </w:rPr>
            </w:pPr>
            <w:r>
              <w:rPr>
                <w:rFonts w:ascii="Book Antiqua" w:hAnsi="Book Antiqua"/>
                <w:b/>
                <w:sz w:val="20"/>
                <w:szCs w:val="20"/>
                <w:lang w:eastAsia="sk-SK"/>
              </w:rPr>
              <w:t>Vplyvy na informatizáciu spoločnosti</w:t>
            </w:r>
          </w:p>
        </w:tc>
        <w:tc>
          <w:tcPr>
            <w:tcW w:w="541" w:type="dxa"/>
            <w:tcBorders>
              <w:right w:val="nil"/>
            </w:tcBorders>
          </w:tcPr>
          <w:p w14:paraId="34E7B08C" w14:textId="77777777" w:rsidR="00FB1EFE" w:rsidRDefault="009B07DA">
            <w:pPr>
              <w:spacing w:after="200" w:line="240" w:lineRule="auto"/>
              <w:contextualSpacing/>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p>
        </w:tc>
        <w:tc>
          <w:tcPr>
            <w:tcW w:w="1312" w:type="dxa"/>
            <w:tcBorders>
              <w:left w:val="nil"/>
              <w:right w:val="nil"/>
            </w:tcBorders>
          </w:tcPr>
          <w:p w14:paraId="376CA860" w14:textId="77777777" w:rsidR="00FB1EFE" w:rsidRDefault="009B07DA">
            <w:pPr>
              <w:spacing w:after="200" w:line="240" w:lineRule="auto"/>
              <w:ind w:right="-108"/>
              <w:contextualSpacing/>
              <w:rPr>
                <w:rFonts w:ascii="Book Antiqua" w:hAnsi="Book Antiqua"/>
                <w:b/>
                <w:sz w:val="20"/>
                <w:szCs w:val="20"/>
                <w:lang w:eastAsia="sk-SK"/>
              </w:rPr>
            </w:pPr>
            <w:r>
              <w:rPr>
                <w:rFonts w:ascii="Book Antiqua" w:hAnsi="Book Antiqua"/>
                <w:b/>
                <w:sz w:val="20"/>
                <w:szCs w:val="20"/>
                <w:lang w:eastAsia="sk-SK"/>
              </w:rPr>
              <w:t>Pozitívne</w:t>
            </w:r>
          </w:p>
        </w:tc>
        <w:tc>
          <w:tcPr>
            <w:tcW w:w="538" w:type="dxa"/>
            <w:gridSpan w:val="2"/>
            <w:tcBorders>
              <w:left w:val="nil"/>
              <w:right w:val="nil"/>
            </w:tcBorders>
          </w:tcPr>
          <w:p w14:paraId="5E844995" w14:textId="77777777" w:rsidR="00FB1EFE" w:rsidRDefault="009B07DA">
            <w:pPr>
              <w:spacing w:after="200" w:line="240" w:lineRule="auto"/>
              <w:contextualSpacing/>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p>
        </w:tc>
        <w:tc>
          <w:tcPr>
            <w:tcW w:w="1133" w:type="dxa"/>
            <w:tcBorders>
              <w:left w:val="nil"/>
              <w:right w:val="nil"/>
            </w:tcBorders>
          </w:tcPr>
          <w:p w14:paraId="1407C9C0" w14:textId="77777777" w:rsidR="00FB1EFE" w:rsidRDefault="009B07DA">
            <w:pPr>
              <w:spacing w:after="200" w:line="240" w:lineRule="auto"/>
              <w:contextualSpacing/>
              <w:rPr>
                <w:rFonts w:ascii="Book Antiqua" w:hAnsi="Book Antiqua"/>
                <w:b/>
                <w:sz w:val="20"/>
                <w:szCs w:val="20"/>
                <w:lang w:eastAsia="sk-SK"/>
              </w:rPr>
            </w:pPr>
            <w:r>
              <w:rPr>
                <w:rFonts w:ascii="Book Antiqua" w:hAnsi="Book Antiqua"/>
                <w:b/>
                <w:sz w:val="20"/>
                <w:szCs w:val="20"/>
                <w:lang w:eastAsia="sk-SK"/>
              </w:rPr>
              <w:t>Žiadne</w:t>
            </w:r>
          </w:p>
        </w:tc>
        <w:tc>
          <w:tcPr>
            <w:tcW w:w="547" w:type="dxa"/>
            <w:gridSpan w:val="2"/>
            <w:tcBorders>
              <w:left w:val="nil"/>
              <w:right w:val="nil"/>
            </w:tcBorders>
          </w:tcPr>
          <w:p w14:paraId="09D37E74" w14:textId="77777777" w:rsidR="00FB1EFE" w:rsidRDefault="009B07DA">
            <w:pPr>
              <w:spacing w:after="200" w:line="240" w:lineRule="auto"/>
              <w:contextualSpacing/>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p>
        </w:tc>
        <w:tc>
          <w:tcPr>
            <w:tcW w:w="1297" w:type="dxa"/>
            <w:tcBorders>
              <w:left w:val="nil"/>
            </w:tcBorders>
          </w:tcPr>
          <w:p w14:paraId="11A6E85B" w14:textId="77777777" w:rsidR="00FB1EFE" w:rsidRDefault="009B07DA">
            <w:pPr>
              <w:spacing w:after="200" w:line="240" w:lineRule="auto"/>
              <w:ind w:left="54"/>
              <w:contextualSpacing/>
              <w:rPr>
                <w:rFonts w:ascii="Book Antiqua" w:hAnsi="Book Antiqua"/>
                <w:b/>
                <w:sz w:val="20"/>
                <w:szCs w:val="20"/>
                <w:lang w:eastAsia="sk-SK"/>
              </w:rPr>
            </w:pPr>
            <w:r>
              <w:rPr>
                <w:rFonts w:ascii="Book Antiqua" w:hAnsi="Book Antiqua"/>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FB1EFE" w14:paraId="033D29A6" w14:textId="77777777">
        <w:tc>
          <w:tcPr>
            <w:tcW w:w="3812" w:type="dxa"/>
            <w:tcBorders>
              <w:bottom w:val="nil"/>
            </w:tcBorders>
            <w:shd w:val="clear" w:color="auto" w:fill="E2E2E2"/>
          </w:tcPr>
          <w:p w14:paraId="0D9EF358" w14:textId="77777777" w:rsidR="00FB1EFE" w:rsidRDefault="009B07DA">
            <w:pPr>
              <w:spacing w:after="0" w:line="240" w:lineRule="auto"/>
              <w:contextualSpacing/>
              <w:rPr>
                <w:rFonts w:ascii="Book Antiqua" w:eastAsia="Times New Roman" w:hAnsi="Book Antiqua" w:cs="Times New Roman"/>
                <w:b/>
                <w:sz w:val="20"/>
                <w:szCs w:val="20"/>
                <w:lang w:eastAsia="sk-SK"/>
              </w:rPr>
            </w:pPr>
            <w:r>
              <w:rPr>
                <w:rFonts w:ascii="Book Antiqua" w:eastAsia="Times New Roman" w:hAnsi="Book Antiqua" w:cs="Times New Roman"/>
                <w:b/>
                <w:sz w:val="20"/>
                <w:szCs w:val="20"/>
              </w:rPr>
              <w:t>Vplyvy na služby verejnej správy pre občana</w:t>
            </w:r>
          </w:p>
        </w:tc>
        <w:tc>
          <w:tcPr>
            <w:tcW w:w="541" w:type="dxa"/>
            <w:tcBorders>
              <w:bottom w:val="nil"/>
              <w:right w:val="nil"/>
            </w:tcBorders>
          </w:tcPr>
          <w:p w14:paraId="25EA3829" w14:textId="77777777" w:rsidR="00FB1EFE" w:rsidRDefault="00FB1EFE">
            <w:pPr>
              <w:spacing w:after="0" w:line="240" w:lineRule="auto"/>
              <w:contextualSpacing/>
              <w:rPr>
                <w:rFonts w:ascii="Book Antiqua" w:eastAsia="MS Mincho" w:hAnsi="Book Antiqua" w:cs="Times New Roman"/>
                <w:b/>
                <w:sz w:val="20"/>
                <w:szCs w:val="20"/>
                <w:lang w:eastAsia="sk-SK"/>
              </w:rPr>
            </w:pPr>
          </w:p>
        </w:tc>
        <w:tc>
          <w:tcPr>
            <w:tcW w:w="1281" w:type="dxa"/>
            <w:tcBorders>
              <w:left w:val="nil"/>
              <w:bottom w:val="nil"/>
              <w:right w:val="nil"/>
            </w:tcBorders>
          </w:tcPr>
          <w:p w14:paraId="2579316C" w14:textId="77777777" w:rsidR="00FB1EFE" w:rsidRDefault="00FB1EFE">
            <w:pPr>
              <w:spacing w:after="0" w:line="240" w:lineRule="auto"/>
              <w:ind w:right="-108"/>
              <w:contextualSpacing/>
              <w:rPr>
                <w:rFonts w:ascii="Book Antiqua" w:eastAsia="Times New Roman" w:hAnsi="Book Antiqua" w:cs="Times New Roman"/>
                <w:b/>
                <w:sz w:val="20"/>
                <w:szCs w:val="20"/>
                <w:lang w:eastAsia="sk-SK"/>
              </w:rPr>
            </w:pPr>
          </w:p>
        </w:tc>
        <w:tc>
          <w:tcPr>
            <w:tcW w:w="569" w:type="dxa"/>
            <w:gridSpan w:val="2"/>
            <w:tcBorders>
              <w:left w:val="nil"/>
              <w:bottom w:val="nil"/>
              <w:right w:val="nil"/>
            </w:tcBorders>
          </w:tcPr>
          <w:p w14:paraId="3569BC60" w14:textId="77777777" w:rsidR="00FB1EFE" w:rsidRDefault="00FB1EFE">
            <w:pPr>
              <w:spacing w:after="0" w:line="240" w:lineRule="auto"/>
              <w:contextualSpacing/>
              <w:jc w:val="center"/>
              <w:rPr>
                <w:rFonts w:ascii="Book Antiqua" w:eastAsia="MS Mincho" w:hAnsi="Book Antiqua" w:cs="Times New Roman"/>
                <w:b/>
                <w:sz w:val="20"/>
                <w:szCs w:val="20"/>
                <w:lang w:eastAsia="sk-SK"/>
              </w:rPr>
            </w:pPr>
          </w:p>
        </w:tc>
        <w:tc>
          <w:tcPr>
            <w:tcW w:w="1133" w:type="dxa"/>
            <w:tcBorders>
              <w:left w:val="nil"/>
              <w:bottom w:val="nil"/>
              <w:right w:val="nil"/>
            </w:tcBorders>
          </w:tcPr>
          <w:p w14:paraId="346C74EF" w14:textId="77777777" w:rsidR="00FB1EFE" w:rsidRDefault="00FB1EFE">
            <w:pPr>
              <w:spacing w:after="0" w:line="240" w:lineRule="auto"/>
              <w:contextualSpacing/>
              <w:rPr>
                <w:rFonts w:ascii="Book Antiqua" w:eastAsia="Times New Roman" w:hAnsi="Book Antiqua" w:cs="Times New Roman"/>
                <w:b/>
                <w:sz w:val="20"/>
                <w:szCs w:val="20"/>
                <w:lang w:eastAsia="sk-SK"/>
              </w:rPr>
            </w:pPr>
          </w:p>
        </w:tc>
        <w:tc>
          <w:tcPr>
            <w:tcW w:w="547" w:type="dxa"/>
            <w:tcBorders>
              <w:left w:val="nil"/>
              <w:bottom w:val="nil"/>
              <w:right w:val="nil"/>
            </w:tcBorders>
          </w:tcPr>
          <w:p w14:paraId="3FCEC84B" w14:textId="77777777" w:rsidR="00FB1EFE" w:rsidRDefault="00FB1EFE">
            <w:pPr>
              <w:spacing w:after="0" w:line="240" w:lineRule="auto"/>
              <w:contextualSpacing/>
              <w:jc w:val="center"/>
              <w:rPr>
                <w:rFonts w:ascii="Book Antiqua" w:eastAsia="MS Mincho" w:hAnsi="Book Antiqua" w:cs="Times New Roman"/>
                <w:b/>
                <w:sz w:val="20"/>
                <w:szCs w:val="20"/>
                <w:lang w:eastAsia="sk-SK"/>
              </w:rPr>
            </w:pPr>
          </w:p>
        </w:tc>
        <w:tc>
          <w:tcPr>
            <w:tcW w:w="1297" w:type="dxa"/>
            <w:tcBorders>
              <w:left w:val="nil"/>
              <w:bottom w:val="nil"/>
            </w:tcBorders>
          </w:tcPr>
          <w:p w14:paraId="7AE6CC6B" w14:textId="77777777" w:rsidR="00FB1EFE" w:rsidRDefault="00FB1EFE">
            <w:pPr>
              <w:spacing w:after="0" w:line="240" w:lineRule="auto"/>
              <w:ind w:left="54"/>
              <w:contextualSpacing/>
              <w:rPr>
                <w:rFonts w:ascii="Book Antiqua" w:eastAsia="Times New Roman" w:hAnsi="Book Antiqua" w:cs="Times New Roman"/>
                <w:b/>
                <w:sz w:val="20"/>
                <w:szCs w:val="20"/>
                <w:lang w:eastAsia="sk-SK"/>
              </w:rPr>
            </w:pPr>
          </w:p>
        </w:tc>
      </w:tr>
      <w:tr w:rsidR="00FB1EFE" w14:paraId="3CB3EF1A" w14:textId="77777777">
        <w:tc>
          <w:tcPr>
            <w:tcW w:w="3812" w:type="dxa"/>
            <w:tcBorders>
              <w:top w:val="nil"/>
              <w:bottom w:val="nil"/>
            </w:tcBorders>
            <w:shd w:val="clear" w:color="auto" w:fill="E2E2E2"/>
          </w:tcPr>
          <w:p w14:paraId="5C7373AF" w14:textId="77777777" w:rsidR="00FB1EFE" w:rsidRDefault="00FB1EFE">
            <w:pPr>
              <w:spacing w:after="0" w:line="240" w:lineRule="auto"/>
              <w:contextualSpacing/>
              <w:rPr>
                <w:rFonts w:ascii="Book Antiqua" w:eastAsia="Times New Roman" w:hAnsi="Book Antiqua" w:cs="Times New Roman"/>
                <w:b/>
                <w:sz w:val="20"/>
                <w:szCs w:val="20"/>
              </w:rPr>
            </w:pPr>
          </w:p>
        </w:tc>
        <w:tc>
          <w:tcPr>
            <w:tcW w:w="541" w:type="dxa"/>
            <w:tcBorders>
              <w:top w:val="nil"/>
              <w:bottom w:val="dotted" w:sz="4" w:space="0" w:color="auto"/>
              <w:right w:val="nil"/>
            </w:tcBorders>
          </w:tcPr>
          <w:p w14:paraId="5429EB20" w14:textId="77777777" w:rsidR="00FB1EFE" w:rsidRDefault="009B07DA">
            <w:pPr>
              <w:spacing w:after="0" w:line="240" w:lineRule="auto"/>
              <w:contextualSpacing/>
              <w:jc w:val="center"/>
              <w:rPr>
                <w:rFonts w:ascii="Book Antiqua" w:eastAsia="Times New Roman" w:hAnsi="Book Antiqua" w:cs="Times New Roman"/>
                <w:b/>
                <w:sz w:val="20"/>
                <w:szCs w:val="20"/>
                <w:lang w:eastAsia="sk-SK"/>
              </w:rPr>
            </w:pPr>
            <w:r>
              <w:rPr>
                <w:rFonts w:ascii="Segoe UI Symbol" w:eastAsia="MS Gothic" w:hAnsi="Segoe UI Symbol" w:cs="Segoe UI Symbol"/>
                <w:b/>
                <w:sz w:val="20"/>
                <w:szCs w:val="20"/>
                <w:lang w:eastAsia="sk-SK"/>
              </w:rPr>
              <w:t>☐</w:t>
            </w:r>
          </w:p>
        </w:tc>
        <w:tc>
          <w:tcPr>
            <w:tcW w:w="1312" w:type="dxa"/>
            <w:gridSpan w:val="2"/>
            <w:tcBorders>
              <w:top w:val="nil"/>
              <w:left w:val="nil"/>
              <w:bottom w:val="dotted" w:sz="4" w:space="0" w:color="auto"/>
              <w:right w:val="nil"/>
            </w:tcBorders>
          </w:tcPr>
          <w:p w14:paraId="672E0057" w14:textId="77777777" w:rsidR="00FB1EFE" w:rsidRDefault="009B07DA">
            <w:pPr>
              <w:spacing w:after="0" w:line="240" w:lineRule="auto"/>
              <w:ind w:right="-108"/>
              <w:contextualSpacing/>
              <w:rPr>
                <w:rFonts w:ascii="Book Antiqua" w:eastAsia="Times New Roman" w:hAnsi="Book Antiqua" w:cs="Times New Roman"/>
                <w:b/>
                <w:sz w:val="20"/>
                <w:szCs w:val="20"/>
                <w:lang w:eastAsia="sk-SK"/>
              </w:rPr>
            </w:pPr>
            <w:r>
              <w:rPr>
                <w:rFonts w:ascii="Book Antiqua" w:eastAsia="Times New Roman" w:hAnsi="Book Antiqua" w:cs="Times New Roman"/>
                <w:b/>
                <w:sz w:val="20"/>
                <w:szCs w:val="20"/>
                <w:lang w:eastAsia="sk-SK"/>
              </w:rPr>
              <w:t>Pozitívne</w:t>
            </w:r>
          </w:p>
        </w:tc>
        <w:tc>
          <w:tcPr>
            <w:tcW w:w="538" w:type="dxa"/>
            <w:tcBorders>
              <w:top w:val="nil"/>
              <w:left w:val="nil"/>
              <w:bottom w:val="dotted" w:sz="4" w:space="0" w:color="auto"/>
              <w:right w:val="nil"/>
            </w:tcBorders>
          </w:tcPr>
          <w:p w14:paraId="6AD00203" w14:textId="77777777" w:rsidR="00FB1EFE" w:rsidRDefault="009B07DA">
            <w:pPr>
              <w:spacing w:after="0" w:line="240" w:lineRule="auto"/>
              <w:contextualSpacing/>
              <w:jc w:val="center"/>
              <w:rPr>
                <w:rFonts w:ascii="Book Antiqua" w:eastAsia="Times New Roman" w:hAnsi="Book Antiqua" w:cs="Times New Roman"/>
                <w:b/>
                <w:sz w:val="20"/>
                <w:szCs w:val="20"/>
                <w:lang w:eastAsia="sk-SK"/>
              </w:rPr>
            </w:pPr>
            <w:r>
              <w:rPr>
                <w:rFonts w:ascii="Segoe UI Symbol" w:eastAsia="MS Gothic" w:hAnsi="Segoe UI Symbol" w:cs="Segoe UI Symbol"/>
                <w:b/>
                <w:sz w:val="20"/>
                <w:szCs w:val="20"/>
                <w:lang w:eastAsia="sk-SK"/>
              </w:rPr>
              <w:t>☒</w:t>
            </w:r>
          </w:p>
        </w:tc>
        <w:tc>
          <w:tcPr>
            <w:tcW w:w="1133" w:type="dxa"/>
            <w:tcBorders>
              <w:top w:val="nil"/>
              <w:left w:val="nil"/>
              <w:bottom w:val="dotted" w:sz="4" w:space="0" w:color="auto"/>
              <w:right w:val="nil"/>
            </w:tcBorders>
          </w:tcPr>
          <w:p w14:paraId="48EA2952" w14:textId="77777777" w:rsidR="00FB1EFE" w:rsidRDefault="009B07DA">
            <w:pPr>
              <w:spacing w:after="0" w:line="240" w:lineRule="auto"/>
              <w:contextualSpacing/>
              <w:rPr>
                <w:rFonts w:ascii="Book Antiqua" w:eastAsia="Times New Roman" w:hAnsi="Book Antiqua" w:cs="Times New Roman"/>
                <w:b/>
                <w:sz w:val="20"/>
                <w:szCs w:val="20"/>
                <w:lang w:eastAsia="sk-SK"/>
              </w:rPr>
            </w:pPr>
            <w:r>
              <w:rPr>
                <w:rFonts w:ascii="Book Antiqua" w:eastAsia="Times New Roman" w:hAnsi="Book Antiqua" w:cs="Times New Roman"/>
                <w:b/>
                <w:sz w:val="20"/>
                <w:szCs w:val="20"/>
                <w:lang w:eastAsia="sk-SK"/>
              </w:rPr>
              <w:t>Žiadne</w:t>
            </w:r>
          </w:p>
        </w:tc>
        <w:tc>
          <w:tcPr>
            <w:tcW w:w="547" w:type="dxa"/>
            <w:tcBorders>
              <w:top w:val="nil"/>
              <w:left w:val="nil"/>
              <w:bottom w:val="dotted" w:sz="4" w:space="0" w:color="auto"/>
              <w:right w:val="nil"/>
            </w:tcBorders>
          </w:tcPr>
          <w:p w14:paraId="5A400EEC" w14:textId="77777777" w:rsidR="00FB1EFE" w:rsidRDefault="009B07DA">
            <w:pPr>
              <w:spacing w:after="0" w:line="240" w:lineRule="auto"/>
              <w:contextualSpacing/>
              <w:jc w:val="center"/>
              <w:rPr>
                <w:rFonts w:ascii="Book Antiqua" w:eastAsia="Times New Roman" w:hAnsi="Book Antiqua" w:cs="Times New Roman"/>
                <w:b/>
                <w:sz w:val="20"/>
                <w:szCs w:val="20"/>
                <w:lang w:eastAsia="sk-SK"/>
              </w:rPr>
            </w:pPr>
            <w:r>
              <w:rPr>
                <w:rFonts w:ascii="Segoe UI Symbol" w:eastAsia="MS Gothic" w:hAnsi="Segoe UI Symbol" w:cs="Segoe UI Symbol"/>
                <w:b/>
                <w:sz w:val="20"/>
                <w:szCs w:val="20"/>
                <w:lang w:eastAsia="sk-SK"/>
              </w:rPr>
              <w:t>☐</w:t>
            </w:r>
          </w:p>
        </w:tc>
        <w:tc>
          <w:tcPr>
            <w:tcW w:w="1297" w:type="dxa"/>
            <w:tcBorders>
              <w:top w:val="nil"/>
              <w:left w:val="nil"/>
              <w:bottom w:val="dotted" w:sz="4" w:space="0" w:color="auto"/>
            </w:tcBorders>
          </w:tcPr>
          <w:p w14:paraId="66894F4B" w14:textId="77777777" w:rsidR="00FB1EFE" w:rsidRDefault="009B07DA">
            <w:pPr>
              <w:spacing w:after="0" w:line="240" w:lineRule="auto"/>
              <w:ind w:left="54"/>
              <w:contextualSpacing/>
              <w:rPr>
                <w:rFonts w:ascii="Book Antiqua" w:eastAsia="Times New Roman" w:hAnsi="Book Antiqua" w:cs="Times New Roman"/>
                <w:b/>
                <w:sz w:val="20"/>
                <w:szCs w:val="20"/>
                <w:lang w:eastAsia="sk-SK"/>
              </w:rPr>
            </w:pPr>
            <w:r>
              <w:rPr>
                <w:rFonts w:ascii="Book Antiqua" w:eastAsia="Times New Roman" w:hAnsi="Book Antiqua"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FB1EFE" w14:paraId="3FD52C97" w14:textId="77777777">
        <w:tc>
          <w:tcPr>
            <w:tcW w:w="3812" w:type="dxa"/>
            <w:tcBorders>
              <w:top w:val="single" w:sz="4" w:space="0" w:color="000000"/>
            </w:tcBorders>
            <w:shd w:val="clear" w:color="auto" w:fill="E2E2E2"/>
          </w:tcPr>
          <w:p w14:paraId="5DE87FC7" w14:textId="77777777" w:rsidR="00FB1EFE" w:rsidRDefault="009B07DA">
            <w:pPr>
              <w:spacing w:after="200" w:line="240" w:lineRule="auto"/>
              <w:contextualSpacing/>
              <w:rPr>
                <w:rFonts w:ascii="Book Antiqua" w:hAnsi="Book Antiqua"/>
                <w:b/>
                <w:sz w:val="20"/>
                <w:szCs w:val="20"/>
                <w:lang w:eastAsia="sk-SK"/>
              </w:rPr>
            </w:pPr>
            <w:r>
              <w:rPr>
                <w:rFonts w:ascii="Book Antiqua" w:hAnsi="Book Antiqua"/>
                <w:b/>
                <w:sz w:val="20"/>
                <w:szCs w:val="20"/>
              </w:rPr>
              <w:t>Vplyvy na manželstvo, rodičovstvo, rodinu a deti</w:t>
            </w:r>
          </w:p>
        </w:tc>
        <w:tc>
          <w:tcPr>
            <w:tcW w:w="541" w:type="dxa"/>
            <w:tcBorders>
              <w:right w:val="nil"/>
            </w:tcBorders>
            <w:vAlign w:val="center"/>
          </w:tcPr>
          <w:p w14:paraId="3B7ACC23" w14:textId="77777777" w:rsidR="00FB1EFE" w:rsidRDefault="009B07DA">
            <w:pPr>
              <w:spacing w:after="200" w:line="240" w:lineRule="auto"/>
              <w:contextualSpacing/>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p>
        </w:tc>
        <w:tc>
          <w:tcPr>
            <w:tcW w:w="1312" w:type="dxa"/>
            <w:tcBorders>
              <w:left w:val="nil"/>
              <w:right w:val="nil"/>
            </w:tcBorders>
            <w:vAlign w:val="center"/>
          </w:tcPr>
          <w:p w14:paraId="70F62232" w14:textId="77777777" w:rsidR="00FB1EFE" w:rsidRDefault="009B07DA">
            <w:pPr>
              <w:spacing w:after="200" w:line="240" w:lineRule="auto"/>
              <w:ind w:right="-108"/>
              <w:contextualSpacing/>
              <w:rPr>
                <w:rFonts w:ascii="Book Antiqua" w:hAnsi="Book Antiqua"/>
                <w:b/>
                <w:sz w:val="20"/>
                <w:szCs w:val="20"/>
                <w:lang w:eastAsia="sk-SK"/>
              </w:rPr>
            </w:pPr>
            <w:r>
              <w:rPr>
                <w:rFonts w:ascii="Book Antiqua" w:hAnsi="Book Antiqua"/>
                <w:b/>
                <w:sz w:val="20"/>
                <w:szCs w:val="20"/>
                <w:lang w:eastAsia="sk-SK"/>
              </w:rPr>
              <w:t>Pozitívne</w:t>
            </w:r>
          </w:p>
        </w:tc>
        <w:tc>
          <w:tcPr>
            <w:tcW w:w="538" w:type="dxa"/>
            <w:tcBorders>
              <w:left w:val="nil"/>
              <w:right w:val="nil"/>
            </w:tcBorders>
            <w:vAlign w:val="center"/>
          </w:tcPr>
          <w:p w14:paraId="2D8ABCF2" w14:textId="77777777" w:rsidR="00FB1EFE" w:rsidRDefault="009B07DA">
            <w:pPr>
              <w:spacing w:after="200" w:line="240" w:lineRule="auto"/>
              <w:contextualSpacing/>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p>
        </w:tc>
        <w:tc>
          <w:tcPr>
            <w:tcW w:w="1133" w:type="dxa"/>
            <w:tcBorders>
              <w:left w:val="nil"/>
              <w:right w:val="nil"/>
            </w:tcBorders>
            <w:vAlign w:val="center"/>
          </w:tcPr>
          <w:p w14:paraId="3E7F4F3B" w14:textId="77777777" w:rsidR="00FB1EFE" w:rsidRDefault="009B07DA">
            <w:pPr>
              <w:spacing w:after="200" w:line="240" w:lineRule="auto"/>
              <w:contextualSpacing/>
              <w:rPr>
                <w:rFonts w:ascii="Book Antiqua" w:hAnsi="Book Antiqua"/>
                <w:b/>
                <w:sz w:val="20"/>
                <w:szCs w:val="20"/>
                <w:lang w:eastAsia="sk-SK"/>
              </w:rPr>
            </w:pPr>
            <w:r>
              <w:rPr>
                <w:rFonts w:ascii="Book Antiqua" w:hAnsi="Book Antiqua"/>
                <w:b/>
                <w:sz w:val="20"/>
                <w:szCs w:val="20"/>
                <w:lang w:eastAsia="sk-SK"/>
              </w:rPr>
              <w:t>Žiadne</w:t>
            </w:r>
          </w:p>
        </w:tc>
        <w:tc>
          <w:tcPr>
            <w:tcW w:w="547" w:type="dxa"/>
            <w:tcBorders>
              <w:left w:val="nil"/>
              <w:right w:val="nil"/>
            </w:tcBorders>
            <w:vAlign w:val="center"/>
          </w:tcPr>
          <w:p w14:paraId="350F5091" w14:textId="77777777" w:rsidR="00FB1EFE" w:rsidRDefault="009B07DA">
            <w:pPr>
              <w:spacing w:after="200" w:line="240" w:lineRule="auto"/>
              <w:contextualSpacing/>
              <w:jc w:val="center"/>
              <w:rPr>
                <w:rFonts w:ascii="Book Antiqua" w:hAnsi="Book Antiqua"/>
                <w:b/>
                <w:sz w:val="20"/>
                <w:szCs w:val="20"/>
                <w:lang w:eastAsia="sk-SK"/>
              </w:rPr>
            </w:pPr>
            <w:r>
              <w:rPr>
                <w:rFonts w:ascii="Segoe UI Symbol" w:eastAsia="MS Gothic" w:hAnsi="Segoe UI Symbol" w:cs="Segoe UI Symbol"/>
                <w:b/>
                <w:sz w:val="20"/>
                <w:szCs w:val="20"/>
                <w:lang w:eastAsia="sk-SK"/>
              </w:rPr>
              <w:t>☐</w:t>
            </w:r>
          </w:p>
        </w:tc>
        <w:tc>
          <w:tcPr>
            <w:tcW w:w="1297" w:type="dxa"/>
            <w:tcBorders>
              <w:left w:val="nil"/>
            </w:tcBorders>
            <w:vAlign w:val="center"/>
          </w:tcPr>
          <w:p w14:paraId="2792A51E" w14:textId="77777777" w:rsidR="00FB1EFE" w:rsidRDefault="009B07DA">
            <w:pPr>
              <w:spacing w:after="200" w:line="240" w:lineRule="auto"/>
              <w:ind w:left="54"/>
              <w:contextualSpacing/>
              <w:rPr>
                <w:rFonts w:ascii="Book Antiqua" w:hAnsi="Book Antiqua"/>
                <w:b/>
                <w:sz w:val="20"/>
                <w:szCs w:val="20"/>
                <w:lang w:eastAsia="sk-SK"/>
              </w:rPr>
            </w:pPr>
            <w:r>
              <w:rPr>
                <w:rFonts w:ascii="Book Antiqua" w:hAnsi="Book Antiqua"/>
                <w:b/>
                <w:sz w:val="20"/>
                <w:szCs w:val="20"/>
                <w:lang w:eastAsia="sk-SK"/>
              </w:rPr>
              <w:t>Negatívne</w:t>
            </w:r>
          </w:p>
        </w:tc>
      </w:tr>
    </w:tbl>
    <w:p w14:paraId="701C7BA3" w14:textId="77777777" w:rsidR="00FB1EFE" w:rsidRDefault="00FB1EFE">
      <w:pPr>
        <w:spacing w:after="0" w:line="240" w:lineRule="auto"/>
        <w:ind w:right="141"/>
        <w:rPr>
          <w:rFonts w:ascii="Book Antiqua" w:eastAsia="Times New Roman" w:hAnsi="Book Antiqua"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FB1EFE" w14:paraId="56C4756A" w14:textId="77777777">
        <w:tc>
          <w:tcPr>
            <w:tcW w:w="9176" w:type="dxa"/>
            <w:tcBorders>
              <w:bottom w:val="nil"/>
            </w:tcBorders>
            <w:shd w:val="clear" w:color="auto" w:fill="E2E2E2"/>
          </w:tcPr>
          <w:p w14:paraId="0FC013CE" w14:textId="77777777" w:rsidR="00FB1EFE" w:rsidRDefault="009B07DA">
            <w:pPr>
              <w:numPr>
                <w:ilvl w:val="0"/>
                <w:numId w:val="3"/>
              </w:numPr>
              <w:spacing w:after="0" w:line="240" w:lineRule="auto"/>
              <w:ind w:left="426"/>
              <w:contextualSpacing/>
              <w:rPr>
                <w:rFonts w:ascii="Book Antiqua" w:hAnsi="Book Antiqua"/>
                <w:b/>
                <w:sz w:val="20"/>
                <w:szCs w:val="20"/>
              </w:rPr>
            </w:pPr>
            <w:r>
              <w:rPr>
                <w:rFonts w:ascii="Book Antiqua" w:hAnsi="Book Antiqua"/>
                <w:b/>
                <w:sz w:val="20"/>
                <w:szCs w:val="20"/>
              </w:rPr>
              <w:t>Poznámky</w:t>
            </w:r>
          </w:p>
        </w:tc>
      </w:tr>
      <w:tr w:rsidR="00FB1EFE" w14:paraId="09F16CF0" w14:textId="77777777">
        <w:trPr>
          <w:trHeight w:val="713"/>
        </w:trPr>
        <w:tc>
          <w:tcPr>
            <w:tcW w:w="9176" w:type="dxa"/>
            <w:tcBorders>
              <w:top w:val="nil"/>
            </w:tcBorders>
          </w:tcPr>
          <w:p w14:paraId="7CDEC9D2" w14:textId="77777777" w:rsidR="00FB1EFE" w:rsidRDefault="009B07DA">
            <w:pPr>
              <w:spacing w:before="120" w:after="0" w:line="276" w:lineRule="auto"/>
              <w:jc w:val="both"/>
              <w:rPr>
                <w:rFonts w:ascii="Book Antiqua" w:hAnsi="Book Antiqua"/>
                <w:sz w:val="20"/>
                <w:szCs w:val="20"/>
                <w:lang w:eastAsia="ar-SA"/>
              </w:rPr>
            </w:pPr>
            <w:r>
              <w:rPr>
                <w:rFonts w:ascii="Book Antiqua" w:hAnsi="Book Antiqua"/>
                <w:sz w:val="20"/>
                <w:szCs w:val="20"/>
                <w:lang w:eastAsia="ar-SA"/>
              </w:rPr>
              <w:t>Návrh zákona nezakladá žiadne priame vplyvy podľa bodu 9.</w:t>
            </w:r>
          </w:p>
        </w:tc>
      </w:tr>
      <w:tr w:rsidR="00FB1EFE" w14:paraId="525470B5" w14:textId="77777777">
        <w:tc>
          <w:tcPr>
            <w:tcW w:w="9176" w:type="dxa"/>
          </w:tcPr>
          <w:p w14:paraId="0DECD92E" w14:textId="77777777" w:rsidR="00FB1EFE" w:rsidRDefault="009B07DA">
            <w:pPr>
              <w:numPr>
                <w:ilvl w:val="0"/>
                <w:numId w:val="3"/>
              </w:numPr>
              <w:spacing w:after="0" w:line="240" w:lineRule="auto"/>
              <w:ind w:left="426"/>
              <w:contextualSpacing/>
              <w:rPr>
                <w:rFonts w:ascii="Book Antiqua" w:hAnsi="Book Antiqua"/>
                <w:b/>
                <w:sz w:val="20"/>
                <w:szCs w:val="20"/>
              </w:rPr>
            </w:pPr>
            <w:r>
              <w:rPr>
                <w:rFonts w:ascii="Book Antiqua" w:hAnsi="Book Antiqua"/>
                <w:b/>
                <w:sz w:val="20"/>
                <w:szCs w:val="20"/>
              </w:rPr>
              <w:t xml:space="preserve">Kontakt na spracovateľa/súčinnosť </w:t>
            </w:r>
          </w:p>
        </w:tc>
      </w:tr>
      <w:tr w:rsidR="00FB1EFE" w14:paraId="40B39711" w14:textId="77777777">
        <w:trPr>
          <w:trHeight w:val="586"/>
        </w:trPr>
        <w:tc>
          <w:tcPr>
            <w:tcW w:w="9176" w:type="dxa"/>
          </w:tcPr>
          <w:p w14:paraId="0C74B609" w14:textId="77777777" w:rsidR="00FB1EFE" w:rsidRDefault="009B07DA">
            <w:pPr>
              <w:spacing w:after="200" w:line="276" w:lineRule="auto"/>
              <w:rPr>
                <w:rFonts w:ascii="Book Antiqua" w:hAnsi="Book Antiqua"/>
                <w:i/>
                <w:sz w:val="20"/>
                <w:szCs w:val="20"/>
                <w:lang w:eastAsia="sk-SK"/>
              </w:rPr>
            </w:pPr>
            <w:r>
              <w:rPr>
                <w:rFonts w:ascii="Book Antiqua" w:hAnsi="Book Antiqua"/>
                <w:i/>
                <w:sz w:val="20"/>
                <w:szCs w:val="20"/>
                <w:lang w:eastAsia="sk-SK"/>
              </w:rPr>
              <w:t>Vypracovali ste návrh zákona v súčinnosti s príslušným ministerstvom?</w:t>
            </w:r>
            <w:r>
              <w:rPr>
                <w:rFonts w:ascii="Book Antiqua" w:hAnsi="Book Antiqua"/>
                <w:b/>
                <w:sz w:val="20"/>
                <w:szCs w:val="20"/>
                <w:lang w:eastAsia="sk-SK"/>
              </w:rPr>
              <w:t xml:space="preserve">                </w:t>
            </w:r>
            <w:r>
              <w:rPr>
                <w:rFonts w:ascii="Segoe UI Symbol" w:eastAsia="MS Gothic" w:hAnsi="Segoe UI Symbol" w:cs="Segoe UI Symbol"/>
                <w:b/>
                <w:sz w:val="20"/>
                <w:szCs w:val="20"/>
                <w:lang w:eastAsia="sk-SK"/>
              </w:rPr>
              <w:t>☐</w:t>
            </w:r>
            <w:r>
              <w:rPr>
                <w:rFonts w:ascii="Book Antiqua" w:hAnsi="Book Antiqua"/>
                <w:b/>
                <w:sz w:val="20"/>
                <w:szCs w:val="20"/>
                <w:lang w:eastAsia="sk-SK"/>
              </w:rPr>
              <w:t xml:space="preserve">     Áno              </w:t>
            </w:r>
            <w:r>
              <w:rPr>
                <w:rFonts w:ascii="Segoe UI Symbol" w:eastAsia="MS Gothic" w:hAnsi="Segoe UI Symbol" w:cs="Segoe UI Symbol"/>
                <w:b/>
                <w:sz w:val="20"/>
                <w:szCs w:val="20"/>
                <w:lang w:eastAsia="sk-SK"/>
              </w:rPr>
              <w:t>☒</w:t>
            </w:r>
            <w:r>
              <w:rPr>
                <w:rFonts w:ascii="Book Antiqua" w:hAnsi="Book Antiqua"/>
                <w:b/>
                <w:sz w:val="20"/>
                <w:szCs w:val="20"/>
                <w:lang w:eastAsia="sk-SK"/>
              </w:rPr>
              <w:t xml:space="preserve">  Nie</w:t>
            </w:r>
          </w:p>
          <w:p w14:paraId="7478286B" w14:textId="77777777" w:rsidR="00FB1EFE" w:rsidRDefault="009B07DA">
            <w:pPr>
              <w:spacing w:after="200" w:line="276" w:lineRule="auto"/>
              <w:rPr>
                <w:rFonts w:ascii="Book Antiqua" w:hAnsi="Book Antiqua"/>
                <w:i/>
                <w:sz w:val="20"/>
                <w:szCs w:val="20"/>
                <w:lang w:eastAsia="sk-SK"/>
              </w:rPr>
            </w:pPr>
            <w:r>
              <w:rPr>
                <w:rFonts w:ascii="Book Antiqua" w:hAnsi="Book Antiqua"/>
                <w:i/>
                <w:sz w:val="20"/>
                <w:szCs w:val="20"/>
                <w:lang w:eastAsia="sk-SK"/>
              </w:rPr>
              <w:t>Uveďte údaje na kontaktnú osobu, ktorú je možné kontaktovať v súvislosti s posúdením vybraných vplyvov.</w:t>
            </w:r>
          </w:p>
        </w:tc>
      </w:tr>
      <w:tr w:rsidR="00FB1EFE" w14:paraId="471D72EA" w14:textId="77777777">
        <w:tc>
          <w:tcPr>
            <w:tcW w:w="9176" w:type="dxa"/>
          </w:tcPr>
          <w:p w14:paraId="44B74D4E" w14:textId="77777777" w:rsidR="00FB1EFE" w:rsidRDefault="009B07DA">
            <w:pPr>
              <w:numPr>
                <w:ilvl w:val="0"/>
                <w:numId w:val="3"/>
              </w:numPr>
              <w:spacing w:after="0" w:line="240" w:lineRule="auto"/>
              <w:ind w:left="426"/>
              <w:contextualSpacing/>
              <w:rPr>
                <w:rFonts w:ascii="Book Antiqua" w:hAnsi="Book Antiqua"/>
                <w:b/>
                <w:sz w:val="20"/>
                <w:szCs w:val="20"/>
              </w:rPr>
            </w:pPr>
            <w:r>
              <w:rPr>
                <w:rFonts w:ascii="Book Antiqua" w:hAnsi="Book Antiqua"/>
                <w:b/>
                <w:sz w:val="20"/>
                <w:szCs w:val="20"/>
              </w:rPr>
              <w:t>Stanovisko gestorov</w:t>
            </w:r>
          </w:p>
        </w:tc>
      </w:tr>
      <w:tr w:rsidR="00FB1EFE" w14:paraId="24FCF25E" w14:textId="77777777">
        <w:trPr>
          <w:trHeight w:val="401"/>
        </w:trPr>
        <w:tc>
          <w:tcPr>
            <w:tcW w:w="9176" w:type="dxa"/>
          </w:tcPr>
          <w:p w14:paraId="4FCE6315" w14:textId="77777777" w:rsidR="00FB1EFE" w:rsidRDefault="009B07DA">
            <w:pPr>
              <w:spacing w:after="200" w:line="276" w:lineRule="auto"/>
              <w:rPr>
                <w:rFonts w:ascii="Book Antiqua" w:hAnsi="Book Antiqua"/>
                <w:i/>
                <w:sz w:val="20"/>
                <w:szCs w:val="20"/>
                <w:lang w:eastAsia="sk-SK"/>
              </w:rPr>
            </w:pPr>
            <w:r>
              <w:rPr>
                <w:rFonts w:ascii="Book Antiqua" w:hAnsi="Book Antiqua"/>
                <w:i/>
                <w:sz w:val="20"/>
                <w:szCs w:val="20"/>
                <w:lang w:eastAsia="sk-SK"/>
              </w:rPr>
              <w:t>Stanovisko Ministerstva financií SR</w:t>
            </w:r>
            <w:r>
              <w:rPr>
                <w:rFonts w:ascii="Book Antiqua" w:hAnsi="Book Antiqua"/>
                <w:b/>
                <w:sz w:val="20"/>
                <w:szCs w:val="20"/>
                <w:lang w:eastAsia="sk-SK"/>
              </w:rPr>
              <w:t xml:space="preserve">                                                         </w:t>
            </w:r>
            <w:r>
              <w:rPr>
                <w:rFonts w:ascii="Segoe UI Symbol" w:eastAsia="MS Gothic" w:hAnsi="Segoe UI Symbol" w:cs="Segoe UI Symbol"/>
                <w:b/>
                <w:sz w:val="20"/>
                <w:szCs w:val="20"/>
                <w:lang w:eastAsia="sk-SK"/>
              </w:rPr>
              <w:t>☒</w:t>
            </w:r>
            <w:r>
              <w:rPr>
                <w:rFonts w:ascii="Book Antiqua" w:hAnsi="Book Antiqua"/>
                <w:b/>
                <w:sz w:val="20"/>
                <w:szCs w:val="20"/>
                <w:lang w:eastAsia="sk-SK"/>
              </w:rPr>
              <w:t xml:space="preserve">     vyžiadané              </w:t>
            </w:r>
            <w:r>
              <w:rPr>
                <w:rFonts w:ascii="Segoe UI Symbol" w:eastAsia="MS Gothic" w:hAnsi="Segoe UI Symbol" w:cs="Segoe UI Symbol"/>
                <w:b/>
                <w:sz w:val="20"/>
                <w:szCs w:val="20"/>
                <w:lang w:eastAsia="sk-SK"/>
              </w:rPr>
              <w:t>☐</w:t>
            </w:r>
            <w:r>
              <w:rPr>
                <w:rFonts w:ascii="Book Antiqua" w:hAnsi="Book Antiqua"/>
                <w:b/>
                <w:sz w:val="20"/>
                <w:szCs w:val="20"/>
                <w:lang w:eastAsia="sk-SK"/>
              </w:rPr>
              <w:t xml:space="preserve"> priložené</w:t>
            </w:r>
          </w:p>
          <w:p w14:paraId="3BBC01EF" w14:textId="77777777" w:rsidR="00FB1EFE" w:rsidRDefault="009B07DA">
            <w:pPr>
              <w:spacing w:after="200" w:line="276" w:lineRule="auto"/>
              <w:jc w:val="both"/>
              <w:rPr>
                <w:rFonts w:ascii="Book Antiqua" w:hAnsi="Book Antiqua"/>
                <w:i/>
                <w:sz w:val="20"/>
                <w:szCs w:val="20"/>
                <w:lang w:eastAsia="sk-SK"/>
              </w:rPr>
            </w:pPr>
            <w:r>
              <w:rPr>
                <w:rFonts w:ascii="Book Antiqua" w:hAnsi="Book Antiqua"/>
                <w:i/>
                <w:sz w:val="20"/>
                <w:szCs w:val="20"/>
                <w:lang w:eastAsia="sk-SK"/>
              </w:rPr>
              <w:t xml:space="preserve">Stanovisko Ministerstva hospodárstva SR                                         </w:t>
            </w:r>
            <w:r>
              <w:rPr>
                <w:rFonts w:ascii="Book Antiqua" w:hAnsi="Book Antiqua"/>
                <w:b/>
                <w:sz w:val="20"/>
                <w:szCs w:val="20"/>
                <w:lang w:eastAsia="sk-SK"/>
              </w:rPr>
              <w:t xml:space="preserve">       </w:t>
            </w:r>
            <w:r>
              <w:rPr>
                <w:rFonts w:ascii="Segoe UI Symbol" w:eastAsia="MS Gothic" w:hAnsi="Segoe UI Symbol" w:cs="Segoe UI Symbol"/>
                <w:b/>
                <w:sz w:val="20"/>
                <w:szCs w:val="20"/>
                <w:lang w:eastAsia="sk-SK"/>
              </w:rPr>
              <w:t>☒</w:t>
            </w:r>
            <w:r>
              <w:rPr>
                <w:rFonts w:ascii="Book Antiqua" w:hAnsi="Book Antiqua"/>
                <w:b/>
                <w:sz w:val="20"/>
                <w:szCs w:val="20"/>
                <w:lang w:eastAsia="sk-SK"/>
              </w:rPr>
              <w:t xml:space="preserve">     vyžiadané              </w:t>
            </w:r>
            <w:r>
              <w:rPr>
                <w:rFonts w:ascii="Segoe UI Symbol" w:eastAsia="MS Gothic" w:hAnsi="Segoe UI Symbol" w:cs="Segoe UI Symbol"/>
                <w:b/>
                <w:sz w:val="20"/>
                <w:szCs w:val="20"/>
                <w:lang w:eastAsia="sk-SK"/>
              </w:rPr>
              <w:t>☐</w:t>
            </w:r>
            <w:r>
              <w:rPr>
                <w:rFonts w:ascii="Book Antiqua" w:hAnsi="Book Antiqua"/>
                <w:b/>
                <w:sz w:val="20"/>
                <w:szCs w:val="20"/>
                <w:lang w:eastAsia="sk-SK"/>
              </w:rPr>
              <w:t xml:space="preserve">  priložené</w:t>
            </w:r>
          </w:p>
          <w:p w14:paraId="36A2F77B" w14:textId="77777777" w:rsidR="00FB1EFE" w:rsidRDefault="009B07DA">
            <w:pPr>
              <w:spacing w:after="200" w:line="276" w:lineRule="auto"/>
              <w:rPr>
                <w:rFonts w:ascii="Book Antiqua" w:hAnsi="Book Antiqua"/>
                <w:bCs/>
                <w:i/>
                <w:iCs/>
                <w:sz w:val="20"/>
                <w:szCs w:val="20"/>
                <w:lang w:eastAsia="sk-SK"/>
              </w:rPr>
            </w:pPr>
            <w:r>
              <w:rPr>
                <w:rFonts w:ascii="Book Antiqua" w:hAnsi="Book Antiqua"/>
                <w:bCs/>
                <w:i/>
                <w:iCs/>
                <w:sz w:val="20"/>
                <w:szCs w:val="20"/>
                <w:lang w:eastAsia="sk-SK"/>
              </w:rPr>
              <w:t>V prípade potreby uveďte doplňujúce informácie alebo poznámky k stanovisku.</w:t>
            </w:r>
          </w:p>
        </w:tc>
      </w:tr>
    </w:tbl>
    <w:p w14:paraId="16EABAF8" w14:textId="77777777" w:rsidR="00FB1EFE" w:rsidRDefault="00FB1EFE">
      <w:pPr>
        <w:spacing w:after="200" w:line="276" w:lineRule="auto"/>
        <w:rPr>
          <w:rFonts w:ascii="Book Antiqua" w:eastAsia="Times New Roman" w:hAnsi="Book Antiqua" w:cs="Times New Roman"/>
          <w:sz w:val="20"/>
          <w:szCs w:val="20"/>
        </w:rPr>
      </w:pPr>
    </w:p>
    <w:p w14:paraId="5ED2B31B" w14:textId="77777777" w:rsidR="00FB1EFE" w:rsidRDefault="00FB1EFE">
      <w:pPr>
        <w:spacing w:before="120" w:after="0"/>
        <w:jc w:val="both"/>
        <w:rPr>
          <w:rFonts w:ascii="Book Antiqua" w:eastAsia="Times New Roman" w:hAnsi="Book Antiqua" w:cs="Times New Roman"/>
        </w:rPr>
      </w:pPr>
    </w:p>
    <w:p w14:paraId="4E22F1DC" w14:textId="77777777" w:rsidR="00FB1EFE" w:rsidRDefault="00FB1EFE">
      <w:pPr>
        <w:rPr>
          <w:rFonts w:ascii="Book Antiqua" w:hAnsi="Book Antiqua" w:cs="Times New Roman"/>
        </w:rPr>
      </w:pPr>
    </w:p>
    <w:sectPr w:rsidR="00FB1EF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00464" w14:textId="77777777" w:rsidR="005368D4" w:rsidRDefault="005368D4">
      <w:pPr>
        <w:spacing w:line="240" w:lineRule="auto"/>
      </w:pPr>
      <w:r>
        <w:separator/>
      </w:r>
    </w:p>
  </w:endnote>
  <w:endnote w:type="continuationSeparator" w:id="0">
    <w:p w14:paraId="520DA3BE" w14:textId="77777777" w:rsidR="005368D4" w:rsidRDefault="005368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 Sans">
    <w:altName w:val="Times New Roman"/>
    <w:charset w:val="00"/>
    <w:family w:val="swiss"/>
    <w:pitch w:val="default"/>
    <w:sig w:usb0="00000000" w:usb1="00000000" w:usb2="00000028"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default"/>
    <w:sig w:usb0="00000000" w:usb1="0000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812580"/>
      <w:docPartObj>
        <w:docPartGallery w:val="AutoText"/>
      </w:docPartObj>
    </w:sdtPr>
    <w:sdtEndPr/>
    <w:sdtContent>
      <w:p w14:paraId="082DFC9F" w14:textId="360519D0" w:rsidR="00F44545" w:rsidRDefault="00F44545">
        <w:pPr>
          <w:pStyle w:val="Pta"/>
          <w:jc w:val="center"/>
        </w:pPr>
        <w:r>
          <w:fldChar w:fldCharType="begin"/>
        </w:r>
        <w:r>
          <w:instrText>PAGE   \* MERGEFORMAT</w:instrText>
        </w:r>
        <w:r>
          <w:fldChar w:fldCharType="separate"/>
        </w:r>
        <w:r w:rsidR="007540BD">
          <w:rPr>
            <w:noProof/>
          </w:rPr>
          <w:t>8</w:t>
        </w:r>
        <w:r>
          <w:fldChar w:fldCharType="end"/>
        </w:r>
      </w:p>
    </w:sdtContent>
  </w:sdt>
  <w:p w14:paraId="08F04222" w14:textId="77777777" w:rsidR="00F44545" w:rsidRDefault="00F4454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10CF5" w14:textId="77777777" w:rsidR="005368D4" w:rsidRDefault="005368D4">
      <w:pPr>
        <w:spacing w:after="0"/>
      </w:pPr>
      <w:r>
        <w:separator/>
      </w:r>
    </w:p>
  </w:footnote>
  <w:footnote w:type="continuationSeparator" w:id="0">
    <w:p w14:paraId="3DAEE80F" w14:textId="77777777" w:rsidR="005368D4" w:rsidRDefault="005368D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3BFF"/>
    <w:multiLevelType w:val="multilevel"/>
    <w:tmpl w:val="1B553BFF"/>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5E2754EA"/>
    <w:multiLevelType w:val="multilevel"/>
    <w:tmpl w:val="5E2754EA"/>
    <w:lvl w:ilvl="0">
      <w:start w:val="1"/>
      <w:numFmt w:val="bullet"/>
      <w:lvlText w:val="-"/>
      <w:lvlJc w:val="left"/>
      <w:pPr>
        <w:ind w:left="720" w:hanging="360"/>
      </w:pPr>
      <w:rPr>
        <w:rFonts w:ascii="Book Antiqua" w:eastAsiaTheme="minorHAnsi" w:hAnsi="Book Antiqu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BDE54EF"/>
    <w:multiLevelType w:val="multilevel"/>
    <w:tmpl w:val="7BDE54EF"/>
    <w:lvl w:ilvl="0">
      <w:start w:val="1"/>
      <w:numFmt w:val="decimal"/>
      <w:lvlText w:val="%1."/>
      <w:lvlJc w:val="left"/>
      <w:pPr>
        <w:ind w:left="862" w:hanging="360"/>
      </w:pPr>
      <w:rPr>
        <w:rFonts w:cs="Times New Roman"/>
      </w:rPr>
    </w:lvl>
    <w:lvl w:ilvl="1">
      <w:start w:val="1"/>
      <w:numFmt w:val="lowerLetter"/>
      <w:lvlText w:val="%2."/>
      <w:lvlJc w:val="left"/>
      <w:pPr>
        <w:ind w:left="1582" w:hanging="360"/>
      </w:pPr>
      <w:rPr>
        <w:rFonts w:cs="Times New Roman"/>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620"/>
    <w:rsid w:val="00004936"/>
    <w:rsid w:val="000112D3"/>
    <w:rsid w:val="00022E3E"/>
    <w:rsid w:val="000334E1"/>
    <w:rsid w:val="0005074D"/>
    <w:rsid w:val="00062FB5"/>
    <w:rsid w:val="00064246"/>
    <w:rsid w:val="000F6422"/>
    <w:rsid w:val="00113B3E"/>
    <w:rsid w:val="00157CEB"/>
    <w:rsid w:val="0016079F"/>
    <w:rsid w:val="00177144"/>
    <w:rsid w:val="00191388"/>
    <w:rsid w:val="001B46DB"/>
    <w:rsid w:val="001E7B64"/>
    <w:rsid w:val="001F2566"/>
    <w:rsid w:val="00212B53"/>
    <w:rsid w:val="00215995"/>
    <w:rsid w:val="0023430C"/>
    <w:rsid w:val="0029714C"/>
    <w:rsid w:val="002A040F"/>
    <w:rsid w:val="002B4824"/>
    <w:rsid w:val="002D15DD"/>
    <w:rsid w:val="002D4A34"/>
    <w:rsid w:val="00303815"/>
    <w:rsid w:val="003219E6"/>
    <w:rsid w:val="0033795C"/>
    <w:rsid w:val="00344924"/>
    <w:rsid w:val="003537BE"/>
    <w:rsid w:val="00366453"/>
    <w:rsid w:val="00374DFC"/>
    <w:rsid w:val="003942AA"/>
    <w:rsid w:val="003A0BDF"/>
    <w:rsid w:val="004075E1"/>
    <w:rsid w:val="00407FAC"/>
    <w:rsid w:val="004204B2"/>
    <w:rsid w:val="00450D1F"/>
    <w:rsid w:val="00450E08"/>
    <w:rsid w:val="004740F8"/>
    <w:rsid w:val="0047717E"/>
    <w:rsid w:val="00490210"/>
    <w:rsid w:val="00492906"/>
    <w:rsid w:val="00497BFB"/>
    <w:rsid w:val="004A3B5D"/>
    <w:rsid w:val="005228AD"/>
    <w:rsid w:val="005368D4"/>
    <w:rsid w:val="00542E41"/>
    <w:rsid w:val="00550AA2"/>
    <w:rsid w:val="005536B7"/>
    <w:rsid w:val="00596F55"/>
    <w:rsid w:val="005D4B9B"/>
    <w:rsid w:val="005E2E56"/>
    <w:rsid w:val="006027A8"/>
    <w:rsid w:val="00612BF2"/>
    <w:rsid w:val="00613A79"/>
    <w:rsid w:val="00616D3A"/>
    <w:rsid w:val="00620217"/>
    <w:rsid w:val="00623EBD"/>
    <w:rsid w:val="00625ABB"/>
    <w:rsid w:val="006277DC"/>
    <w:rsid w:val="00647385"/>
    <w:rsid w:val="00667B60"/>
    <w:rsid w:val="00690620"/>
    <w:rsid w:val="006B325C"/>
    <w:rsid w:val="006B5E5A"/>
    <w:rsid w:val="006C524D"/>
    <w:rsid w:val="006D5F89"/>
    <w:rsid w:val="006F6C37"/>
    <w:rsid w:val="007540BD"/>
    <w:rsid w:val="00755170"/>
    <w:rsid w:val="00782AEB"/>
    <w:rsid w:val="007A1343"/>
    <w:rsid w:val="007A28B1"/>
    <w:rsid w:val="007A5E09"/>
    <w:rsid w:val="007B25B9"/>
    <w:rsid w:val="007D012B"/>
    <w:rsid w:val="007E4379"/>
    <w:rsid w:val="007F27D9"/>
    <w:rsid w:val="00812287"/>
    <w:rsid w:val="0082373E"/>
    <w:rsid w:val="0083413A"/>
    <w:rsid w:val="0085235D"/>
    <w:rsid w:val="00873B1E"/>
    <w:rsid w:val="008A06B3"/>
    <w:rsid w:val="008B1ED4"/>
    <w:rsid w:val="008B7537"/>
    <w:rsid w:val="008D742E"/>
    <w:rsid w:val="008E2C12"/>
    <w:rsid w:val="00932F42"/>
    <w:rsid w:val="00934CB3"/>
    <w:rsid w:val="009371DD"/>
    <w:rsid w:val="00945821"/>
    <w:rsid w:val="00946B88"/>
    <w:rsid w:val="009571F3"/>
    <w:rsid w:val="00985E43"/>
    <w:rsid w:val="00993B80"/>
    <w:rsid w:val="0099749F"/>
    <w:rsid w:val="009A70DC"/>
    <w:rsid w:val="009B07DA"/>
    <w:rsid w:val="009B77D0"/>
    <w:rsid w:val="00A00C19"/>
    <w:rsid w:val="00A20673"/>
    <w:rsid w:val="00A245CF"/>
    <w:rsid w:val="00A341AC"/>
    <w:rsid w:val="00A374E1"/>
    <w:rsid w:val="00A467D3"/>
    <w:rsid w:val="00B166EA"/>
    <w:rsid w:val="00B32C25"/>
    <w:rsid w:val="00B33E18"/>
    <w:rsid w:val="00B55175"/>
    <w:rsid w:val="00B821EF"/>
    <w:rsid w:val="00BA627E"/>
    <w:rsid w:val="00BC79D2"/>
    <w:rsid w:val="00BD4714"/>
    <w:rsid w:val="00BE31A0"/>
    <w:rsid w:val="00C42F45"/>
    <w:rsid w:val="00C515FC"/>
    <w:rsid w:val="00C923C2"/>
    <w:rsid w:val="00C95CE6"/>
    <w:rsid w:val="00CB00E8"/>
    <w:rsid w:val="00CE5944"/>
    <w:rsid w:val="00D10262"/>
    <w:rsid w:val="00D113C0"/>
    <w:rsid w:val="00D247AE"/>
    <w:rsid w:val="00D34411"/>
    <w:rsid w:val="00D701B2"/>
    <w:rsid w:val="00D84E25"/>
    <w:rsid w:val="00D95655"/>
    <w:rsid w:val="00DD14D8"/>
    <w:rsid w:val="00DD5D69"/>
    <w:rsid w:val="00E10C6F"/>
    <w:rsid w:val="00E10DD5"/>
    <w:rsid w:val="00E24886"/>
    <w:rsid w:val="00E3248B"/>
    <w:rsid w:val="00E560B1"/>
    <w:rsid w:val="00E81009"/>
    <w:rsid w:val="00E822C7"/>
    <w:rsid w:val="00E9412D"/>
    <w:rsid w:val="00E96798"/>
    <w:rsid w:val="00EC068F"/>
    <w:rsid w:val="00ED2DEF"/>
    <w:rsid w:val="00ED7EC6"/>
    <w:rsid w:val="00EE6850"/>
    <w:rsid w:val="00F03D1B"/>
    <w:rsid w:val="00F147B2"/>
    <w:rsid w:val="00F15FCA"/>
    <w:rsid w:val="00F32D1B"/>
    <w:rsid w:val="00F364E1"/>
    <w:rsid w:val="00F44545"/>
    <w:rsid w:val="00F90B65"/>
    <w:rsid w:val="00FA37CF"/>
    <w:rsid w:val="00FB1EFE"/>
    <w:rsid w:val="00FC74D2"/>
    <w:rsid w:val="53FD44AD"/>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DF12"/>
  <w15:docId w15:val="{F8DC427A-ADDE-4831-918C-5A5268D5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60" w:line="259"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paragraph" w:styleId="Zkladntext2">
    <w:name w:val="Body Text 2"/>
    <w:basedOn w:val="Normlny"/>
    <w:link w:val="Zkladntext2Char"/>
    <w:uiPriority w:val="99"/>
    <w:pPr>
      <w:spacing w:after="0" w:line="240" w:lineRule="auto"/>
      <w:jc w:val="center"/>
    </w:pPr>
    <w:rPr>
      <w:rFonts w:ascii="Times New Roman" w:eastAsia="Times New Roman" w:hAnsi="Times New Roman" w:cs="Times New Roman"/>
      <w:sz w:val="24"/>
      <w:szCs w:val="24"/>
      <w:lang w:eastAsia="cs-CZ"/>
    </w:rPr>
  </w:style>
  <w:style w:type="paragraph" w:styleId="Textkomentra">
    <w:name w:val="annotation text"/>
    <w:basedOn w:val="Normlny"/>
    <w:uiPriority w:val="99"/>
    <w:semiHidden/>
    <w:unhideWhenUsed/>
  </w:style>
  <w:style w:type="paragraph" w:styleId="Pta">
    <w:name w:val="footer"/>
    <w:basedOn w:val="Normlny"/>
    <w:link w:val="PtaChar"/>
    <w:uiPriority w:val="99"/>
    <w:unhideWhenUsed/>
    <w:qFormat/>
    <w:pPr>
      <w:tabs>
        <w:tab w:val="center" w:pos="4536"/>
        <w:tab w:val="right" w:pos="9072"/>
      </w:tabs>
      <w:spacing w:after="0" w:line="240" w:lineRule="auto"/>
    </w:pPr>
  </w:style>
  <w:style w:type="paragraph" w:styleId="Hlavika">
    <w:name w:val="header"/>
    <w:basedOn w:val="Normlny"/>
    <w:link w:val="HlavikaChar"/>
    <w:uiPriority w:val="99"/>
    <w:unhideWhenUsed/>
    <w:qFormat/>
    <w:pPr>
      <w:tabs>
        <w:tab w:val="center" w:pos="4536"/>
        <w:tab w:val="right" w:pos="9072"/>
      </w:tabs>
      <w:spacing w:after="0" w:line="240" w:lineRule="auto"/>
    </w:pPr>
  </w:style>
  <w:style w:type="paragraph" w:styleId="Normlnywebov">
    <w:name w:val="Normal (Web)"/>
    <w:basedOn w:val="Normlny"/>
    <w:qFormat/>
    <w:pPr>
      <w:spacing w:before="100" w:beforeAutospacing="1" w:after="100" w:afterAutospacing="1" w:line="276" w:lineRule="auto"/>
    </w:pPr>
    <w:rPr>
      <w:rFonts w:ascii="Times New Roman" w:eastAsia="Times New Roman" w:hAnsi="Times New Roman" w:cs="Times New Roman"/>
      <w:sz w:val="24"/>
      <w:szCs w:val="24"/>
      <w:lang w:eastAsia="sk-SK"/>
    </w:rPr>
  </w:style>
  <w:style w:type="table" w:styleId="Mriekatabuky">
    <w:name w:val="Table Grid"/>
    <w:basedOn w:val="Normlnatabu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ý text 2 Char"/>
    <w:basedOn w:val="Predvolenpsmoodseku"/>
    <w:link w:val="Zkladntext2"/>
    <w:uiPriority w:val="99"/>
    <w:rPr>
      <w:rFonts w:ascii="Times New Roman" w:eastAsia="Times New Roman" w:hAnsi="Times New Roman" w:cs="Times New Roman"/>
      <w:sz w:val="24"/>
      <w:szCs w:val="24"/>
      <w:lang w:eastAsia="cs-CZ"/>
    </w:rPr>
  </w:style>
  <w:style w:type="paragraph" w:styleId="Odsekzoznamu">
    <w:name w:val="List Paragraph"/>
    <w:basedOn w:val="Normlny"/>
    <w:uiPriority w:val="99"/>
    <w:qFormat/>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TextbublinyChar">
    <w:name w:val="Text bubliny Char"/>
    <w:basedOn w:val="Predvolenpsmoodseku"/>
    <w:link w:val="Textbubliny"/>
    <w:uiPriority w:val="99"/>
    <w:semiHidden/>
    <w:rPr>
      <w:rFonts w:ascii="Segoe UI" w:hAnsi="Segoe UI" w:cs="Segoe UI"/>
      <w:sz w:val="18"/>
      <w:szCs w:val="18"/>
    </w:rPr>
  </w:style>
  <w:style w:type="paragraph" w:customStyle="1" w:styleId="Revzia1">
    <w:name w:val="Revízia1"/>
    <w:hidden/>
    <w:uiPriority w:val="99"/>
    <w:semiHidden/>
    <w:rPr>
      <w:sz w:val="22"/>
      <w:szCs w:val="22"/>
      <w:lang w:eastAsia="en-US"/>
    </w:rPr>
  </w:style>
  <w:style w:type="character" w:customStyle="1" w:styleId="awspan">
    <w:name w:val="awspan"/>
    <w:basedOn w:val="Predvolenpsmoodseku"/>
    <w:qFormat/>
  </w:style>
  <w:style w:type="paragraph" w:customStyle="1" w:styleId="Vchodzie">
    <w:name w:val="Vchodzie"/>
    <w:qFormat/>
    <w:pPr>
      <w:widowControl w:val="0"/>
    </w:pPr>
    <w:rPr>
      <w:rFonts w:ascii="Times New Roman" w:eastAsia="Times New Roman" w:hAnsi="Times New Roman" w:cs="Times New Roman"/>
      <w:kern w:val="2"/>
      <w:sz w:val="24"/>
      <w:szCs w:val="24"/>
    </w:rPr>
  </w:style>
  <w:style w:type="character" w:customStyle="1" w:styleId="HlavikaChar">
    <w:name w:val="Hlavička Char"/>
    <w:basedOn w:val="Predvolenpsmoodseku"/>
    <w:link w:val="Hlavika"/>
    <w:uiPriority w:val="99"/>
    <w:qFormat/>
  </w:style>
  <w:style w:type="character" w:customStyle="1" w:styleId="PtaChar">
    <w:name w:val="Päta Char"/>
    <w:basedOn w:val="Predvolenpsmoodseku"/>
    <w:link w:val="Pta"/>
    <w:uiPriority w:val="99"/>
    <w:qFormat/>
  </w:style>
  <w:style w:type="table" w:customStyle="1" w:styleId="Mriekatabuky1">
    <w:name w:val="Mriežka tabuľky1"/>
    <w:basedOn w:val="Normlnatabuka"/>
    <w:uiPriority w:val="59"/>
    <w:qFormat/>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76F1C-BEF1-44F8-BA0E-23DA8C37E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2105</Words>
  <Characters>12002</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Partičková</dc:creator>
  <cp:lastModifiedBy>Klub SLOVENSKO, ZA ĽUDÍ, KÚ</cp:lastModifiedBy>
  <cp:revision>5</cp:revision>
  <cp:lastPrinted>2025-05-09T12:17:00Z</cp:lastPrinted>
  <dcterms:created xsi:type="dcterms:W3CDTF">2025-05-09T11:58:00Z</dcterms:created>
  <dcterms:modified xsi:type="dcterms:W3CDTF">2025-05-09T12:17:00Z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EFFAF7B9B91843F5B68490098F161CB9_13</vt:lpwstr>
  </property>
</Properties>
</file>