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463F9" w14:textId="77777777" w:rsidR="004320A9" w:rsidRPr="00A84E0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2647E32A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="0024779A"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300A5389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25E080F8" w:rsidR="004320A9" w:rsidRPr="00A84E05" w:rsidRDefault="008D32BF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8B3473">
        <w:rPr>
          <w:rFonts w:ascii="Book Antiqua" w:hAnsi="Book Antiqua"/>
          <w:bCs/>
          <w:sz w:val="22"/>
          <w:szCs w:val="22"/>
        </w:rPr>
        <w:t>5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4B168A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628EDE1B" w:rsidR="003D2BCA" w:rsidRPr="00CC43CB" w:rsidRDefault="00CC78CE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2" w:name="_Hlk127200235"/>
      <w:bookmarkStart w:id="3" w:name="_Hlk127199157"/>
      <w:r w:rsidRPr="00CC43CB">
        <w:rPr>
          <w:rFonts w:ascii="Book Antiqua" w:hAnsi="Book Antiqua"/>
          <w:b/>
        </w:rPr>
        <w:t>ktorým sa </w:t>
      </w:r>
      <w:r w:rsidR="00411EB3">
        <w:rPr>
          <w:rFonts w:ascii="Book Antiqua" w:hAnsi="Book Antiqua"/>
          <w:b/>
        </w:rPr>
        <w:t xml:space="preserve">mení a </w:t>
      </w:r>
      <w:r w:rsidRPr="00CC43CB">
        <w:rPr>
          <w:rFonts w:ascii="Book Antiqua" w:hAnsi="Book Antiqua"/>
          <w:b/>
        </w:rPr>
        <w:t xml:space="preserve">dopĺňa </w:t>
      </w:r>
      <w:r w:rsidR="00411EB3" w:rsidRPr="00411EB3">
        <w:rPr>
          <w:rFonts w:ascii="Book Antiqua" w:hAnsi="Book Antiqua"/>
          <w:b/>
          <w:bCs/>
        </w:rPr>
        <w:t xml:space="preserve">zákon č. 147/2001 Z. z. </w:t>
      </w:r>
      <w:r w:rsidR="00411EB3" w:rsidRPr="00411EB3">
        <w:rPr>
          <w:rFonts w:ascii="Book Antiqua" w:hAnsi="Book Antiqua" w:cs="Open Sans"/>
          <w:b/>
          <w:bCs/>
          <w:color w:val="000000"/>
          <w:shd w:val="clear" w:color="auto" w:fill="FFFFFF"/>
        </w:rPr>
        <w:t>o reklame a o zmene a doplnení niektorých zákonov</w:t>
      </w:r>
      <w:r w:rsidR="00411EB3" w:rsidRPr="00411EB3">
        <w:rPr>
          <w:rFonts w:ascii="Book Antiqua" w:hAnsi="Book Antiqua"/>
          <w:b/>
          <w:bCs/>
        </w:rPr>
        <w:t xml:space="preserve"> v znení neskorších predpisov</w:t>
      </w:r>
      <w:r w:rsidR="00411EB3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2"/>
    </w:p>
    <w:bookmarkEnd w:id="3"/>
    <w:p w14:paraId="43A6CD28" w14:textId="77777777" w:rsidR="00DE67BB" w:rsidRPr="00DE67BB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2A983E0D" w14:textId="11ABB99F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  <w:r w:rsidRPr="00A84E05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</w:p>
    <w:p w14:paraId="551960EB" w14:textId="45D61FA5" w:rsidR="00245722" w:rsidRPr="00113514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A84E05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7376BD2A" w14:textId="5FED2BD3" w:rsidR="0002460A" w:rsidRDefault="00865F59" w:rsidP="00411EB3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  <w:r w:rsidRPr="00865F59">
        <w:rPr>
          <w:rFonts w:ascii="Book Antiqua" w:hAnsi="Book Antiqua" w:cs="Open Sans"/>
          <w:shd w:val="clear" w:color="auto" w:fill="FFFFFF"/>
        </w:rPr>
        <w:t xml:space="preserve">Zákon </w:t>
      </w:r>
      <w:r w:rsidR="00411EB3" w:rsidRPr="00411EB3">
        <w:rPr>
          <w:rFonts w:ascii="Book Antiqua" w:hAnsi="Book Antiqua"/>
        </w:rPr>
        <w:t xml:space="preserve">č. 147/2001 Z. z. </w:t>
      </w:r>
      <w:r w:rsidR="00411EB3" w:rsidRPr="00411EB3">
        <w:rPr>
          <w:rFonts w:ascii="Book Antiqua" w:hAnsi="Book Antiqua" w:cs="Open Sans"/>
          <w:color w:val="000000"/>
          <w:shd w:val="clear" w:color="auto" w:fill="FFFFFF"/>
        </w:rPr>
        <w:t>o reklame a o zmene a doplnení niektorých zákonov</w:t>
      </w:r>
      <w:r w:rsidR="00411EB3" w:rsidRPr="00411EB3">
        <w:rPr>
          <w:rFonts w:ascii="Book Antiqua" w:hAnsi="Book Antiqua"/>
        </w:rPr>
        <w:t xml:space="preserve"> v znení</w:t>
      </w:r>
      <w:r w:rsidR="00411EB3" w:rsidRPr="00411EB3">
        <w:rPr>
          <w:rFonts w:ascii="Book Antiqua" w:hAnsi="Book Antiqua"/>
          <w:b/>
          <w:bCs/>
        </w:rPr>
        <w:t xml:space="preserve"> </w:t>
      </w:r>
      <w:r w:rsidR="00411EB3" w:rsidRPr="00411EB3">
        <w:rPr>
          <w:rFonts w:ascii="Book Antiqua" w:hAnsi="Book Antiqua"/>
        </w:rPr>
        <w:t xml:space="preserve">zákona </w:t>
      </w:r>
      <w:r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23/2002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525/2005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282/2006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342/2006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102/2007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648/2007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402/2009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182/2011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362/2011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313/2012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459/2012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102/2014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199/2014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373/2014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412/2015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307/2018 Z. z.,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>532/2021 Z. z.</w:t>
      </w:r>
      <w:r w:rsidR="00411EB3">
        <w:rPr>
          <w:rFonts w:ascii="Book Antiqua" w:hAnsi="Book Antiqua" w:cs="Open Sans"/>
          <w:shd w:val="clear" w:color="auto" w:fill="FFFFFF"/>
        </w:rPr>
        <w:t xml:space="preserve">,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>.</w:t>
      </w:r>
      <w:r w:rsidR="00411EB3" w:rsidRPr="00411EB3">
        <w:rPr>
          <w:rFonts w:ascii="Book Antiqua" w:hAnsi="Book Antiqua" w:cs="Open Sans"/>
          <w:shd w:val="clear" w:color="auto" w:fill="FFFFFF"/>
        </w:rPr>
        <w:t xml:space="preserve"> 265/2022 Z. z.</w:t>
      </w:r>
      <w:r w:rsidR="00411EB3">
        <w:rPr>
          <w:rFonts w:ascii="Book Antiqua" w:hAnsi="Book Antiqua" w:cs="Open Sans"/>
          <w:shd w:val="clear" w:color="auto" w:fill="FFFFFF"/>
        </w:rPr>
        <w:t xml:space="preserve"> a </w:t>
      </w:r>
      <w:r w:rsidR="00411EB3" w:rsidRPr="00411EB3">
        <w:rPr>
          <w:rFonts w:ascii="Book Antiqua" w:hAnsi="Book Antiqua"/>
        </w:rPr>
        <w:t xml:space="preserve">zákona </w:t>
      </w:r>
      <w:r w:rsidR="00411EB3" w:rsidRPr="00865F59">
        <w:rPr>
          <w:rFonts w:ascii="Book Antiqua" w:hAnsi="Book Antiqua" w:cs="Open Sans"/>
          <w:shd w:val="clear" w:color="auto" w:fill="FFFFFF"/>
        </w:rPr>
        <w:t>č</w:t>
      </w:r>
      <w:r w:rsidR="00411EB3">
        <w:rPr>
          <w:rFonts w:ascii="Book Antiqua" w:hAnsi="Book Antiqua" w:cs="Open Sans"/>
          <w:shd w:val="clear" w:color="auto" w:fill="FFFFFF"/>
        </w:rPr>
        <w:t xml:space="preserve">. </w:t>
      </w:r>
      <w:r w:rsidR="00411EB3" w:rsidRPr="00411EB3">
        <w:rPr>
          <w:rFonts w:ascii="Book Antiqua" w:hAnsi="Book Antiqua" w:cs="Open Sans"/>
          <w:shd w:val="clear" w:color="auto" w:fill="FFFFFF"/>
        </w:rPr>
        <w:t>108/2024</w:t>
      </w:r>
      <w:r w:rsidR="00411EB3">
        <w:rPr>
          <w:rFonts w:ascii="Book Antiqua" w:hAnsi="Book Antiqua" w:cs="Open Sans"/>
          <w:shd w:val="clear" w:color="auto" w:fill="FFFFFF"/>
        </w:rPr>
        <w:t xml:space="preserve"> </w:t>
      </w:r>
      <w:r w:rsidR="00114CB2">
        <w:rPr>
          <w:rFonts w:ascii="Book Antiqua" w:hAnsi="Book Antiqua" w:cs="Open Sans"/>
          <w:shd w:val="clear" w:color="auto" w:fill="FFFFFF"/>
        </w:rPr>
        <w:t xml:space="preserve">sa </w:t>
      </w:r>
      <w:r w:rsidR="00411EB3">
        <w:rPr>
          <w:rFonts w:ascii="Book Antiqua" w:hAnsi="Book Antiqua" w:cs="Open Sans"/>
          <w:shd w:val="clear" w:color="auto" w:fill="FFFFFF"/>
        </w:rPr>
        <w:t xml:space="preserve">mení a </w:t>
      </w:r>
      <w:r w:rsidRPr="00865F59">
        <w:rPr>
          <w:rFonts w:ascii="Book Antiqua" w:hAnsi="Book Antiqua" w:cs="Open Sans"/>
          <w:shd w:val="clear" w:color="auto" w:fill="FFFFFF"/>
        </w:rPr>
        <w:t>dopĺňa takto:</w:t>
      </w:r>
    </w:p>
    <w:p w14:paraId="17291F1D" w14:textId="77777777" w:rsidR="00216943" w:rsidRPr="00865F59" w:rsidRDefault="00216943" w:rsidP="00411EB3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</w:p>
    <w:p w14:paraId="3FC192CC" w14:textId="3581C878" w:rsidR="00A324C6" w:rsidRPr="00445D8D" w:rsidRDefault="00411EB3" w:rsidP="00445D8D">
      <w:pPr>
        <w:spacing w:before="120" w:after="120" w:line="276" w:lineRule="auto"/>
        <w:jc w:val="both"/>
        <w:rPr>
          <w:rFonts w:ascii="Book Antiqua" w:hAnsi="Book Antiqua" w:cs="Open Sans"/>
          <w:shd w:val="clear" w:color="auto" w:fill="FFFFFF"/>
        </w:rPr>
      </w:pPr>
      <w:r w:rsidRPr="00445D8D">
        <w:rPr>
          <w:rFonts w:ascii="Book Antiqua" w:hAnsi="Book Antiqua" w:cs="Open Sans"/>
          <w:shd w:val="clear" w:color="auto" w:fill="FFFFFF"/>
        </w:rPr>
        <w:t xml:space="preserve">Za § 9 sa dopĺňa nový § </w:t>
      </w:r>
      <w:r w:rsidR="00216943" w:rsidRPr="00445D8D">
        <w:rPr>
          <w:rFonts w:ascii="Book Antiqua" w:hAnsi="Book Antiqua" w:cs="Open Sans"/>
          <w:shd w:val="clear" w:color="auto" w:fill="FFFFFF"/>
        </w:rPr>
        <w:t>9a</w:t>
      </w:r>
      <w:r w:rsidRPr="00445D8D">
        <w:rPr>
          <w:rFonts w:ascii="Book Antiqua" w:hAnsi="Book Antiqua" w:cs="Open Sans"/>
          <w:shd w:val="clear" w:color="auto" w:fill="FFFFFF"/>
        </w:rPr>
        <w:t xml:space="preserve">, ktorý znie: </w:t>
      </w:r>
    </w:p>
    <w:p w14:paraId="123EA2E5" w14:textId="07E11766" w:rsidR="00411EB3" w:rsidRPr="00411EB3" w:rsidRDefault="007916D7" w:rsidP="0092189A">
      <w:pPr>
        <w:pStyle w:val="Odsekzoznamu"/>
        <w:spacing w:before="120" w:after="120" w:line="276" w:lineRule="auto"/>
        <w:ind w:left="851"/>
        <w:contextualSpacing w:val="0"/>
        <w:jc w:val="center"/>
        <w:rPr>
          <w:rFonts w:ascii="Book Antiqua" w:hAnsi="Book Antiqua" w:cs="Open Sans"/>
          <w:b/>
          <w:bCs/>
          <w:shd w:val="clear" w:color="auto" w:fill="FFFFFF"/>
        </w:rPr>
      </w:pPr>
      <w:r w:rsidRPr="00411EB3">
        <w:rPr>
          <w:rFonts w:ascii="Book Antiqua" w:hAnsi="Book Antiqua" w:cs="Open Sans"/>
          <w:b/>
          <w:bCs/>
          <w:shd w:val="clear" w:color="auto" w:fill="FFFFFF"/>
        </w:rPr>
        <w:t>„</w:t>
      </w:r>
      <w:r w:rsidR="00411EB3" w:rsidRPr="00411EB3">
        <w:rPr>
          <w:rFonts w:ascii="Book Antiqua" w:hAnsi="Book Antiqua" w:cs="Open Sans"/>
          <w:b/>
          <w:bCs/>
          <w:shd w:val="clear" w:color="auto" w:fill="FFFFFF"/>
        </w:rPr>
        <w:t xml:space="preserve">§ </w:t>
      </w:r>
      <w:r w:rsidR="00216943">
        <w:rPr>
          <w:rFonts w:ascii="Book Antiqua" w:hAnsi="Book Antiqua" w:cs="Open Sans"/>
          <w:b/>
          <w:bCs/>
          <w:shd w:val="clear" w:color="auto" w:fill="FFFFFF"/>
        </w:rPr>
        <w:t>9a</w:t>
      </w:r>
      <w:r w:rsidR="00411EB3" w:rsidRPr="00411EB3">
        <w:rPr>
          <w:rFonts w:ascii="Book Antiqua" w:hAnsi="Book Antiqua" w:cs="Open Sans"/>
          <w:b/>
          <w:bCs/>
          <w:shd w:val="clear" w:color="auto" w:fill="FFFFFF"/>
        </w:rPr>
        <w:t xml:space="preserve"> Reklama </w:t>
      </w:r>
      <w:r w:rsidR="00216943">
        <w:rPr>
          <w:rFonts w:ascii="Book Antiqua" w:hAnsi="Book Antiqua" w:cs="Open Sans"/>
          <w:b/>
          <w:bCs/>
          <w:shd w:val="clear" w:color="auto" w:fill="FFFFFF"/>
        </w:rPr>
        <w:t xml:space="preserve">na </w:t>
      </w:r>
      <w:r w:rsidR="00411EB3" w:rsidRPr="00411EB3">
        <w:rPr>
          <w:rFonts w:ascii="Book Antiqua" w:hAnsi="Book Antiqua" w:cs="Open Sans"/>
          <w:b/>
          <w:bCs/>
          <w:shd w:val="clear" w:color="auto" w:fill="FFFFFF"/>
        </w:rPr>
        <w:t>hazardn</w:t>
      </w:r>
      <w:r w:rsidR="00216943">
        <w:rPr>
          <w:rFonts w:ascii="Book Antiqua" w:hAnsi="Book Antiqua" w:cs="Open Sans"/>
          <w:b/>
          <w:bCs/>
          <w:shd w:val="clear" w:color="auto" w:fill="FFFFFF"/>
        </w:rPr>
        <w:t>é</w:t>
      </w:r>
      <w:r w:rsidR="00411EB3" w:rsidRPr="00411EB3">
        <w:rPr>
          <w:rFonts w:ascii="Book Antiqua" w:hAnsi="Book Antiqua" w:cs="Open Sans"/>
          <w:b/>
          <w:bCs/>
          <w:shd w:val="clear" w:color="auto" w:fill="FFFFFF"/>
        </w:rPr>
        <w:t xml:space="preserve"> hr</w:t>
      </w:r>
      <w:r w:rsidR="00216943">
        <w:rPr>
          <w:rFonts w:ascii="Book Antiqua" w:hAnsi="Book Antiqua" w:cs="Open Sans"/>
          <w:b/>
          <w:bCs/>
          <w:shd w:val="clear" w:color="auto" w:fill="FFFFFF"/>
        </w:rPr>
        <w:t>y</w:t>
      </w:r>
    </w:p>
    <w:p w14:paraId="5B9CAAB5" w14:textId="77777777" w:rsidR="00216943" w:rsidRDefault="00411EB3" w:rsidP="0092189A">
      <w:pPr>
        <w:pStyle w:val="Odsekzoznamu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Arial"/>
          <w:color w:val="222222"/>
          <w:lang w:eastAsia="sk-SK"/>
        </w:rPr>
      </w:pPr>
      <w:r w:rsidRPr="00411EB3">
        <w:rPr>
          <w:rFonts w:ascii="Book Antiqua" w:eastAsia="Times New Roman" w:hAnsi="Book Antiqua" w:cs="Arial"/>
          <w:color w:val="222222"/>
          <w:lang w:eastAsia="sk-SK"/>
        </w:rPr>
        <w:t>Z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>akazuje sa vysielanie reklamy na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 xml:space="preserve"> stolové 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 xml:space="preserve">hazardné 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>hry, hazardné hry na výherných prístrojoch, hazardné hry na termináloch videohier, hazardné hry na technických zariadeniach obsluhovaných priamo hráčmi, hazardné hry na iných technických zariadeniach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 xml:space="preserve">, 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>stávkové hry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 xml:space="preserve"> a lotériové hry,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 xml:space="preserve"> šíren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>é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 xml:space="preserve"> prostredníctvom televíznej programovej služby alebo rozhlasovej programovej služby v čase od 6.00 h do 22.00 h.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>.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 xml:space="preserve"> </w:t>
      </w:r>
    </w:p>
    <w:p w14:paraId="0B009F31" w14:textId="2C0FDF6A" w:rsidR="00411EB3" w:rsidRPr="00216943" w:rsidRDefault="00216943" w:rsidP="0092189A">
      <w:pPr>
        <w:pStyle w:val="Odsekzoznamu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Arial"/>
          <w:color w:val="222222"/>
          <w:lang w:eastAsia="sk-SK"/>
        </w:rPr>
      </w:pPr>
      <w:r>
        <w:rPr>
          <w:rFonts w:ascii="Book Antiqua" w:eastAsia="Times New Roman" w:hAnsi="Book Antiqua" w:cs="Arial"/>
          <w:color w:val="222222"/>
          <w:lang w:eastAsia="sk-SK"/>
        </w:rPr>
        <w:t>O</w:t>
      </w:r>
      <w:r w:rsidR="00411EB3" w:rsidRPr="00216943">
        <w:rPr>
          <w:rFonts w:ascii="Book Antiqua" w:eastAsia="Times New Roman" w:hAnsi="Book Antiqua" w:cs="Arial"/>
          <w:color w:val="222222"/>
          <w:lang w:eastAsia="sk-SK"/>
        </w:rPr>
        <w:t xml:space="preserve">bmedzenie šírenia reklamy prostredníctvom televíznej programovej služby alebo rozhlasovej programovej služby v čase od 6.00 h do 22.00 h sa nevzťahuje na reklamné oznámenie, predmetom ktorého je výlučne informácia o obchodnom </w:t>
      </w:r>
      <w:r w:rsidR="00411EB3" w:rsidRPr="00216943">
        <w:rPr>
          <w:rFonts w:ascii="Book Antiqua" w:eastAsia="Times New Roman" w:hAnsi="Book Antiqua" w:cs="Arial"/>
          <w:color w:val="222222"/>
          <w:lang w:eastAsia="sk-SK"/>
        </w:rPr>
        <w:lastRenderedPageBreak/>
        <w:t>mene prevádzkovateľa hazardnej hry vrátane zobrazenia obchodnej značky/loga prevádzkovateľa bez toho, aby obsahom reklamného oznámenia prevádzkovateľa hazardnej hry bola aj informácia o ním poskytovanej hazardnej hre s cieľom uplatniť túto hazardnú hru na trhu alebo akákoľvek iná forma podnecovania k účasti na hazardnej hre dostupnej na území Slovenskej republiky.</w:t>
      </w:r>
    </w:p>
    <w:p w14:paraId="6AA3334A" w14:textId="70570A94" w:rsidR="00042081" w:rsidRPr="0092189A" w:rsidRDefault="00216943" w:rsidP="0092189A">
      <w:pPr>
        <w:pStyle w:val="Odsekzoznamu"/>
        <w:numPr>
          <w:ilvl w:val="0"/>
          <w:numId w:val="41"/>
        </w:numPr>
        <w:spacing w:before="120" w:after="120" w:line="276" w:lineRule="auto"/>
        <w:contextualSpacing w:val="0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Taktiež sa zakazuje reklama na hazardné hry na všetkých druhoch informačných nosičov</w:t>
      </w:r>
      <w:r w:rsidR="00114CB2" w:rsidRPr="0092189A">
        <w:rPr>
          <w:rFonts w:ascii="Book Antiqua" w:hAnsi="Book Antiqua"/>
          <w:shd w:val="clear" w:color="auto" w:fill="FFFFFF"/>
        </w:rPr>
        <w:t>.“.</w:t>
      </w:r>
    </w:p>
    <w:p w14:paraId="620462DA" w14:textId="77777777" w:rsidR="007916D7" w:rsidRDefault="007916D7" w:rsidP="0092189A">
      <w:pPr>
        <w:pStyle w:val="Odsekzoznamu"/>
        <w:spacing w:before="120" w:after="0" w:line="276" w:lineRule="auto"/>
        <w:ind w:left="851"/>
        <w:jc w:val="both"/>
        <w:rPr>
          <w:rFonts w:ascii="Book Antiqua" w:hAnsi="Book Antiqua" w:cs="Open Sans"/>
          <w:shd w:val="clear" w:color="auto" w:fill="FFFFFF"/>
        </w:rPr>
      </w:pPr>
    </w:p>
    <w:p w14:paraId="560519B4" w14:textId="74413F07" w:rsidR="001F22EA" w:rsidRPr="00EB6F01" w:rsidRDefault="001F22EA" w:rsidP="0092189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  <w:r w:rsidRPr="00EB6F01">
        <w:rPr>
          <w:rFonts w:ascii="Book Antiqua" w:hAnsi="Book Antiqua" w:cs="Open Sans"/>
          <w:b/>
          <w:shd w:val="clear" w:color="auto" w:fill="FFFFFF"/>
        </w:rPr>
        <w:t>Čl. II</w:t>
      </w:r>
    </w:p>
    <w:p w14:paraId="061BDCCB" w14:textId="77777777" w:rsidR="001F22EA" w:rsidRDefault="001F22EA" w:rsidP="0092189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28307CD0" w14:textId="5F1D3859" w:rsidR="0086692E" w:rsidRPr="001C3CEC" w:rsidRDefault="00C03B15" w:rsidP="0092189A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  <w:r w:rsidRPr="006F2874">
        <w:rPr>
          <w:rFonts w:ascii="Book Antiqua" w:hAnsi="Book Antiqua" w:cs="Times New Roman"/>
        </w:rPr>
        <w:t xml:space="preserve">Tento zákon nadobúda účinnosť </w:t>
      </w:r>
      <w:r w:rsidR="00120727" w:rsidRPr="00411EB3">
        <w:rPr>
          <w:rFonts w:ascii="Book Antiqua" w:hAnsi="Book Antiqua" w:cs="Times New Roman"/>
        </w:rPr>
        <w:t xml:space="preserve">1. </w:t>
      </w:r>
      <w:r w:rsidR="00411EB3" w:rsidRPr="00411EB3">
        <w:rPr>
          <w:rFonts w:ascii="Book Antiqua" w:hAnsi="Book Antiqua" w:cs="Times New Roman"/>
        </w:rPr>
        <w:t>januára</w:t>
      </w:r>
      <w:r w:rsidR="00E91528" w:rsidRPr="00411EB3">
        <w:rPr>
          <w:rFonts w:ascii="Book Antiqua" w:hAnsi="Book Antiqua" w:cs="Times New Roman"/>
        </w:rPr>
        <w:t xml:space="preserve"> </w:t>
      </w:r>
      <w:r w:rsidRPr="00411EB3">
        <w:rPr>
          <w:rFonts w:ascii="Book Antiqua" w:hAnsi="Book Antiqua" w:cs="Times New Roman"/>
        </w:rPr>
        <w:t>202</w:t>
      </w:r>
      <w:r w:rsidR="008B3473">
        <w:rPr>
          <w:rFonts w:ascii="Book Antiqua" w:hAnsi="Book Antiqua" w:cs="Times New Roman"/>
        </w:rPr>
        <w:t>6</w:t>
      </w:r>
      <w:bookmarkStart w:id="4" w:name="_GoBack"/>
      <w:bookmarkEnd w:id="4"/>
      <w:r w:rsidR="00AA587F" w:rsidRPr="00411EB3">
        <w:rPr>
          <w:rFonts w:ascii="Book Antiqua" w:hAnsi="Book Antiqua" w:cs="Times New Roman"/>
        </w:rPr>
        <w:t>.</w:t>
      </w:r>
      <w:bookmarkEnd w:id="1"/>
    </w:p>
    <w:sectPr w:rsidR="0086692E" w:rsidRPr="001C3CEC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2F336" w14:textId="77777777" w:rsidR="00B9372D" w:rsidRDefault="00B9372D" w:rsidP="00E541C0">
      <w:pPr>
        <w:spacing w:after="0" w:line="240" w:lineRule="auto"/>
      </w:pPr>
      <w:r>
        <w:separator/>
      </w:r>
    </w:p>
  </w:endnote>
  <w:endnote w:type="continuationSeparator" w:id="0">
    <w:p w14:paraId="029E8A09" w14:textId="77777777" w:rsidR="00B9372D" w:rsidRDefault="00B9372D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F9EB" w14:textId="5822B5DD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2D11E" w14:textId="77777777" w:rsidR="00B9372D" w:rsidRDefault="00B9372D" w:rsidP="00E541C0">
      <w:pPr>
        <w:spacing w:after="0" w:line="240" w:lineRule="auto"/>
      </w:pPr>
      <w:r>
        <w:separator/>
      </w:r>
    </w:p>
  </w:footnote>
  <w:footnote w:type="continuationSeparator" w:id="0">
    <w:p w14:paraId="72CA326A" w14:textId="77777777" w:rsidR="00B9372D" w:rsidRDefault="00B9372D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55862C8B"/>
    <w:multiLevelType w:val="hybridMultilevel"/>
    <w:tmpl w:val="5C12767E"/>
    <w:lvl w:ilvl="0" w:tplc="D002857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4E1C95"/>
    <w:multiLevelType w:val="hybridMultilevel"/>
    <w:tmpl w:val="803A8EC8"/>
    <w:lvl w:ilvl="0" w:tplc="D3C48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5"/>
  </w:num>
  <w:num w:numId="5">
    <w:abstractNumId w:val="4"/>
  </w:num>
  <w:num w:numId="6">
    <w:abstractNumId w:val="36"/>
  </w:num>
  <w:num w:numId="7">
    <w:abstractNumId w:val="40"/>
  </w:num>
  <w:num w:numId="8">
    <w:abstractNumId w:val="13"/>
  </w:num>
  <w:num w:numId="9">
    <w:abstractNumId w:val="2"/>
  </w:num>
  <w:num w:numId="10">
    <w:abstractNumId w:val="27"/>
  </w:num>
  <w:num w:numId="11">
    <w:abstractNumId w:val="39"/>
  </w:num>
  <w:num w:numId="12">
    <w:abstractNumId w:val="6"/>
  </w:num>
  <w:num w:numId="13">
    <w:abstractNumId w:val="1"/>
  </w:num>
  <w:num w:numId="14">
    <w:abstractNumId w:val="20"/>
  </w:num>
  <w:num w:numId="15">
    <w:abstractNumId w:val="19"/>
  </w:num>
  <w:num w:numId="16">
    <w:abstractNumId w:val="0"/>
  </w:num>
  <w:num w:numId="17">
    <w:abstractNumId w:val="35"/>
  </w:num>
  <w:num w:numId="18">
    <w:abstractNumId w:val="14"/>
  </w:num>
  <w:num w:numId="19">
    <w:abstractNumId w:val="38"/>
  </w:num>
  <w:num w:numId="20">
    <w:abstractNumId w:val="11"/>
  </w:num>
  <w:num w:numId="21">
    <w:abstractNumId w:val="24"/>
  </w:num>
  <w:num w:numId="22">
    <w:abstractNumId w:val="15"/>
  </w:num>
  <w:num w:numId="23">
    <w:abstractNumId w:val="21"/>
  </w:num>
  <w:num w:numId="24">
    <w:abstractNumId w:val="7"/>
  </w:num>
  <w:num w:numId="25">
    <w:abstractNumId w:val="32"/>
  </w:num>
  <w:num w:numId="26">
    <w:abstractNumId w:val="8"/>
  </w:num>
  <w:num w:numId="27">
    <w:abstractNumId w:val="33"/>
  </w:num>
  <w:num w:numId="28">
    <w:abstractNumId w:val="34"/>
  </w:num>
  <w:num w:numId="29">
    <w:abstractNumId w:val="37"/>
  </w:num>
  <w:num w:numId="30">
    <w:abstractNumId w:val="25"/>
  </w:num>
  <w:num w:numId="31">
    <w:abstractNumId w:val="28"/>
  </w:num>
  <w:num w:numId="32">
    <w:abstractNumId w:val="23"/>
  </w:num>
  <w:num w:numId="33">
    <w:abstractNumId w:val="30"/>
  </w:num>
  <w:num w:numId="34">
    <w:abstractNumId w:val="3"/>
  </w:num>
  <w:num w:numId="35">
    <w:abstractNumId w:val="9"/>
  </w:num>
  <w:num w:numId="36">
    <w:abstractNumId w:val="12"/>
  </w:num>
  <w:num w:numId="37">
    <w:abstractNumId w:val="26"/>
  </w:num>
  <w:num w:numId="38">
    <w:abstractNumId w:val="31"/>
  </w:num>
  <w:num w:numId="39">
    <w:abstractNumId w:val="16"/>
  </w:num>
  <w:num w:numId="40">
    <w:abstractNumId w:val="2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2081"/>
    <w:rsid w:val="00051E08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2D8C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C3CEC"/>
    <w:rsid w:val="001C7C5E"/>
    <w:rsid w:val="001D35B3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16943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46D9"/>
    <w:rsid w:val="002B68AF"/>
    <w:rsid w:val="002C1879"/>
    <w:rsid w:val="002F1689"/>
    <w:rsid w:val="003055E8"/>
    <w:rsid w:val="00305D63"/>
    <w:rsid w:val="0031016C"/>
    <w:rsid w:val="00312759"/>
    <w:rsid w:val="0032223A"/>
    <w:rsid w:val="00322B41"/>
    <w:rsid w:val="003278F9"/>
    <w:rsid w:val="003315C1"/>
    <w:rsid w:val="00343720"/>
    <w:rsid w:val="00343CF6"/>
    <w:rsid w:val="00356BC0"/>
    <w:rsid w:val="00362673"/>
    <w:rsid w:val="00363316"/>
    <w:rsid w:val="00372A1F"/>
    <w:rsid w:val="00380F1B"/>
    <w:rsid w:val="00384601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11EB3"/>
    <w:rsid w:val="00425A9D"/>
    <w:rsid w:val="00426DC4"/>
    <w:rsid w:val="004320A9"/>
    <w:rsid w:val="00445691"/>
    <w:rsid w:val="00445CEB"/>
    <w:rsid w:val="00445D8D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4F4C67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DB6"/>
    <w:rsid w:val="0059489B"/>
    <w:rsid w:val="00594FC0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6AE"/>
    <w:rsid w:val="008774AC"/>
    <w:rsid w:val="00877664"/>
    <w:rsid w:val="0087766F"/>
    <w:rsid w:val="00883DA3"/>
    <w:rsid w:val="00885708"/>
    <w:rsid w:val="008932AB"/>
    <w:rsid w:val="0089534C"/>
    <w:rsid w:val="00895D2E"/>
    <w:rsid w:val="008A4B82"/>
    <w:rsid w:val="008B0613"/>
    <w:rsid w:val="008B3473"/>
    <w:rsid w:val="008C172E"/>
    <w:rsid w:val="008C41F8"/>
    <w:rsid w:val="008D32BF"/>
    <w:rsid w:val="008D3A0C"/>
    <w:rsid w:val="008E1F9D"/>
    <w:rsid w:val="008F4E1D"/>
    <w:rsid w:val="00903E9F"/>
    <w:rsid w:val="00907BF3"/>
    <w:rsid w:val="009138E0"/>
    <w:rsid w:val="00914877"/>
    <w:rsid w:val="009151DD"/>
    <w:rsid w:val="0092189A"/>
    <w:rsid w:val="009259C3"/>
    <w:rsid w:val="0092642A"/>
    <w:rsid w:val="00927AEC"/>
    <w:rsid w:val="00931886"/>
    <w:rsid w:val="00934E81"/>
    <w:rsid w:val="0094156B"/>
    <w:rsid w:val="00943CFA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7033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372D"/>
    <w:rsid w:val="00B947C9"/>
    <w:rsid w:val="00BB7A5D"/>
    <w:rsid w:val="00BC136F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0256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07EE"/>
    <w:rsid w:val="00EF4B28"/>
    <w:rsid w:val="00EF5FC6"/>
    <w:rsid w:val="00F00007"/>
    <w:rsid w:val="00F016F4"/>
    <w:rsid w:val="00F0531E"/>
    <w:rsid w:val="00F113B5"/>
    <w:rsid w:val="00F157D0"/>
    <w:rsid w:val="00F15F39"/>
    <w:rsid w:val="00F352AC"/>
    <w:rsid w:val="00F40405"/>
    <w:rsid w:val="00F45332"/>
    <w:rsid w:val="00F45FFD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C9DC-F79C-4082-94C2-7FDC2399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tomanster@gmail.com</dc:creator>
  <cp:keywords/>
  <dc:description/>
  <cp:lastModifiedBy>Jozef Humensky</cp:lastModifiedBy>
  <cp:revision>3</cp:revision>
  <cp:lastPrinted>2024-08-21T13:32:00Z</cp:lastPrinted>
  <dcterms:created xsi:type="dcterms:W3CDTF">2024-08-22T13:00:00Z</dcterms:created>
  <dcterms:modified xsi:type="dcterms:W3CDTF">2025-05-07T07:10:00Z</dcterms:modified>
  <cp:category/>
</cp:coreProperties>
</file>