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DOLOŽKA</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vybraných vplyvov</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jc w:val="both"/>
        <w:rPr/>
      </w:pPr>
      <w:r w:rsidDel="00000000" w:rsidR="00000000" w:rsidRPr="00000000">
        <w:rPr>
          <w:b w:val="1"/>
          <w:color w:val="000000"/>
          <w:rtl w:val="0"/>
        </w:rPr>
        <w:t xml:space="preserve">A.1. Názov materiálu: </w:t>
      </w:r>
      <w:r w:rsidDel="00000000" w:rsidR="00000000" w:rsidRPr="00000000">
        <w:rPr>
          <w:rtl w:val="0"/>
        </w:rPr>
        <w:t xml:space="preserve">Návrh zákona, ktorým sa mení a dopĺňa zákon č. 365/2004 Z. z. o rovnakom zaobchádzaní v niektorých oblastiach a o ochrane pred diskrimináciou a o zmene a doplnení niektorých zákonov (antidiskriminačný zákon) v znení neskorších predpisov a ktorým sa dopĺňajú niektoré zákony.</w:t>
      </w:r>
    </w:p>
    <w:p w:rsidR="00000000" w:rsidDel="00000000" w:rsidP="00000000" w:rsidRDefault="00000000" w:rsidRPr="00000000" w14:paraId="00000005">
      <w:pPr>
        <w:jc w:val="both"/>
        <w:rPr>
          <w:b w:val="1"/>
          <w:color w:val="000000"/>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A.2. Vplyvy:</w:t>
      </w:r>
    </w:p>
    <w:tbl>
      <w:tblPr>
        <w:tblStyle w:val="Table1"/>
        <w:tblW w:w="9095.000000000002" w:type="dxa"/>
        <w:jc w:val="left"/>
        <w:tblInd w:w="-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26"/>
        <w:gridCol w:w="1192"/>
        <w:gridCol w:w="1181"/>
        <w:gridCol w:w="1196"/>
        <w:tblGridChange w:id="0">
          <w:tblGrid>
            <w:gridCol w:w="5526"/>
            <w:gridCol w:w="1192"/>
            <w:gridCol w:w="1181"/>
            <w:gridCol w:w="1196"/>
          </w:tblGrid>
        </w:tblGridChange>
      </w:tblGrid>
      <w:tr>
        <w:trPr>
          <w:cantSplit w:val="0"/>
          <w:tblHeader w:val="0"/>
        </w:trPr>
        <w:tc>
          <w:tcP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Pozitívne</w:t>
            </w:r>
            <w:r w:rsidDel="00000000" w:rsidR="00000000" w:rsidRPr="00000000">
              <w:rPr>
                <w:rtl w:val="0"/>
              </w:rPr>
            </w:r>
          </w:p>
        </w:tc>
        <w:tc>
          <w:tcP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Žiadne</w:t>
            </w:r>
            <w:r w:rsidDel="00000000" w:rsidR="00000000" w:rsidRPr="00000000">
              <w:rPr>
                <w:rtl w:val="0"/>
              </w:rPr>
            </w:r>
          </w:p>
        </w:tc>
        <w:tc>
          <w:tcP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Negatívne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Vplyvy na rozpočet verejnej správy</w:t>
            </w:r>
            <w:r w:rsidDel="00000000" w:rsidR="00000000" w:rsidRPr="00000000">
              <w:rPr>
                <w:rtl w:val="0"/>
              </w:rPr>
            </w:r>
          </w:p>
        </w:tc>
        <w:tc>
          <w:tcP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tc>
        <w:tc>
          <w:tcP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tc>
      </w:tr>
      <w:tr>
        <w:trPr>
          <w:cantSplit w:val="0"/>
          <w:tblHeader w:val="0"/>
        </w:trPr>
        <w:tc>
          <w:tcP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Vplyvy na podnikateľské prostredie – dochádza k zvýšeniu regulačného zaťaženia?</w:t>
            </w:r>
            <w:r w:rsidDel="00000000" w:rsidR="00000000" w:rsidRPr="00000000">
              <w:rPr>
                <w:rtl w:val="0"/>
              </w:rPr>
            </w:r>
          </w:p>
        </w:tc>
        <w:tc>
          <w:tcP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tc>
      </w:tr>
      <w:tr>
        <w:trPr>
          <w:cantSplit w:val="0"/>
          <w:tblHeader w:val="0"/>
        </w:trPr>
        <w:tc>
          <w:tcP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Sociálne vplyvy</w:t>
            </w:r>
            <w:r w:rsidDel="00000000" w:rsidR="00000000" w:rsidRPr="00000000">
              <w:rPr>
                <w:rtl w:val="0"/>
              </w:rPr>
            </w:r>
          </w:p>
        </w:tc>
        <w:tc>
          <w:tcPr>
            <w:vAlign w:val="center"/>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tc>
        <w:tc>
          <w:tcP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vplyvy na hospodárenie obyvateľstva,</w:t>
            </w:r>
            <w:r w:rsidDel="00000000" w:rsidR="00000000" w:rsidRPr="00000000">
              <w:rPr>
                <w:rtl w:val="0"/>
              </w:rPr>
            </w:r>
          </w:p>
        </w:tc>
        <w:tc>
          <w:tcP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tc>
        <w:tc>
          <w:tcP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sociálnu exklúziu,</w:t>
            </w:r>
            <w:r w:rsidDel="00000000" w:rsidR="00000000" w:rsidRPr="00000000">
              <w:rPr>
                <w:rtl w:val="0"/>
              </w:rPr>
            </w:r>
          </w:p>
        </w:tc>
        <w:tc>
          <w:tcPr>
            <w:vAlign w:val="center"/>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r w:rsidDel="00000000" w:rsidR="00000000" w:rsidRPr="00000000">
              <w:rPr>
                <w:rtl w:val="0"/>
              </w:rPr>
            </w:r>
          </w:p>
        </w:tc>
        <w:tc>
          <w:tcPr>
            <w:vAlign w:val="center"/>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rovnosť príležitostí a rodovú rovnosť a vplyvy na zamestnanosť</w:t>
            </w:r>
            <w:r w:rsidDel="00000000" w:rsidR="00000000" w:rsidRPr="00000000">
              <w:rPr>
                <w:rtl w:val="0"/>
              </w:rPr>
            </w:r>
          </w:p>
        </w:tc>
        <w:tc>
          <w:tcPr>
            <w:vAlign w:val="center"/>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r w:rsidDel="00000000" w:rsidR="00000000" w:rsidRPr="00000000">
              <w:rPr>
                <w:rtl w:val="0"/>
              </w:rPr>
            </w:r>
          </w:p>
        </w:tc>
        <w:tc>
          <w:tcPr>
            <w:vAlign w:val="center"/>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Vplyvy na životné prostredie</w:t>
            </w:r>
            <w:r w:rsidDel="00000000" w:rsidR="00000000" w:rsidRPr="00000000">
              <w:rPr>
                <w:rtl w:val="0"/>
              </w:rPr>
            </w:r>
          </w:p>
        </w:tc>
        <w:tc>
          <w:tcPr>
            <w:vAlign w:val="center"/>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tc>
        <w:tc>
          <w:tcPr>
            <w:vAlign w:val="center"/>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Vplyvy na informatizáciu spoločnosti</w:t>
            </w:r>
            <w:r w:rsidDel="00000000" w:rsidR="00000000" w:rsidRPr="00000000">
              <w:rPr>
                <w:rtl w:val="0"/>
              </w:rPr>
            </w:r>
          </w:p>
        </w:tc>
        <w:tc>
          <w:tcPr>
            <w:vAlign w:val="center"/>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tc>
        <w:tc>
          <w:tcPr>
            <w:vAlign w:val="center"/>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Vplyvy na služby pre občana z toho</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vplyvy služieb verejnej správy na občana</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vplyvy na procesy služieb vo verejnej správe</w:t>
            </w:r>
          </w:p>
        </w:tc>
        <w:tc>
          <w:tcPr>
            <w:vAlign w:val="center"/>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tc>
        <w:tc>
          <w:tcPr>
            <w:vAlign w:val="center"/>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Vplyv na manželstvo, rodičovstvo a rodinu</w:t>
            </w:r>
          </w:p>
        </w:tc>
        <w:tc>
          <w:tcPr>
            <w:vAlign w:val="center"/>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tc>
        <w:tc>
          <w:tcPr>
            <w:vAlign w:val="center"/>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A.3. Poznámky</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Návrh zákona má zanedbateľné negatívne vplyvy na rozpočet verejnej správy, ktoré môžu vzniknúť v súvislosti s plnením novo uložených povinností. Na druhej strane, zákon ustanovuje možnosť ukladania pokút, ktoré budú príjmom štátneho rozpočtu. Nemožno tiež opomenúť skutočnosť, že pokiaľ by sa prostredníctvom návrhu zákona podarilo znižovať rozdiely v odmeňovaní medzi ženami a mužmi tak, že by priemerné odmeny žien stúpali smerom k priemerným odmenám mužov, z takéhoto znižovania platových rozdielov by mal úžitok aj štát (vyšší výber daní a odvodov). Z týchto dôvodov predkladate</w:t>
      </w:r>
      <w:r w:rsidDel="00000000" w:rsidR="00000000" w:rsidRPr="00000000">
        <w:rPr>
          <w:rtl w:val="0"/>
        </w:rPr>
        <w:t xml:space="preserve">ľky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očakávajú ako pozitívne, tak aj negatívne vplyvy na rozpočet verejnej správy; ich povaha ale neumožňuje presnú kvantifikáciu. </w:t>
      </w:r>
      <w:r w:rsidDel="00000000" w:rsidR="00000000" w:rsidRPr="00000000">
        <w:rPr>
          <w:rtl w:val="0"/>
        </w:rPr>
        <w:t xml:space="preserv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ávrh má negatívne vplyvy na podnikateľské prostredie z d</w:t>
      </w:r>
      <w:r w:rsidDel="00000000" w:rsidR="00000000" w:rsidRPr="00000000">
        <w:rPr>
          <w:rtl w:val="0"/>
        </w:rPr>
        <w:t xml:space="preserve">ôvodu zvyšovania administratívnej záťaže na strane zamestnávateľov, a to predovšetkým pri vypracúvaní správ o odmeňovaní a v prípade, že sa zistí prehlbujúci sa rozdiel v odmeňovaní medzi mužmi a ženami, tak aj porovnávacie správy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t xml:space="preserve">Nevyhnutné je však uviesť, že zákon počíta so samoodbúracím administratívnym mechanizmom, a to v prípade, ak sa nezistia prehlbujúce sa rozdiely v odmeňovaní medzi mužmi a ženami u zamestnávateľa, ktorým je orgán verejnej moci alebo zamestnáva viac ako 500 zamestnancov a zamestnankýň, povinnosť vypracúvať porovnávaciu správu pre takéhoto zamestnávateľa automaticky odpadáva.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Zvýšené administratívne zaťaženie však prispieva k lepš</w:t>
      </w:r>
      <w:r w:rsidDel="00000000" w:rsidR="00000000" w:rsidRPr="00000000">
        <w:rPr>
          <w:rtl w:val="0"/>
        </w:rPr>
        <w:t xml:space="preserve">iemu vnútropodnikovému riadeniu a poskytuje dôležité štatistické údaje pre kvalitný manažment.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Sociálne vplyvy i vplyvy na informatizáciu spoločnosti budú pozitívne.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A.4. Alternatívne riešenia</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Bezpredmetné  </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A.5. </w:t>
        <w:tab/>
        <w:t xml:space="preserve">Stanovisko gestorov</w:t>
      </w:r>
      <w:r w:rsidDel="00000000" w:rsidR="00000000" w:rsidRPr="00000000">
        <w:rPr>
          <w:rtl w:val="0"/>
        </w:rPr>
      </w:r>
    </w:p>
    <w:p w:rsidR="00000000" w:rsidDel="00000000" w:rsidP="00000000" w:rsidRDefault="00000000" w:rsidRPr="00000000" w14:paraId="0000003F">
      <w:pPr>
        <w:widowControl w:val="1"/>
        <w:spacing w:after="280" w:before="280" w:line="240" w:lineRule="auto"/>
        <w:ind w:left="0" w:firstLine="0"/>
        <w:jc w:val="both"/>
        <w:rPr>
          <w:b w:val="1"/>
        </w:rPr>
      </w:pPr>
      <w:r w:rsidDel="00000000" w:rsidR="00000000" w:rsidRPr="00000000">
        <w:rPr>
          <w:rtl w:val="0"/>
        </w:rPr>
        <w:t xml:space="preserve">Návrh zákona bol zaslaný na vyjadrenie Ministerstvu finanncíí Slovenskej republiky a Ministerstvu práce, sociálnych vecí a rodiny Slovenskej republiky a ich stanoviská sú súčasťou predloženého návrhu.</w:t>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41">
      <w:pPr>
        <w:widowControl w:val="1"/>
        <w:spacing w:line="276" w:lineRule="auto"/>
        <w:jc w:val="center"/>
        <w:rPr>
          <w:rFonts w:ascii="Calibri" w:cs="Calibri" w:eastAsia="Calibri" w:hAnsi="Calibri"/>
          <w:sz w:val="22"/>
          <w:szCs w:val="22"/>
        </w:rPr>
      </w:pPr>
      <w:r w:rsidDel="00000000" w:rsidR="00000000" w:rsidRPr="00000000">
        <w:rPr>
          <w:b w:val="1"/>
          <w:smallCaps w:val="1"/>
          <w:rtl w:val="0"/>
        </w:rPr>
        <w:t xml:space="preserve">DOLOŽKA ZLUČITEĽNOSTI</w:t>
      </w:r>
      <w:r w:rsidDel="00000000" w:rsidR="00000000" w:rsidRPr="00000000">
        <w:rPr>
          <w:rtl w:val="0"/>
        </w:rPr>
      </w:r>
    </w:p>
    <w:p w:rsidR="00000000" w:rsidDel="00000000" w:rsidP="00000000" w:rsidRDefault="00000000" w:rsidRPr="00000000" w14:paraId="00000042">
      <w:pPr>
        <w:jc w:val="center"/>
        <w:rPr>
          <w:rFonts w:ascii="Calibri" w:cs="Calibri" w:eastAsia="Calibri" w:hAnsi="Calibri"/>
          <w:sz w:val="22"/>
          <w:szCs w:val="22"/>
        </w:rPr>
      </w:pPr>
      <w:r w:rsidDel="00000000" w:rsidR="00000000" w:rsidRPr="00000000">
        <w:rPr>
          <w:b w:val="1"/>
          <w:rtl w:val="0"/>
        </w:rPr>
        <w:t xml:space="preserve">právneho predpisu s právom Európskej únie</w:t>
      </w:r>
      <w:r w:rsidDel="00000000" w:rsidR="00000000" w:rsidRPr="00000000">
        <w:rPr>
          <w:rtl w:val="0"/>
        </w:rPr>
      </w:r>
    </w:p>
    <w:p w:rsidR="00000000" w:rsidDel="00000000" w:rsidP="00000000" w:rsidRDefault="00000000" w:rsidRPr="00000000" w14:paraId="0000004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4">
      <w:pPr>
        <w:ind w:left="3828" w:hanging="3828"/>
        <w:jc w:val="both"/>
        <w:rPr>
          <w:rFonts w:ascii="Calibri" w:cs="Calibri" w:eastAsia="Calibri" w:hAnsi="Calibri"/>
          <w:sz w:val="22"/>
          <w:szCs w:val="22"/>
        </w:rPr>
      </w:pPr>
      <w:r w:rsidDel="00000000" w:rsidR="00000000" w:rsidRPr="00000000">
        <w:rPr>
          <w:b w:val="1"/>
          <w:rtl w:val="0"/>
        </w:rPr>
        <w:t xml:space="preserve">1. Predkladateľ právneho predpisu:</w:t>
      </w:r>
      <w:r w:rsidDel="00000000" w:rsidR="00000000" w:rsidRPr="00000000">
        <w:rPr>
          <w:rtl w:val="0"/>
        </w:rPr>
        <w:t xml:space="preserve"> </w:t>
        <w:tab/>
        <w:t xml:space="preserve">poslankyne Národnej rady Slovenskej republiky Simona Petrík a Beáta Jurík</w:t>
      </w:r>
      <w:r w:rsidDel="00000000" w:rsidR="00000000" w:rsidRPr="00000000">
        <w:rPr>
          <w:rtl w:val="0"/>
        </w:rPr>
      </w:r>
    </w:p>
    <w:p w:rsidR="00000000" w:rsidDel="00000000" w:rsidP="00000000" w:rsidRDefault="00000000" w:rsidRPr="00000000" w14:paraId="00000045">
      <w:pPr>
        <w:tabs>
          <w:tab w:val="left" w:leader="none" w:pos="360"/>
        </w:tabs>
        <w:ind w:left="360" w:firstLine="0"/>
        <w:jc w:val="both"/>
        <w:rPr>
          <w:rFonts w:ascii="Calibri" w:cs="Calibri" w:eastAsia="Calibri" w:hAnsi="Calibri"/>
          <w:sz w:val="22"/>
          <w:szCs w:val="22"/>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6">
      <w:pPr>
        <w:ind w:left="3828" w:hanging="3828"/>
        <w:jc w:val="both"/>
        <w:rPr/>
      </w:pPr>
      <w:r w:rsidDel="00000000" w:rsidR="00000000" w:rsidRPr="00000000">
        <w:rPr>
          <w:b w:val="1"/>
          <w:rtl w:val="0"/>
        </w:rPr>
        <w:t xml:space="preserve">2. Názov návrhu právneho predpisu:</w:t>
      </w:r>
      <w:r w:rsidDel="00000000" w:rsidR="00000000" w:rsidRPr="00000000">
        <w:rPr>
          <w:rtl w:val="0"/>
        </w:rPr>
        <w:t xml:space="preserve"> Návrh zákona,</w:t>
      </w:r>
      <w:r w:rsidDel="00000000" w:rsidR="00000000" w:rsidRPr="00000000">
        <w:rPr>
          <w:b w:val="1"/>
          <w:rtl w:val="0"/>
        </w:rPr>
        <w:t xml:space="preserve"> </w:t>
      </w:r>
      <w:r w:rsidDel="00000000" w:rsidR="00000000" w:rsidRPr="00000000">
        <w:rPr>
          <w:rtl w:val="0"/>
        </w:rPr>
        <w:t xml:space="preserve">ktorým sa mení a dopĺňa zákon č. 365/2004 Z. z. o rovnakom zaobchádzaní v niektorých oblastiach a o ochrane pred diskrimináciou a o zmene a doplnení niektorých zákonov (antidiskriminačný zákon) v znení neskorších predpisov a ktorým sa menia a dopĺňajú niektoré zákony. </w:t>
      </w:r>
    </w:p>
    <w:p w:rsidR="00000000" w:rsidDel="00000000" w:rsidP="00000000" w:rsidRDefault="00000000" w:rsidRPr="00000000" w14:paraId="00000047">
      <w:pPr>
        <w:ind w:left="3828" w:hanging="3828"/>
        <w:jc w:val="both"/>
        <w:rPr>
          <w:b w:val="1"/>
        </w:rPr>
      </w:pPr>
      <w:r w:rsidDel="00000000" w:rsidR="00000000" w:rsidRPr="00000000">
        <w:rPr>
          <w:rtl w:val="0"/>
        </w:rPr>
      </w:r>
    </w:p>
    <w:p w:rsidR="00000000" w:rsidDel="00000000" w:rsidP="00000000" w:rsidRDefault="00000000" w:rsidRPr="00000000" w14:paraId="00000048">
      <w:pPr>
        <w:ind w:left="3828" w:hanging="3828"/>
        <w:jc w:val="both"/>
        <w:rPr>
          <w:b w:val="1"/>
        </w:rPr>
      </w:pPr>
      <w:r w:rsidDel="00000000" w:rsidR="00000000" w:rsidRPr="00000000">
        <w:rPr>
          <w:b w:val="1"/>
          <w:rtl w:val="0"/>
        </w:rPr>
        <w:t xml:space="preserve">3. Problematika návrhu právneho predpisu:</w:t>
      </w:r>
    </w:p>
    <w:p w:rsidR="00000000" w:rsidDel="00000000" w:rsidP="00000000" w:rsidRDefault="00000000" w:rsidRPr="00000000" w14:paraId="00000049">
      <w:pPr>
        <w:ind w:left="3828" w:hanging="3828"/>
        <w:jc w:val="both"/>
        <w:rPr/>
      </w:pPr>
      <w:r w:rsidDel="00000000" w:rsidR="00000000" w:rsidRPr="00000000">
        <w:rPr>
          <w:rtl w:val="0"/>
        </w:rPr>
      </w:r>
    </w:p>
    <w:p w:rsidR="00000000" w:rsidDel="00000000" w:rsidP="00000000" w:rsidRDefault="00000000" w:rsidRPr="00000000" w14:paraId="0000004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je upravená v primárnom práve Európskej únie, a to v čl. 114 Zmluvy o fungovaní Európskej únie, čl. 20 až 23 Charty základných práv Európskej únie, </w:t>
      </w:r>
    </w:p>
    <w:p w:rsidR="00000000" w:rsidDel="00000000" w:rsidP="00000000" w:rsidRDefault="00000000" w:rsidRPr="00000000" w14:paraId="0000004B">
      <w:pPr>
        <w:jc w:val="both"/>
        <w:rPr/>
      </w:pPr>
      <w:r w:rsidDel="00000000" w:rsidR="00000000" w:rsidRPr="00000000">
        <w:rPr>
          <w:rtl w:val="0"/>
        </w:rPr>
      </w:r>
    </w:p>
    <w:p w:rsidR="00000000" w:rsidDel="00000000" w:rsidP="00000000" w:rsidRDefault="00000000" w:rsidRPr="00000000" w14:paraId="0000004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je upravená v sekundárnom práve Európskej únie,</w:t>
      </w:r>
    </w:p>
    <w:p w:rsidR="00000000" w:rsidDel="00000000" w:rsidP="00000000" w:rsidRDefault="00000000" w:rsidRPr="00000000" w14:paraId="0000004D">
      <w:pPr>
        <w:jc w:val="both"/>
        <w:rPr>
          <w:highlight w:val="green"/>
        </w:rPr>
      </w:pPr>
      <w:r w:rsidDel="00000000" w:rsidR="00000000" w:rsidRPr="00000000">
        <w:rPr>
          <w:rtl w:val="0"/>
        </w:rPr>
      </w:r>
    </w:p>
    <w:p w:rsidR="00000000" w:rsidDel="00000000" w:rsidP="00000000" w:rsidRDefault="00000000" w:rsidRPr="00000000" w14:paraId="0000004E">
      <w:pPr>
        <w:jc w:val="both"/>
        <w:rPr>
          <w:i w:val="1"/>
        </w:rPr>
      </w:pPr>
      <w:r w:rsidDel="00000000" w:rsidR="00000000" w:rsidRPr="00000000">
        <w:rPr>
          <w:i w:val="1"/>
          <w:rtl w:val="0"/>
        </w:rPr>
        <w:t xml:space="preserve">- prijatom po nadobudnutím platnosti Lisabonskej zmluvy, ktorou sa mení a dopĺňa Zmluva o Európskom spoločenstve a Zmluva o Európskej únii - do 30. novembra 2009)</w:t>
      </w:r>
    </w:p>
    <w:p w:rsidR="00000000" w:rsidDel="00000000" w:rsidP="00000000" w:rsidRDefault="00000000" w:rsidRPr="00000000" w14:paraId="0000004F">
      <w:pPr>
        <w:jc w:val="both"/>
        <w:rPr>
          <w:i w:val="1"/>
        </w:rPr>
      </w:pPr>
      <w:r w:rsidDel="00000000" w:rsidR="00000000" w:rsidRPr="00000000">
        <w:rPr>
          <w:rtl w:val="0"/>
        </w:rPr>
      </w:r>
    </w:p>
    <w:p w:rsidR="00000000" w:rsidDel="00000000" w:rsidP="00000000" w:rsidRDefault="00000000" w:rsidRPr="00000000" w14:paraId="00000050">
      <w:pPr>
        <w:jc w:val="both"/>
        <w:rPr/>
      </w:pPr>
      <w:r w:rsidDel="00000000" w:rsidR="00000000" w:rsidRPr="00000000">
        <w:rPr>
          <w:rtl w:val="0"/>
        </w:rPr>
        <w:t xml:space="preserve">1. legislatívne akty</w:t>
      </w:r>
    </w:p>
    <w:p w:rsidR="00000000" w:rsidDel="00000000" w:rsidP="00000000" w:rsidRDefault="00000000" w:rsidRPr="00000000" w14:paraId="00000051">
      <w:pPr>
        <w:jc w:val="both"/>
        <w:rPr/>
      </w:pPr>
      <w:r w:rsidDel="00000000" w:rsidR="00000000" w:rsidRPr="00000000">
        <w:rPr>
          <w:rtl w:val="0"/>
        </w:rPr>
      </w:r>
    </w:p>
    <w:p w:rsidR="00000000" w:rsidDel="00000000" w:rsidP="00000000" w:rsidRDefault="00000000" w:rsidRPr="00000000" w14:paraId="00000052">
      <w:pPr>
        <w:jc w:val="both"/>
        <w:rPr/>
      </w:pPr>
      <w:r w:rsidDel="00000000" w:rsidR="00000000" w:rsidRPr="00000000">
        <w:rPr>
          <w:rtl w:val="0"/>
        </w:rPr>
        <w:t xml:space="preserve">2. nelegislatívne akty</w:t>
      </w:r>
    </w:p>
    <w:p w:rsidR="00000000" w:rsidDel="00000000" w:rsidP="00000000" w:rsidRDefault="00000000" w:rsidRPr="00000000" w14:paraId="00000053">
      <w:pPr>
        <w:jc w:val="both"/>
        <w:rPr/>
      </w:pPr>
      <w:r w:rsidDel="00000000" w:rsidR="00000000" w:rsidRPr="00000000">
        <w:rPr>
          <w:rtl w:val="0"/>
        </w:rPr>
      </w:r>
    </w:p>
    <w:p w:rsidR="00000000" w:rsidDel="00000000" w:rsidP="00000000" w:rsidRDefault="00000000" w:rsidRPr="00000000" w14:paraId="00000054">
      <w:pPr>
        <w:jc w:val="both"/>
        <w:rPr>
          <w:i w:val="1"/>
        </w:rPr>
      </w:pPr>
      <w:r w:rsidDel="00000000" w:rsidR="00000000" w:rsidRPr="00000000">
        <w:rPr>
          <w:i w:val="1"/>
          <w:rtl w:val="0"/>
        </w:rPr>
        <w:t xml:space="preserve">- sekundárnom (prijatom pred nadobudnutím platnosti Lisabonskej zmluvy, ktorou sa mení a dopĺňa Zmluva o Európskom spoločenstve a Zmluva o Európskej únii - do 30. novembra 2009)</w:t>
      </w:r>
    </w:p>
    <w:p w:rsidR="00000000" w:rsidDel="00000000" w:rsidP="00000000" w:rsidRDefault="00000000" w:rsidRPr="00000000" w14:paraId="00000055">
      <w:pPr>
        <w:jc w:val="both"/>
        <w:rPr>
          <w:i w:val="1"/>
        </w:rPr>
      </w:pPr>
      <w:r w:rsidDel="00000000" w:rsidR="00000000" w:rsidRPr="00000000">
        <w:rPr>
          <w:rtl w:val="0"/>
        </w:rPr>
      </w:r>
    </w:p>
    <w:p w:rsidR="00000000" w:rsidDel="00000000" w:rsidP="00000000" w:rsidRDefault="00000000" w:rsidRPr="00000000" w14:paraId="00000056">
      <w:pPr>
        <w:jc w:val="both"/>
        <w:rPr/>
      </w:pPr>
      <w:r w:rsidDel="00000000" w:rsidR="00000000" w:rsidRPr="00000000">
        <w:rPr>
          <w:rtl w:val="0"/>
        </w:rPr>
        <w:t xml:space="preserve">Smernica Rady 2004/113/ES z 13. decembra 2004 (Ú. v. EÚ L 373, 21.12.2004) o vykonávaní zásady rovnakého zaobchádzania medzi mužmi a ženami v prístupe k tovaru a službám a k ich poskytovaniu</w:t>
      </w:r>
    </w:p>
    <w:p w:rsidR="00000000" w:rsidDel="00000000" w:rsidP="00000000" w:rsidRDefault="00000000" w:rsidRPr="00000000" w14:paraId="00000057">
      <w:pPr>
        <w:jc w:val="both"/>
        <w:rPr/>
      </w:pPr>
      <w:r w:rsidDel="00000000" w:rsidR="00000000" w:rsidRPr="00000000">
        <w:rPr>
          <w:rtl w:val="0"/>
        </w:rPr>
      </w:r>
    </w:p>
    <w:p w:rsidR="00000000" w:rsidDel="00000000" w:rsidP="00000000" w:rsidRDefault="00000000" w:rsidRPr="00000000" w14:paraId="00000058">
      <w:pPr>
        <w:jc w:val="both"/>
        <w:rPr/>
      </w:pPr>
      <w:r w:rsidDel="00000000" w:rsidR="00000000" w:rsidRPr="00000000">
        <w:rPr>
          <w:rtl w:val="0"/>
        </w:rPr>
        <w:t xml:space="preserve">Smernica Rady 2000/43/ES z 29. júna 2000 (Ú. v. ES L 180, 19.7.2000) ktorou sa závadza zásada rovnakého zaobchádzania s osobami bez ohľadu na rasový alebo etnický pôvod</w:t>
      </w:r>
    </w:p>
    <w:p w:rsidR="00000000" w:rsidDel="00000000" w:rsidP="00000000" w:rsidRDefault="00000000" w:rsidRPr="00000000" w14:paraId="00000059">
      <w:pPr>
        <w:jc w:val="both"/>
        <w:rPr/>
      </w:pPr>
      <w:r w:rsidDel="00000000" w:rsidR="00000000" w:rsidRPr="00000000">
        <w:rPr>
          <w:rtl w:val="0"/>
        </w:rPr>
      </w:r>
    </w:p>
    <w:p w:rsidR="00000000" w:rsidDel="00000000" w:rsidP="00000000" w:rsidRDefault="00000000" w:rsidRPr="00000000" w14:paraId="0000005A">
      <w:pPr>
        <w:jc w:val="both"/>
        <w:rPr/>
      </w:pPr>
      <w:r w:rsidDel="00000000" w:rsidR="00000000" w:rsidRPr="00000000">
        <w:rPr>
          <w:rtl w:val="0"/>
        </w:rPr>
        <w:t xml:space="preserve">Smernica Rady 2000/78/ES z 27. novembra 2000 (Ú. v. ES L 303, 2.12.2000) ktorá ustanovuje všeobecný rámec pre rovnaké zaobchádzanie v zamestnaní a povolaní</w:t>
      </w:r>
    </w:p>
    <w:p w:rsidR="00000000" w:rsidDel="00000000" w:rsidP="00000000" w:rsidRDefault="00000000" w:rsidRPr="00000000" w14:paraId="0000005B">
      <w:pPr>
        <w:jc w:val="both"/>
        <w:rPr/>
      </w:pPr>
      <w:r w:rsidDel="00000000" w:rsidR="00000000" w:rsidRPr="00000000">
        <w:rPr>
          <w:rtl w:val="0"/>
        </w:rPr>
      </w:r>
    </w:p>
    <w:p w:rsidR="00000000" w:rsidDel="00000000" w:rsidP="00000000" w:rsidRDefault="00000000" w:rsidRPr="00000000" w14:paraId="0000005C">
      <w:pPr>
        <w:jc w:val="both"/>
        <w:rPr/>
      </w:pPr>
      <w:r w:rsidDel="00000000" w:rsidR="00000000" w:rsidRPr="00000000">
        <w:rPr>
          <w:rtl w:val="0"/>
        </w:rPr>
        <w:t xml:space="preserve">Smernica Európskeho parlamentu a Rady 2006/54/ES z 5. júla 2006 (Ú. v. EÚ L 204, 26.7.2006) o vykonávaní zásady rovnosti príležitostí a rovnakého zaobchádzania s mužmi a ženami vo veciach zamestnanosti a povolania</w:t>
      </w:r>
    </w:p>
    <w:p w:rsidR="00000000" w:rsidDel="00000000" w:rsidP="00000000" w:rsidRDefault="00000000" w:rsidRPr="00000000" w14:paraId="0000005D">
      <w:pPr>
        <w:jc w:val="both"/>
        <w:rPr/>
      </w:pPr>
      <w:r w:rsidDel="00000000" w:rsidR="00000000" w:rsidRPr="00000000">
        <w:rPr>
          <w:rtl w:val="0"/>
        </w:rPr>
      </w:r>
    </w:p>
    <w:p w:rsidR="00000000" w:rsidDel="00000000" w:rsidP="00000000" w:rsidRDefault="00000000" w:rsidRPr="00000000" w14:paraId="0000005E">
      <w:pPr>
        <w:jc w:val="both"/>
        <w:rPr/>
      </w:pPr>
      <w:r w:rsidDel="00000000" w:rsidR="00000000" w:rsidRPr="00000000">
        <w:rPr>
          <w:rtl w:val="0"/>
        </w:rPr>
        <w:t xml:space="preserve">Smernica Európskeho parlamentu a Rady 2023/970 z 10. mája 2023, ktorou sa posilňuje uplatňovanie zásady rovnakej odmeny pre mužov a ženy za rovnakú prácu alebo prácu rovnakej hodnoty prostredníctvom transparentnosti odmeňovania a mechanizmov presadzovania,  a </w:t>
      </w:r>
    </w:p>
    <w:p w:rsidR="00000000" w:rsidDel="00000000" w:rsidP="00000000" w:rsidRDefault="00000000" w:rsidRPr="00000000" w14:paraId="0000005F">
      <w:pPr>
        <w:jc w:val="both"/>
        <w:rPr>
          <w:highlight w:val="green"/>
        </w:rPr>
      </w:pPr>
      <w:r w:rsidDel="00000000" w:rsidR="00000000" w:rsidRPr="00000000">
        <w:rPr>
          <w:rtl w:val="0"/>
        </w:rPr>
      </w:r>
    </w:p>
    <w:p w:rsidR="00000000" w:rsidDel="00000000" w:rsidP="00000000" w:rsidRDefault="00000000" w:rsidRPr="00000000" w14:paraId="0000006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je obsiahnutá v judikatúre Súdneho dvora Európskej únie, napríklad rozsudok vo veci Defrenne v. Sabena č. 2 (43/75), Marshal č. 1 (152/84) alebo Danfoss (109/88), Cadman (C-17/05) alebo Mangold (C-144/04).</w:t>
      </w:r>
    </w:p>
    <w:p w:rsidR="00000000" w:rsidDel="00000000" w:rsidP="00000000" w:rsidRDefault="00000000" w:rsidRPr="00000000" w14:paraId="00000061">
      <w:pPr>
        <w:jc w:val="both"/>
        <w:rPr>
          <w:highlight w:val="green"/>
        </w:rPr>
      </w:pPr>
      <w:r w:rsidDel="00000000" w:rsidR="00000000" w:rsidRPr="00000000">
        <w:rPr>
          <w:rtl w:val="0"/>
        </w:rPr>
      </w:r>
    </w:p>
    <w:p w:rsidR="00000000" w:rsidDel="00000000" w:rsidP="00000000" w:rsidRDefault="00000000" w:rsidRPr="00000000" w14:paraId="00000062">
      <w:pPr>
        <w:jc w:val="both"/>
        <w:rPr>
          <w:b w:val="1"/>
        </w:rPr>
      </w:pPr>
      <w:r w:rsidDel="00000000" w:rsidR="00000000" w:rsidRPr="00000000">
        <w:rPr>
          <w:b w:val="1"/>
          <w:rtl w:val="0"/>
        </w:rPr>
        <w:t xml:space="preserve">4. Záväzky Slovenskej republiky vo vzťahu k Európskej únii:</w:t>
      </w:r>
    </w:p>
    <w:p w:rsidR="00000000" w:rsidDel="00000000" w:rsidP="00000000" w:rsidRDefault="00000000" w:rsidRPr="00000000" w14:paraId="00000063">
      <w:pPr>
        <w:jc w:val="both"/>
        <w:rPr/>
      </w:pPr>
      <w:r w:rsidDel="00000000" w:rsidR="00000000" w:rsidRPr="00000000">
        <w:rPr>
          <w:rtl w:val="0"/>
        </w:rPr>
      </w:r>
    </w:p>
    <w:p w:rsidR="00000000" w:rsidDel="00000000" w:rsidP="00000000" w:rsidRDefault="00000000" w:rsidRPr="00000000" w14:paraId="0000006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lehota na prebratie smernice alebo lehota na implementáciu nariadenia alebo rozhodnutia: </w:t>
      </w: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Členské štáty sú povinné uviesť do účinnosti zákony, iné právne predpisy a správne opatrenia potrebné na dosiahnutie súladu s touto smernicou do 7. júna 2026. </w:t>
      </w:r>
      <w:r w:rsidDel="00000000" w:rsidR="00000000" w:rsidRPr="00000000">
        <w:rPr>
          <w:rtl w:val="0"/>
        </w:rPr>
      </w:r>
    </w:p>
    <w:p w:rsidR="00000000" w:rsidDel="00000000" w:rsidP="00000000" w:rsidRDefault="00000000" w:rsidRPr="00000000" w14:paraId="00000067">
      <w:pPr>
        <w:jc w:val="both"/>
        <w:rPr/>
      </w:pPr>
      <w:r w:rsidDel="00000000" w:rsidR="00000000" w:rsidRPr="00000000">
        <w:rPr>
          <w:rtl w:val="0"/>
        </w:rPr>
      </w:r>
    </w:p>
    <w:p w:rsidR="00000000" w:rsidDel="00000000" w:rsidP="00000000" w:rsidRDefault="00000000" w:rsidRPr="00000000" w14:paraId="0000006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lehota určená na predloženie návrhu právneho predpisu na rokovanie vlády podľa určenia gestorských ústredných orgánov štátnej správy zodpovedných za transpozíciu smerníc a vypracovanie tabuliek zhody k návrhom všeobecne záväzných právnych predpisov</w:t>
      </w: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Bezpredmetné</w:t>
      </w:r>
    </w:p>
    <w:p w:rsidR="00000000" w:rsidDel="00000000" w:rsidP="00000000" w:rsidRDefault="00000000" w:rsidRPr="00000000" w14:paraId="0000006B">
      <w:pPr>
        <w:jc w:val="both"/>
        <w:rPr/>
      </w:pPr>
      <w:r w:rsidDel="00000000" w:rsidR="00000000" w:rsidRPr="00000000">
        <w:rPr>
          <w:rtl w:val="0"/>
        </w:rPr>
      </w:r>
    </w:p>
    <w:p w:rsidR="00000000" w:rsidDel="00000000" w:rsidP="00000000" w:rsidRDefault="00000000" w:rsidRPr="00000000" w14:paraId="0000006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nebolo začaté konanie proti Slovenskej republike podľa čl. 258 až 260 Zmluvy o fungovaní Európskej únie,</w:t>
      </w:r>
      <w:r w:rsidDel="00000000" w:rsidR="00000000" w:rsidRPr="00000000">
        <w:rPr>
          <w:rtl w:val="0"/>
        </w:rPr>
      </w:r>
    </w:p>
    <w:p w:rsidR="00000000" w:rsidDel="00000000" w:rsidP="00000000" w:rsidRDefault="00000000" w:rsidRPr="00000000" w14:paraId="0000006D">
      <w:pPr>
        <w:jc w:val="both"/>
        <w:rPr/>
      </w:pPr>
      <w:r w:rsidDel="00000000" w:rsidR="00000000" w:rsidRPr="00000000">
        <w:rPr>
          <w:rtl w:val="0"/>
        </w:rPr>
      </w:r>
    </w:p>
    <w:p w:rsidR="00000000" w:rsidDel="00000000" w:rsidP="00000000" w:rsidRDefault="00000000" w:rsidRPr="00000000" w14:paraId="0000006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informácia o právnych predpisoch, v ktorých sú preberané smernice už prebraté spolu s uvedením rozsahu tohto prebratia,</w:t>
      </w:r>
      <w:r w:rsidDel="00000000" w:rsidR="00000000" w:rsidRPr="00000000">
        <w:rPr>
          <w:rtl w:val="0"/>
        </w:rPr>
      </w:r>
    </w:p>
    <w:p w:rsidR="00000000" w:rsidDel="00000000" w:rsidP="00000000" w:rsidRDefault="00000000" w:rsidRPr="00000000" w14:paraId="0000006F">
      <w:pPr>
        <w:jc w:val="both"/>
        <w:rPr/>
      </w:pPr>
      <w:r w:rsidDel="00000000" w:rsidR="00000000" w:rsidRPr="00000000">
        <w:rPr>
          <w:rtl w:val="0"/>
        </w:rPr>
      </w:r>
    </w:p>
    <w:p w:rsidR="00000000" w:rsidDel="00000000" w:rsidP="00000000" w:rsidRDefault="00000000" w:rsidRPr="00000000" w14:paraId="00000070">
      <w:pPr>
        <w:jc w:val="both"/>
        <w:rPr/>
      </w:pPr>
      <w:r w:rsidDel="00000000" w:rsidR="00000000" w:rsidRPr="00000000">
        <w:rPr>
          <w:rtl w:val="0"/>
        </w:rPr>
        <w:t xml:space="preserve">Zákon, ktorým sa mení a dopĺňa zákon č. 365/2004 Z. z. o rovnakom zaobchádzaní v niektorých oblastiach a o ochrane pred diskrimináciou a o zmene a doplnení niektorých zákonov (antidiskriminačný zákon) v znení neskorších predpisov,</w:t>
      </w:r>
    </w:p>
    <w:p w:rsidR="00000000" w:rsidDel="00000000" w:rsidP="00000000" w:rsidRDefault="00000000" w:rsidRPr="00000000" w14:paraId="00000071">
      <w:pPr>
        <w:jc w:val="both"/>
        <w:rPr/>
      </w:pPr>
      <w:r w:rsidDel="00000000" w:rsidR="00000000" w:rsidRPr="00000000">
        <w:rPr>
          <w:rtl w:val="0"/>
        </w:rPr>
      </w:r>
    </w:p>
    <w:p w:rsidR="00000000" w:rsidDel="00000000" w:rsidP="00000000" w:rsidRDefault="00000000" w:rsidRPr="00000000" w14:paraId="00000072">
      <w:pPr>
        <w:jc w:val="both"/>
        <w:rPr/>
      </w:pPr>
      <w:r w:rsidDel="00000000" w:rsidR="00000000" w:rsidRPr="00000000">
        <w:rPr>
          <w:rtl w:val="0"/>
        </w:rPr>
        <w:t xml:space="preserve">Zákon č. 8/2008 Z. z. o poisťovníctve a o zmene a doplnení niektorých zákonov v znení neskorších predpisov. </w:t>
      </w:r>
    </w:p>
    <w:p w:rsidR="00000000" w:rsidDel="00000000" w:rsidP="00000000" w:rsidRDefault="00000000" w:rsidRPr="00000000" w14:paraId="00000073">
      <w:pPr>
        <w:jc w:val="both"/>
        <w:rPr/>
      </w:pPr>
      <w:r w:rsidDel="00000000" w:rsidR="00000000" w:rsidRPr="00000000">
        <w:rPr>
          <w:rtl w:val="0"/>
        </w:rPr>
      </w:r>
    </w:p>
    <w:p w:rsidR="00000000" w:rsidDel="00000000" w:rsidP="00000000" w:rsidRDefault="00000000" w:rsidRPr="00000000" w14:paraId="00000074">
      <w:pPr>
        <w:jc w:val="both"/>
        <w:rPr>
          <w:b w:val="1"/>
        </w:rPr>
      </w:pPr>
      <w:r w:rsidDel="00000000" w:rsidR="00000000" w:rsidRPr="00000000">
        <w:rPr>
          <w:b w:val="1"/>
          <w:rtl w:val="0"/>
        </w:rPr>
        <w:t xml:space="preserve">5. Stupeň zlučiteľnosti návrhu právneho predpisu s právom Európskej únie:</w:t>
      </w:r>
    </w:p>
    <w:p w:rsidR="00000000" w:rsidDel="00000000" w:rsidP="00000000" w:rsidRDefault="00000000" w:rsidRPr="00000000" w14:paraId="00000075">
      <w:pPr>
        <w:jc w:val="both"/>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Stupeň zlučiteľnosti - úplný</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sk-SK"/>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y" w:default="1">
    <w:name w:val="Normal"/>
    <w:qFormat w:val="1"/>
    <w:rsid w:val="00313950"/>
    <w:pPr>
      <w:widowControl w:val="0"/>
      <w:suppressAutoHyphens w:val="1"/>
      <w:spacing w:after="0" w:line="240" w:lineRule="auto"/>
    </w:pPr>
    <w:rPr>
      <w:rFonts w:ascii="Times New Roman" w:cs="Mangal" w:eastAsia="SimSun" w:hAnsi="Times New Roman"/>
      <w:kern w:val="1"/>
      <w:sz w:val="24"/>
      <w:szCs w:val="24"/>
      <w:lang w:bidi="hi-IN" w:eastAsia="hi-IN"/>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paragraph" w:styleId="Normlnywebov">
    <w:name w:val="Normal (Web)"/>
    <w:aliases w:val="webb"/>
    <w:basedOn w:val="Normlny"/>
    <w:uiPriority w:val="99"/>
    <w:unhideWhenUsed w:val="1"/>
    <w:rsid w:val="00313950"/>
    <w:pPr>
      <w:widowControl w:val="1"/>
      <w:suppressAutoHyphens w:val="0"/>
      <w:spacing w:after="100" w:afterAutospacing="1" w:before="100" w:beforeAutospacing="1"/>
    </w:pPr>
    <w:rPr>
      <w:rFonts w:cs="Times New Roman" w:eastAsia="Times New Roman"/>
      <w:kern w:val="0"/>
      <w:lang w:bidi="ar-SA" w:eastAsia="sk-SK"/>
    </w:rPr>
  </w:style>
  <w:style w:type="paragraph" w:styleId="Vchodzie" w:customStyle="1">
    <w:name w:val="Vchodzie"/>
    <w:rsid w:val="00313950"/>
    <w:pPr>
      <w:widowControl w:val="0"/>
      <w:autoSpaceDN w:val="0"/>
      <w:adjustRightInd w:val="0"/>
      <w:spacing w:after="200" w:line="276" w:lineRule="auto"/>
    </w:pPr>
    <w:rPr>
      <w:rFonts w:ascii="Calibri" w:cs="Calibri" w:hAnsi="Calibri" w:eastAsiaTheme="minorEastAsia"/>
      <w:kern w:val="1"/>
      <w:lang w:val="en-US"/>
    </w:rPr>
  </w:style>
  <w:style w:type="paragraph" w:styleId="Odsekzoznamu">
    <w:name w:val="List Paragraph"/>
    <w:basedOn w:val="Normlny"/>
    <w:uiPriority w:val="34"/>
    <w:qFormat w:val="1"/>
    <w:rsid w:val="00313950"/>
    <w:pPr>
      <w:ind w:left="720"/>
      <w:contextualSpacing w:val="1"/>
    </w:pPr>
    <w:rPr>
      <w:szCs w:val="21"/>
    </w:rPr>
  </w:style>
  <w:style w:type="character" w:styleId="Odkaznakomentr">
    <w:name w:val="annotation reference"/>
    <w:basedOn w:val="Predvolenpsmoodseku"/>
    <w:uiPriority w:val="99"/>
    <w:semiHidden w:val="1"/>
    <w:unhideWhenUsed w:val="1"/>
    <w:rsid w:val="00425E30"/>
    <w:rPr>
      <w:sz w:val="16"/>
      <w:szCs w:val="16"/>
    </w:rPr>
  </w:style>
  <w:style w:type="paragraph" w:styleId="Textkomentra">
    <w:name w:val="annotation text"/>
    <w:basedOn w:val="Normlny"/>
    <w:link w:val="TextkomentraChar"/>
    <w:uiPriority w:val="99"/>
    <w:semiHidden w:val="1"/>
    <w:unhideWhenUsed w:val="1"/>
    <w:rsid w:val="00425E30"/>
    <w:rPr>
      <w:sz w:val="20"/>
      <w:szCs w:val="18"/>
    </w:rPr>
  </w:style>
  <w:style w:type="character" w:styleId="TextkomentraChar" w:customStyle="1">
    <w:name w:val="Text komentára Char"/>
    <w:basedOn w:val="Predvolenpsmoodseku"/>
    <w:link w:val="Textkomentra"/>
    <w:uiPriority w:val="99"/>
    <w:semiHidden w:val="1"/>
    <w:rsid w:val="00425E30"/>
    <w:rPr>
      <w:rFonts w:ascii="Times New Roman" w:cs="Mangal" w:eastAsia="SimSun" w:hAnsi="Times New Roman"/>
      <w:kern w:val="1"/>
      <w:sz w:val="20"/>
      <w:szCs w:val="18"/>
      <w:lang w:bidi="hi-IN" w:eastAsia="hi-IN"/>
    </w:rPr>
  </w:style>
  <w:style w:type="paragraph" w:styleId="Predmetkomentra">
    <w:name w:val="annotation subject"/>
    <w:basedOn w:val="Textkomentra"/>
    <w:next w:val="Textkomentra"/>
    <w:link w:val="PredmetkomentraChar"/>
    <w:uiPriority w:val="99"/>
    <w:semiHidden w:val="1"/>
    <w:unhideWhenUsed w:val="1"/>
    <w:rsid w:val="00425E30"/>
    <w:rPr>
      <w:b w:val="1"/>
      <w:bCs w:val="1"/>
    </w:rPr>
  </w:style>
  <w:style w:type="character" w:styleId="PredmetkomentraChar" w:customStyle="1">
    <w:name w:val="Predmet komentára Char"/>
    <w:basedOn w:val="TextkomentraChar"/>
    <w:link w:val="Predmetkomentra"/>
    <w:uiPriority w:val="99"/>
    <w:semiHidden w:val="1"/>
    <w:rsid w:val="00425E30"/>
    <w:rPr>
      <w:rFonts w:ascii="Times New Roman" w:cs="Mangal" w:eastAsia="SimSun" w:hAnsi="Times New Roman"/>
      <w:b w:val="1"/>
      <w:bCs w:val="1"/>
      <w:kern w:val="1"/>
      <w:sz w:val="20"/>
      <w:szCs w:val="18"/>
      <w:lang w:bidi="hi-IN" w:eastAsia="hi-IN"/>
    </w:rPr>
  </w:style>
  <w:style w:type="paragraph" w:styleId="Textbubliny">
    <w:name w:val="Balloon Text"/>
    <w:basedOn w:val="Normlny"/>
    <w:link w:val="TextbublinyChar"/>
    <w:uiPriority w:val="99"/>
    <w:semiHidden w:val="1"/>
    <w:unhideWhenUsed w:val="1"/>
    <w:rsid w:val="00425E30"/>
    <w:rPr>
      <w:rFonts w:ascii="Segoe UI" w:hAnsi="Segoe UI"/>
      <w:sz w:val="18"/>
      <w:szCs w:val="16"/>
    </w:rPr>
  </w:style>
  <w:style w:type="character" w:styleId="TextbublinyChar" w:customStyle="1">
    <w:name w:val="Text bubliny Char"/>
    <w:basedOn w:val="Predvolenpsmoodseku"/>
    <w:link w:val="Textbubliny"/>
    <w:uiPriority w:val="99"/>
    <w:semiHidden w:val="1"/>
    <w:rsid w:val="00425E30"/>
    <w:rPr>
      <w:rFonts w:ascii="Segoe UI" w:cs="Mangal" w:eastAsia="SimSun" w:hAnsi="Segoe UI"/>
      <w:kern w:val="1"/>
      <w:sz w:val="18"/>
      <w:szCs w:val="16"/>
      <w:lang w:bidi="hi-IN" w:eastAsia="hi-I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wW8bb3xXcCvLwRU7qU0D3e3NHQ==">CgMxLjA4AGopChRzdWdnZXN0LmZreXc1YmNmaWltZxIRRMOhxaFhIEJsYcWha292w6FyITEzNF9iNGloQi1lNUxKUzRGUThfYUZRZmtJRkotY0w2UA==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2021-08-31T11:31:00Z</dcterms:created>
  <dc:creator>Petrík, Simona (asistent)</dc:creator>
</cp:coreProperties>
</file>