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widowControl w:val="1"/>
        <w:spacing w:line="276" w:lineRule="auto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828" w:hanging="382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právneho predpisu:</w:t>
      </w:r>
      <w:r w:rsidDel="00000000" w:rsidR="00000000" w:rsidRPr="00000000">
        <w:rPr>
          <w:rtl w:val="0"/>
        </w:rPr>
        <w:t xml:space="preserve"> </w:t>
        <w:tab/>
        <w:t xml:space="preserve">poslankyne Národnej rady Slovenskej republiky Zuzana Števulová a Lucia Plaváková a poslanec Národnej rady Slovenskej republiky Branislav Vančo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 ktorým sa mení zákon č. 153/2001 Z. z. o prokuratúre v znení neskorších predpisov</w:t>
      </w:r>
    </w:p>
    <w:p w:rsidR="00000000" w:rsidDel="00000000" w:rsidP="00000000" w:rsidRDefault="00000000" w:rsidRPr="00000000" w14:paraId="00000008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B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200" w:line="276" w:lineRule="auto"/>
        <w:rPr>
          <w:b w:val="1"/>
          <w:smallCaps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zákon č. 153/2001 Z. z. o prokuratúre v znení neskorších predpisov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A.2. Vplyvy: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5370"/>
        <w:gridCol w:w="1305"/>
        <w:gridCol w:w="1005"/>
        <w:gridCol w:w="1365"/>
        <w:tblGridChange w:id="0">
          <w:tblGrid>
            <w:gridCol w:w="5370"/>
            <w:gridCol w:w="1305"/>
            <w:gridCol w:w="100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A.3. Poznámky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  <w:rtl w:val="0"/>
        </w:rPr>
        <w:t xml:space="preserve">Táto zmena právnej úpravy bude mať pozitívny vplyv na transparentnosť pri výbere  generálneho prokurátora a v konečnom dôsledku aj na zvýšenie dôveryhodnosti justičných orgánov SR.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A.4. Alternatívne riešenia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wsUJ3BdWr4vsX7jbivPKan4kw==">CgMxLjA4AHIhMTNORi1XZHBoc09NcWNZRU83LUFWWVVielhDbXB2ZlpM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