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3436" w:rsidRPr="00B30F61" w14:paraId="4F2F87FF" w14:textId="77777777" w:rsidTr="004B3EDC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14:paraId="2A0A6E6A" w14:textId="77777777" w:rsidR="00D73436" w:rsidRPr="00B30F61" w:rsidRDefault="00D73436" w:rsidP="004B3EDC">
            <w:pPr>
              <w:jc w:val="center"/>
            </w:pPr>
            <w:bookmarkStart w:id="0" w:name="_GoBack"/>
            <w:bookmarkEnd w:id="0"/>
            <w:r w:rsidRPr="00B30F61">
              <w:rPr>
                <w:b/>
                <w:sz w:val="28"/>
              </w:rPr>
              <w:t>Analýza vplyvov na životné prostredie</w:t>
            </w:r>
          </w:p>
        </w:tc>
      </w:tr>
      <w:tr w:rsidR="00D73436" w:rsidRPr="00B30F61" w14:paraId="5C80284A" w14:textId="77777777" w:rsidTr="004B3EDC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2B555834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i/>
              </w:rPr>
              <w:t>V prípade, že je predkladaný materiál posudzovaný podľa Zákona č. 24/2006 Z. z. o posudzovaní vplyvov na životné prostredie a o zmene a doplnení niektorých zákonov (EIA/SEA), tak nie je nutné vypĺňať túto analýzu. Proces EIA/SEA nahrádza Analýzu vplyvov na životné prostredie podľa Jednotnej metodiky na posudzovanie vybraných vplyvov. Túto informáciu je potrebné uviesť v Doložke vybraných vplyvov a v Poznámkach uviesť odkaz na proces. Pred predložením do PPK je však nutné mať Záverečné stanovisko z EIA/SEA procesu.</w:t>
            </w:r>
          </w:p>
          <w:p w14:paraId="672A6659" w14:textId="77777777" w:rsidR="00D73436" w:rsidRPr="00B30F61" w:rsidRDefault="00D73436" w:rsidP="004B3EDC">
            <w:pPr>
              <w:rPr>
                <w:i/>
              </w:rPr>
            </w:pPr>
          </w:p>
        </w:tc>
      </w:tr>
      <w:tr w:rsidR="00D73436" w:rsidRPr="00B30F61" w14:paraId="208F2A17" w14:textId="77777777" w:rsidTr="004B3EDC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1384E4A5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b/>
              </w:rPr>
              <w:t>5.1 Ktoré zložky životného prostredia (najmä klimatickú zmenu, ovzdušie, voda, horniny, pôda, organizmy) budú predkladaným materiálom ovplyvnené, a aký bude ich vplyv?</w:t>
            </w:r>
          </w:p>
        </w:tc>
      </w:tr>
      <w:tr w:rsidR="00D73436" w:rsidRPr="00B30F61" w14:paraId="3D877960" w14:textId="77777777" w:rsidTr="004B3EDC">
        <w:trPr>
          <w:trHeight w:val="558"/>
        </w:trPr>
        <w:tc>
          <w:tcPr>
            <w:tcW w:w="9062" w:type="dxa"/>
            <w:shd w:val="clear" w:color="auto" w:fill="auto"/>
          </w:tcPr>
          <w:p w14:paraId="1A57BEF2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i/>
              </w:rPr>
              <w:t>(Typ, veľkosť a rozsah vplyvu. Popíšte základné vplyvy na jednotlivé zložky životného prostredia)</w:t>
            </w:r>
          </w:p>
          <w:p w14:paraId="0A37501D" w14:textId="77777777" w:rsidR="00D73436" w:rsidRPr="00B30F61" w:rsidRDefault="00D73436" w:rsidP="004B3EDC">
            <w:pPr>
              <w:jc w:val="both"/>
            </w:pPr>
          </w:p>
        </w:tc>
      </w:tr>
      <w:tr w:rsidR="00D73436" w:rsidRPr="00B30F61" w14:paraId="521430A2" w14:textId="77777777" w:rsidTr="004B3EDC">
        <w:trPr>
          <w:trHeight w:val="995"/>
        </w:trPr>
        <w:tc>
          <w:tcPr>
            <w:tcW w:w="9062" w:type="dxa"/>
            <w:shd w:val="clear" w:color="auto" w:fill="auto"/>
          </w:tcPr>
          <w:p w14:paraId="701E52F2" w14:textId="77777777" w:rsidR="00D73436" w:rsidRPr="00B30F61" w:rsidRDefault="00D73436" w:rsidP="004B3EDC">
            <w:pPr>
              <w:ind w:left="284"/>
              <w:jc w:val="both"/>
            </w:pPr>
            <w:r w:rsidRPr="00B30F61">
              <w:t>5.1.1 Vplyvy na ovzdušie (</w:t>
            </w:r>
            <w:r w:rsidRPr="00B30F61">
              <w:rPr>
                <w:i/>
              </w:rPr>
              <w:t>množstvo očakávaných navýšených alebo ušetrených emisií ovzdušie znečisťujúcich látok)</w:t>
            </w:r>
            <w:r w:rsidRPr="00B30F61">
              <w:t>:</w:t>
            </w:r>
          </w:p>
          <w:p w14:paraId="5DAB6C7B" w14:textId="77777777" w:rsidR="00D73436" w:rsidRPr="00B30F61" w:rsidRDefault="00D73436" w:rsidP="004B3EDC">
            <w:pPr>
              <w:ind w:left="284"/>
              <w:jc w:val="both"/>
            </w:pPr>
          </w:p>
          <w:p w14:paraId="25A929E0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i/>
              </w:rPr>
              <w:t xml:space="preserve">Ovzdušie – pozitívny vplyv. </w:t>
            </w:r>
          </w:p>
          <w:p w14:paraId="02EB378F" w14:textId="77777777" w:rsidR="00D73436" w:rsidRPr="00B30F61" w:rsidRDefault="00D73436" w:rsidP="004B3EDC">
            <w:pPr>
              <w:jc w:val="both"/>
              <w:rPr>
                <w:iCs/>
              </w:rPr>
            </w:pPr>
          </w:p>
          <w:p w14:paraId="0B847AEC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 xml:space="preserve">Odvetvie </w:t>
            </w:r>
            <w:proofErr w:type="spellStart"/>
            <w:r w:rsidRPr="00B30F61">
              <w:rPr>
                <w:iCs/>
              </w:rPr>
              <w:t>elektroenergetiky</w:t>
            </w:r>
            <w:proofErr w:type="spellEnd"/>
            <w:r w:rsidRPr="00B30F61">
              <w:rPr>
                <w:iCs/>
              </w:rPr>
              <w:t xml:space="preserve"> zohráva kľúčovú rolu v plnení povinnosti znížiť emisie skleníkových plynov v Európskej únii (ďalej len „EÚ“) do roku 2030 aspoň o 40 % s očakávaným podielom obnoviteľných zdrojov energie (ďalej len „OZE“) na úrovni 50 %.</w:t>
            </w:r>
          </w:p>
          <w:p w14:paraId="6A05A809" w14:textId="77777777" w:rsidR="00D73436" w:rsidRPr="00B30F61" w:rsidRDefault="00D73436" w:rsidP="004B3EDC">
            <w:pPr>
              <w:jc w:val="both"/>
              <w:rPr>
                <w:iCs/>
              </w:rPr>
            </w:pPr>
          </w:p>
          <w:p w14:paraId="600AFEE4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 xml:space="preserve">Legislatívne návrhy v oblasti revízie dizajnu trhu s elektrinou spolu s úpravami v oblasti obnoviteľných zdrojov (tzv. smernica RED III) a energetickej efektívnosti tvoria základ pre splnenie </w:t>
            </w:r>
            <w:proofErr w:type="spellStart"/>
            <w:r w:rsidRPr="00B30F61">
              <w:rPr>
                <w:iCs/>
              </w:rPr>
              <w:t>klimaticko</w:t>
            </w:r>
            <w:proofErr w:type="spellEnd"/>
            <w:r w:rsidRPr="00B30F61">
              <w:rPr>
                <w:iCs/>
              </w:rPr>
              <w:t xml:space="preserve"> – energetických cieľov EÚ do roku  2030 a 2050.</w:t>
            </w:r>
          </w:p>
          <w:p w14:paraId="5A39BBE3" w14:textId="77777777" w:rsidR="00D73436" w:rsidRPr="00B30F61" w:rsidRDefault="00D73436" w:rsidP="004B3EDC">
            <w:pPr>
              <w:jc w:val="both"/>
              <w:rPr>
                <w:iCs/>
              </w:rPr>
            </w:pPr>
          </w:p>
          <w:p w14:paraId="173CED5A" w14:textId="77777777" w:rsidR="00D73436" w:rsidRPr="00B30F61" w:rsidRDefault="00D73436" w:rsidP="004B3EDC">
            <w:pPr>
              <w:jc w:val="both"/>
              <w:rPr>
                <w:iCs/>
                <w:sz w:val="20"/>
                <w:szCs w:val="20"/>
              </w:rPr>
            </w:pPr>
            <w:r w:rsidRPr="00B30F61">
              <w:rPr>
                <w:iCs/>
              </w:rPr>
              <w:t>Jedným z hlavných cieľov revízie dizajnu trhu s elektrinou je zlepšenie podmienok potrebných na trhovú integráciu nových kapacít obnoviteľných zdrojov. Smernice (v spojení s nariadením) podporujú zvyšovanie podielu obnoviteľných zdrojov na výrobe elektriny (OZE-E)</w:t>
            </w:r>
            <w:r>
              <w:rPr>
                <w:iCs/>
              </w:rPr>
              <w:t>,</w:t>
            </w:r>
            <w:r w:rsidRPr="00B30F61">
              <w:rPr>
                <w:iCs/>
              </w:rPr>
              <w:t xml:space="preserve"> ako aj v sektore budov a dopravy v kontexte politických cieľov EÚ 2030/ 2050.</w:t>
            </w:r>
            <w:r w:rsidRPr="00B30F61">
              <w:rPr>
                <w:iCs/>
                <w:sz w:val="20"/>
                <w:szCs w:val="20"/>
              </w:rPr>
              <w:t xml:space="preserve"> </w:t>
            </w:r>
          </w:p>
          <w:p w14:paraId="41C8F396" w14:textId="77777777" w:rsidR="00D73436" w:rsidRPr="00B30F61" w:rsidRDefault="00D73436" w:rsidP="004B3EDC">
            <w:pPr>
              <w:jc w:val="both"/>
              <w:rPr>
                <w:iCs/>
                <w:sz w:val="20"/>
                <w:szCs w:val="20"/>
              </w:rPr>
            </w:pPr>
          </w:p>
          <w:p w14:paraId="081FD7E3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>Smernica RED III rieši nielen dekarbonizáciu energetiky</w:t>
            </w:r>
            <w:r>
              <w:rPr>
                <w:iCs/>
              </w:rPr>
              <w:t>,</w:t>
            </w:r>
            <w:r w:rsidRPr="00B30F61">
              <w:rPr>
                <w:iCs/>
              </w:rPr>
              <w:t xml:space="preserve"> ale aj priemyslu a sektora dopravy.</w:t>
            </w:r>
          </w:p>
          <w:p w14:paraId="6AFC0FCD" w14:textId="073AC27C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 xml:space="preserve">Očakávajú sa pozitívne vplyvy na životné prostredie, najmä </w:t>
            </w:r>
            <w:r w:rsidR="00807763">
              <w:rPr>
                <w:iCs/>
              </w:rPr>
              <w:t xml:space="preserve">na zníženie emisií skleníkových  plynov. </w:t>
            </w:r>
            <w:r w:rsidRPr="00B30F61">
              <w:rPr>
                <w:iCs/>
              </w:rPr>
              <w:t xml:space="preserve">Sektor dopravy je zodpovedný za takmer 24% konečnej spotreby energií na Slovensku, pričom konečná spotreba energie v sektore dopravy za obdobie rokov 2005 – 2021 zaznamenala nárast. Najväčší podiel na konečnej spotrebe energie v doprave tvorí konečná spotreba kvapalných palív (89%), pričom podiel konečnej spotreby tuhých palív, plynných palív ako aj elektrickej energie ostáva zatiaľ malý. </w:t>
            </w:r>
          </w:p>
          <w:p w14:paraId="7452931C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 xml:space="preserve">Najviac sa na spotrebe palív a elektriny v sektore dopravy podieľa cestná doprava, kde došlo v roku 2022 k nárastu spotreby pohonných hmôt (automobilových benzínov a nafty) o viac ako 16 % oproti roku 2010. V roku 2022 v cestnej doprave spotreba benzínu a nafty predstavovala 88 %, spotreba elektriny a plynu bola zanedbateľné. </w:t>
            </w:r>
          </w:p>
          <w:p w14:paraId="11EF797E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 xml:space="preserve">Podiel OZE v doprave na Slovensku dosiahol v roku 2023 úroveň 9,2%, čím sa Slovensko radí k priemeru v rámci EÚ. Sektor dopravy na Slovensku má významný potenciál v oblasti dekarbonizácie, ktorú možno podporiť rôznymi metódami okrem iného napríklad zvýšením podielu alternatívnych ekologickejších pohonov v doprave. Podporením zvyšovania podielu OZE v doprave napríklad aj prostredníctvom zavedenia schémy a vytvorenia tzv. trhoviska </w:t>
            </w:r>
            <w:r w:rsidRPr="00B30F61">
              <w:rPr>
                <w:iCs/>
              </w:rPr>
              <w:lastRenderedPageBreak/>
              <w:t xml:space="preserve">pre kredity generované dodávkami elektriny do elektrických vozidiel (EV) prostredníctvom dobíjacej infraštruktúry  sa má dosiahnuť postupné znižovanie využívania fosílnych palív, čo následne prispeje k zlepšovaniu kvality ovzdušia a znižovaniu výskytu respiračných a kardiovaskulárnych ochorení. Hoci sa kvalita ovzdušia na Slovensku zlepšuje, limity častíc PM10 sú dlhodobo prekračované (v 2022 bol medián koncentrácie PM10 35 µg/m3. Napr. v ČR to bolo 33 µg/m3, v Rakúsku 26 µg/m3 a Fínsku 19 µg/m3). </w:t>
            </w:r>
          </w:p>
          <w:p w14:paraId="430DF4D3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>Vplyvy sú hodnotené na úrovni EÚ a nie je ich možné detailnejšie odhadnúť na národnej úrovni.</w:t>
            </w:r>
          </w:p>
          <w:p w14:paraId="72A3D3EC" w14:textId="77777777" w:rsidR="00D73436" w:rsidRPr="00B30F61" w:rsidRDefault="00D73436" w:rsidP="004B3EDC">
            <w:pPr>
              <w:jc w:val="both"/>
              <w:rPr>
                <w:iCs/>
              </w:rPr>
            </w:pPr>
          </w:p>
          <w:p w14:paraId="6CD07DF2" w14:textId="77777777" w:rsidR="00D73436" w:rsidRPr="00F54AFF" w:rsidRDefault="00D73436" w:rsidP="004B3EDC">
            <w:pPr>
              <w:jc w:val="both"/>
              <w:rPr>
                <w:iCs/>
              </w:rPr>
            </w:pPr>
            <w:r w:rsidRPr="00F54AFF">
              <w:rPr>
                <w:iCs/>
              </w:rPr>
              <w:t>Uplatňovanie Nariadenia Európskeho parlamentu a Rady (EÚ) 2024/1787 z 13. júna 2024 o znižovaní emisií metánu v odvetví energetiky a o zmene nariadenia (EÚ) 2019/942 zabezpečí zníženie týchto emisií.</w:t>
            </w:r>
          </w:p>
          <w:p w14:paraId="0D0B940D" w14:textId="77777777" w:rsidR="00D73436" w:rsidRPr="00F54AFF" w:rsidRDefault="00D73436" w:rsidP="004B3EDC">
            <w:pPr>
              <w:jc w:val="both"/>
              <w:rPr>
                <w:iCs/>
              </w:rPr>
            </w:pPr>
          </w:p>
          <w:p w14:paraId="2A765F77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F54AFF">
              <w:rPr>
                <w:iCs/>
              </w:rPr>
              <w:t>Emisie metánu sú zahrnuté v rozsahu pôsobnosti cieľov Únie v oblasti znižovania emisií skleníkových plynov do roku 2030, ktoré sú stanovené v nariadení (EÚ) 2021/1119, a záväzných vnútroštátnych cieľov v oblasti znižovania emisií podľa nariadenia Európskeho parlamentu a Rady (EÚ) 2018/842.</w:t>
            </w:r>
          </w:p>
          <w:p w14:paraId="0E27B00A" w14:textId="77777777" w:rsidR="00D73436" w:rsidRPr="00B30F61" w:rsidRDefault="00D73436" w:rsidP="004B3EDC">
            <w:pPr>
              <w:ind w:left="284"/>
              <w:jc w:val="both"/>
            </w:pPr>
          </w:p>
        </w:tc>
      </w:tr>
      <w:tr w:rsidR="00D73436" w:rsidRPr="00B30F61" w14:paraId="49795D0C" w14:textId="77777777" w:rsidTr="004B3EDC">
        <w:trPr>
          <w:trHeight w:val="995"/>
        </w:trPr>
        <w:tc>
          <w:tcPr>
            <w:tcW w:w="9062" w:type="dxa"/>
            <w:shd w:val="clear" w:color="auto" w:fill="auto"/>
          </w:tcPr>
          <w:p w14:paraId="1262479D" w14:textId="77777777" w:rsidR="00D73436" w:rsidRPr="00B30F61" w:rsidRDefault="00D73436" w:rsidP="004B3EDC">
            <w:pPr>
              <w:ind w:left="284"/>
              <w:jc w:val="both"/>
            </w:pPr>
            <w:r w:rsidRPr="00B30F61">
              <w:lastRenderedPageBreak/>
              <w:t>5.1.2 Vplyvy na vodu vrátane odpadových vôd (</w:t>
            </w:r>
            <w:r w:rsidRPr="00B30F61">
              <w:rPr>
                <w:i/>
              </w:rPr>
              <w:t>množstvo pitnej a úžitkovej vody, akým spôsobom a odkiaľ budú vodné zdroje získavané, množstvo a spôsob likvidácie/nakladania s odpadovými vodami a pod.):</w:t>
            </w:r>
          </w:p>
          <w:p w14:paraId="60061E4C" w14:textId="77777777" w:rsidR="00D73436" w:rsidRPr="00B30F61" w:rsidRDefault="00D73436" w:rsidP="004B3EDC">
            <w:pPr>
              <w:ind w:left="284"/>
              <w:jc w:val="both"/>
            </w:pPr>
          </w:p>
          <w:p w14:paraId="01F24352" w14:textId="77777777" w:rsidR="00D73436" w:rsidRPr="00B30F61" w:rsidRDefault="00D73436" w:rsidP="004B3EDC">
            <w:pPr>
              <w:ind w:left="284"/>
              <w:jc w:val="both"/>
              <w:rPr>
                <w:b/>
                <w:bCs/>
              </w:rPr>
            </w:pPr>
            <w:r w:rsidRPr="00B30F61">
              <w:rPr>
                <w:b/>
                <w:bCs/>
              </w:rPr>
              <w:t>Nie</w:t>
            </w:r>
          </w:p>
        </w:tc>
      </w:tr>
      <w:tr w:rsidR="00D73436" w:rsidRPr="00B30F61" w14:paraId="71B04126" w14:textId="77777777" w:rsidTr="004B3EDC">
        <w:trPr>
          <w:trHeight w:val="995"/>
        </w:trPr>
        <w:tc>
          <w:tcPr>
            <w:tcW w:w="9062" w:type="dxa"/>
            <w:shd w:val="clear" w:color="auto" w:fill="auto"/>
          </w:tcPr>
          <w:p w14:paraId="69785E25" w14:textId="77777777" w:rsidR="00D73436" w:rsidRPr="00B30F61" w:rsidRDefault="00D73436" w:rsidP="004B3EDC">
            <w:pPr>
              <w:ind w:left="284"/>
              <w:jc w:val="both"/>
            </w:pPr>
            <w:r w:rsidRPr="00B30F61">
              <w:t>5.1.3  Vplyvy na pôdu a horninové prostredie:</w:t>
            </w:r>
          </w:p>
          <w:p w14:paraId="6A7795C5" w14:textId="77777777" w:rsidR="00D73436" w:rsidRPr="00B30F61" w:rsidRDefault="00D73436" w:rsidP="004B3EDC">
            <w:pPr>
              <w:ind w:left="284"/>
              <w:jc w:val="both"/>
              <w:rPr>
                <w:b/>
                <w:bCs/>
              </w:rPr>
            </w:pPr>
            <w:r w:rsidRPr="00B30F61">
              <w:rPr>
                <w:b/>
                <w:bCs/>
              </w:rPr>
              <w:t>Nie</w:t>
            </w:r>
          </w:p>
        </w:tc>
      </w:tr>
      <w:tr w:rsidR="00D73436" w:rsidRPr="00B30F61" w14:paraId="05CA153B" w14:textId="77777777" w:rsidTr="004B3EDC">
        <w:trPr>
          <w:trHeight w:val="995"/>
        </w:trPr>
        <w:tc>
          <w:tcPr>
            <w:tcW w:w="9062" w:type="dxa"/>
            <w:shd w:val="clear" w:color="auto" w:fill="auto"/>
          </w:tcPr>
          <w:p w14:paraId="19FCDF73" w14:textId="77777777" w:rsidR="00D73436" w:rsidRPr="00B30F61" w:rsidRDefault="00D73436" w:rsidP="004B3EDC">
            <w:pPr>
              <w:ind w:left="284"/>
              <w:jc w:val="both"/>
            </w:pPr>
            <w:r w:rsidRPr="00B30F61">
              <w:t>5.1.4  Vplyvy na organizmy:</w:t>
            </w:r>
          </w:p>
          <w:p w14:paraId="266EB710" w14:textId="77777777" w:rsidR="00D73436" w:rsidRPr="00B30F61" w:rsidRDefault="00D73436" w:rsidP="004B3EDC">
            <w:pPr>
              <w:ind w:left="284"/>
              <w:jc w:val="both"/>
              <w:rPr>
                <w:b/>
                <w:bCs/>
              </w:rPr>
            </w:pPr>
            <w:r w:rsidRPr="00B30F61">
              <w:rPr>
                <w:b/>
                <w:bCs/>
              </w:rPr>
              <w:t>Nie</w:t>
            </w:r>
          </w:p>
        </w:tc>
      </w:tr>
      <w:tr w:rsidR="00D73436" w:rsidRPr="00B30F61" w14:paraId="5A5D41AA" w14:textId="77777777" w:rsidTr="004B3EDC">
        <w:trPr>
          <w:trHeight w:val="995"/>
        </w:trPr>
        <w:tc>
          <w:tcPr>
            <w:tcW w:w="9062" w:type="dxa"/>
            <w:shd w:val="clear" w:color="auto" w:fill="auto"/>
          </w:tcPr>
          <w:p w14:paraId="452312D9" w14:textId="77777777" w:rsidR="00D73436" w:rsidRPr="00B30F61" w:rsidRDefault="00D73436" w:rsidP="004B3EDC">
            <w:pPr>
              <w:ind w:left="284"/>
              <w:jc w:val="both"/>
            </w:pPr>
            <w:r w:rsidRPr="00B30F61">
              <w:t>5.1.5  Vplyvy na odpady (</w:t>
            </w:r>
            <w:r w:rsidRPr="00B30F61">
              <w:rPr>
                <w:i/>
              </w:rPr>
              <w:t>koľko akého druhu odpadu bude prijatím a realizovaním predkladaného materiálu produkované, ako s ním bude nakladané a ako prispeje materiál k rozvoju a posilneniu obehovej ekonomiky</w:t>
            </w:r>
            <w:r w:rsidRPr="00B30F61">
              <w:t>):</w:t>
            </w:r>
          </w:p>
          <w:p w14:paraId="724F68C7" w14:textId="77777777" w:rsidR="00D73436" w:rsidRPr="00B30F61" w:rsidRDefault="00D73436" w:rsidP="004B3EDC">
            <w:pPr>
              <w:ind w:left="284"/>
              <w:jc w:val="both"/>
              <w:rPr>
                <w:b/>
                <w:bCs/>
              </w:rPr>
            </w:pPr>
            <w:r w:rsidRPr="00B30F61">
              <w:rPr>
                <w:b/>
                <w:bCs/>
              </w:rPr>
              <w:t>Nie</w:t>
            </w:r>
          </w:p>
        </w:tc>
      </w:tr>
      <w:tr w:rsidR="00D73436" w:rsidRPr="00B30F61" w14:paraId="484907F5" w14:textId="77777777" w:rsidTr="004B3EDC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14:paraId="02340F4B" w14:textId="77777777" w:rsidR="00D73436" w:rsidRPr="00B30F61" w:rsidRDefault="00D73436" w:rsidP="004B3EDC">
            <w:pPr>
              <w:rPr>
                <w:b/>
              </w:rPr>
            </w:pPr>
            <w:r w:rsidRPr="00B30F61">
              <w:rPr>
                <w:b/>
              </w:rPr>
              <w:t xml:space="preserve">5.2 Bude mať predkladaný materiál vplyv na chránené územia a ak áno, aký? </w:t>
            </w:r>
          </w:p>
        </w:tc>
      </w:tr>
      <w:tr w:rsidR="00D73436" w:rsidRPr="00B30F61" w14:paraId="37AE5BA7" w14:textId="77777777" w:rsidTr="004B3EDC">
        <w:trPr>
          <w:trHeight w:val="987"/>
        </w:trPr>
        <w:tc>
          <w:tcPr>
            <w:tcW w:w="9062" w:type="dxa"/>
          </w:tcPr>
          <w:p w14:paraId="1AEF67C9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i/>
              </w:rPr>
              <w:t>Popíšte typ, veľkosť a rozsah vplyvu. Popíšte na ktoré chránené územia môže mať predkladaný materiál vplyvy (Natura 2000, národné parky, CHKO a pod.) Do ktorých stupňov ochrany bude prekladaný materiál zasahovať.</w:t>
            </w:r>
          </w:p>
          <w:p w14:paraId="3C95F989" w14:textId="77777777" w:rsidR="00D73436" w:rsidRPr="00B30F61" w:rsidRDefault="00D73436" w:rsidP="004B3EDC">
            <w:pPr>
              <w:jc w:val="both"/>
              <w:rPr>
                <w:b/>
                <w:bCs/>
              </w:rPr>
            </w:pPr>
            <w:r w:rsidRPr="00B30F61">
              <w:rPr>
                <w:b/>
                <w:bCs/>
              </w:rPr>
              <w:t>Nie</w:t>
            </w:r>
          </w:p>
          <w:p w14:paraId="44EAFD9C" w14:textId="77777777" w:rsidR="00D73436" w:rsidRPr="00B30F61" w:rsidRDefault="00D73436" w:rsidP="004B3EDC">
            <w:pPr>
              <w:jc w:val="both"/>
            </w:pPr>
          </w:p>
        </w:tc>
      </w:tr>
      <w:tr w:rsidR="00D73436" w:rsidRPr="00B30F61" w14:paraId="3CD9D818" w14:textId="77777777" w:rsidTr="004B3EDC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731A9E93" w14:textId="77777777" w:rsidR="00D73436" w:rsidRPr="00B30F61" w:rsidRDefault="00D73436" w:rsidP="004B3EDC">
            <w:pPr>
              <w:jc w:val="both"/>
              <w:rPr>
                <w:b/>
              </w:rPr>
            </w:pPr>
            <w:r w:rsidRPr="00B30F61">
              <w:rPr>
                <w:b/>
              </w:rPr>
              <w:t xml:space="preserve">5.3 Bude mať predkladaný materiál vplyv na zmenu klímy a ak áno, aký? (typ, veľkosť a rozsah vplyvu). </w:t>
            </w:r>
          </w:p>
        </w:tc>
      </w:tr>
      <w:tr w:rsidR="00D73436" w:rsidRPr="00B30F61" w14:paraId="5C1F2884" w14:textId="77777777" w:rsidTr="004B3EDC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14:paraId="7D2CD7F7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i/>
              </w:rPr>
              <w:t>Popíšte, akým spôsobom (pozitívne, negatívne) sa bude predkladaný materiál podieľať na znižovaní emisií skleníkových plynov a na adaptácii na zmenu klímy.</w:t>
            </w:r>
          </w:p>
          <w:p w14:paraId="4B94D5A5" w14:textId="77777777" w:rsidR="00D73436" w:rsidRPr="00B30F61" w:rsidRDefault="00D73436" w:rsidP="004B3EDC">
            <w:pPr>
              <w:jc w:val="both"/>
              <w:rPr>
                <w:i/>
              </w:rPr>
            </w:pPr>
          </w:p>
          <w:p w14:paraId="0B262BBF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 xml:space="preserve">Očakávajú sa pozitívne vplyvy na zmenu klímy najmä znižovaním závislosti na fosílnych palivách v sektore energetiky, dopravy ako aj budov, nakoľko sa podporí a urýchli výstavba a využívanie energie z OZE a v mieste spotreby. Podpora využívania zdrojov OZE v mieste </w:t>
            </w:r>
            <w:r w:rsidRPr="00B30F61">
              <w:rPr>
                <w:iCs/>
              </w:rPr>
              <w:lastRenderedPageBreak/>
              <w:t>spotreby ako aj zdieľanie elektriny vyrobenej z OZE prispeje k znižovaniu závislosti na fosílnych zdrojoch.</w:t>
            </w:r>
          </w:p>
        </w:tc>
      </w:tr>
      <w:tr w:rsidR="00D73436" w:rsidRPr="00B30F61" w14:paraId="7730B20C" w14:textId="77777777" w:rsidTr="004B3EDC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2EEAAE2A" w14:textId="77777777" w:rsidR="00D73436" w:rsidRPr="00B30F61" w:rsidRDefault="00D73436" w:rsidP="004B3EDC">
            <w:pPr>
              <w:jc w:val="both"/>
              <w:rPr>
                <w:b/>
              </w:rPr>
            </w:pPr>
            <w:r w:rsidRPr="00B30F61">
              <w:rPr>
                <w:b/>
              </w:rPr>
              <w:lastRenderedPageBreak/>
              <w:t>5.4 Bude mať predkladaný materiál vplyvy na životné prostredie presahujúce štátne hranice? (ktoré zložky a ako budú najviac ovplyvnené)?</w:t>
            </w:r>
          </w:p>
        </w:tc>
      </w:tr>
      <w:tr w:rsidR="00D73436" w:rsidRPr="00B30F61" w14:paraId="209B85B8" w14:textId="77777777" w:rsidTr="004B3EDC">
        <w:trPr>
          <w:trHeight w:val="969"/>
        </w:trPr>
        <w:tc>
          <w:tcPr>
            <w:tcW w:w="9062" w:type="dxa"/>
          </w:tcPr>
          <w:p w14:paraId="010C6A34" w14:textId="77777777" w:rsidR="00D73436" w:rsidRPr="00B30F61" w:rsidRDefault="00D73436" w:rsidP="004B3EDC">
            <w:pPr>
              <w:jc w:val="both"/>
              <w:rPr>
                <w:i/>
              </w:rPr>
            </w:pPr>
            <w:r w:rsidRPr="00B30F61">
              <w:rPr>
                <w:i/>
              </w:rPr>
              <w:t xml:space="preserve">Popíšte typ, veľkosť a rozsah cezhraničných vplyvov. </w:t>
            </w:r>
          </w:p>
          <w:p w14:paraId="3DEEC669" w14:textId="77777777" w:rsidR="00D73436" w:rsidRPr="00B30F61" w:rsidRDefault="00D73436" w:rsidP="004B3EDC">
            <w:pPr>
              <w:jc w:val="both"/>
              <w:rPr>
                <w:iCs/>
              </w:rPr>
            </w:pPr>
          </w:p>
          <w:p w14:paraId="28C76D19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>Áno. Ide o iniciatívu Európskej komisie a týka sa všetkých členských štátov Európskej únie. Smernica spoločne s nariadením o spoločných pravidlách na vnútornom trhu s elektrinou by mali zásadným spôsobom prispievať k predpokladanému zvýšeniu podielu obnoviteľných zdrojov na konečnej spotrebe energie do roku 2030 na 42,5%.</w:t>
            </w:r>
          </w:p>
          <w:p w14:paraId="3656B9AB" w14:textId="77777777" w:rsidR="00D73436" w:rsidRPr="00B30F61" w:rsidRDefault="00D73436" w:rsidP="004B3EDC">
            <w:pPr>
              <w:jc w:val="both"/>
              <w:rPr>
                <w:iCs/>
              </w:rPr>
            </w:pPr>
          </w:p>
          <w:p w14:paraId="0189A8A9" w14:textId="77777777" w:rsidR="00D73436" w:rsidRPr="00B30F61" w:rsidRDefault="00D73436" w:rsidP="004B3EDC">
            <w:pPr>
              <w:jc w:val="both"/>
              <w:rPr>
                <w:iCs/>
              </w:rPr>
            </w:pPr>
            <w:r w:rsidRPr="00B30F61">
              <w:rPr>
                <w:iCs/>
              </w:rPr>
              <w:t>Očakávajú sa pozitívne súvisiace vplyvy na životné prostredie presahujúce štátne hranice najmä na znižovanie emisií skleníkových plynov a na zlepšenie kvality ovzdušia vplyvom zníženia využívania fosílnych palív. Vplyvy sú hodnotené na úrovni EÚ pričom  nie je možné spoľahlivo odhadnúť cezhraničné vplyvy.</w:t>
            </w:r>
          </w:p>
          <w:p w14:paraId="45FB0818" w14:textId="77777777" w:rsidR="00D73436" w:rsidRPr="00B30F61" w:rsidRDefault="00D73436" w:rsidP="004B3EDC">
            <w:pPr>
              <w:jc w:val="both"/>
              <w:rPr>
                <w:b/>
              </w:rPr>
            </w:pPr>
          </w:p>
        </w:tc>
      </w:tr>
      <w:tr w:rsidR="00D73436" w:rsidRPr="00B30F61" w14:paraId="51D3E836" w14:textId="77777777" w:rsidTr="004B3EDC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14:paraId="4A0FD401" w14:textId="77777777" w:rsidR="00D73436" w:rsidRPr="00B30F61" w:rsidRDefault="00D73436" w:rsidP="004B3EDC">
            <w:pPr>
              <w:jc w:val="both"/>
              <w:rPr>
                <w:b/>
              </w:rPr>
            </w:pPr>
            <w:r w:rsidRPr="00B30F61">
              <w:rPr>
                <w:b/>
              </w:rPr>
              <w:t>5.5 Aké opatrenia budú prijaté na zmiernenie negatívneho vplyvu na životné prostredie?</w:t>
            </w:r>
          </w:p>
        </w:tc>
      </w:tr>
      <w:tr w:rsidR="00D73436" w:rsidRPr="00B30F61" w14:paraId="5018EC1E" w14:textId="77777777" w:rsidTr="004B3EDC">
        <w:trPr>
          <w:trHeight w:val="979"/>
        </w:trPr>
        <w:tc>
          <w:tcPr>
            <w:tcW w:w="9062" w:type="dxa"/>
            <w:shd w:val="clear" w:color="auto" w:fill="FFFFFF"/>
          </w:tcPr>
          <w:p w14:paraId="69279823" w14:textId="77777777" w:rsidR="00D73436" w:rsidRPr="00B30F61" w:rsidRDefault="00D73436" w:rsidP="004B3EDC">
            <w:pPr>
              <w:jc w:val="both"/>
            </w:pPr>
            <w:r w:rsidRPr="00B30F61">
              <w:rPr>
                <w:i/>
              </w:rPr>
              <w:t xml:space="preserve">Uveďte konkrétne všetky kompenzačné opatrenia, ktoré budú prijaté na zmiernenie uvádzaných vplyvov. </w:t>
            </w:r>
          </w:p>
          <w:p w14:paraId="049F31CB" w14:textId="77777777" w:rsidR="00D73436" w:rsidRPr="00B30F61" w:rsidRDefault="00D73436" w:rsidP="004B3EDC">
            <w:pPr>
              <w:jc w:val="both"/>
            </w:pPr>
          </w:p>
          <w:p w14:paraId="53128261" w14:textId="77777777" w:rsidR="00D73436" w:rsidRPr="00B30F61" w:rsidRDefault="00D73436" w:rsidP="004B3EDC">
            <w:pPr>
              <w:jc w:val="both"/>
            </w:pPr>
          </w:p>
        </w:tc>
      </w:tr>
    </w:tbl>
    <w:p w14:paraId="62486C05" w14:textId="77777777" w:rsidR="008F37A0" w:rsidRDefault="008F37A0"/>
    <w:sectPr w:rsidR="008F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36"/>
    <w:rsid w:val="00807763"/>
    <w:rsid w:val="008F37A0"/>
    <w:rsid w:val="00CA5EFC"/>
    <w:rsid w:val="00D73436"/>
    <w:rsid w:val="00E1489E"/>
    <w:rsid w:val="00E56D7C"/>
    <w:rsid w:val="634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C1A"/>
  <w15:chartTrackingRefBased/>
  <w15:docId w15:val="{22771377-A111-4D5E-801B-1012532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CF52F38788447A43E61D16C2BBC8B" ma:contentTypeVersion="4" ma:contentTypeDescription="Create a new document." ma:contentTypeScope="" ma:versionID="7b6de52bc65923b8eaf0707d00ea1c52">
  <xsd:schema xmlns:xsd="http://www.w3.org/2001/XMLSchema" xmlns:xs="http://www.w3.org/2001/XMLSchema" xmlns:p="http://schemas.microsoft.com/office/2006/metadata/properties" xmlns:ns2="5916a675-1cb6-4f8f-b5de-89db209f1482" targetNamespace="http://schemas.microsoft.com/office/2006/metadata/properties" ma:root="true" ma:fieldsID="4d68da31ef25d44f3ae246a328cce1ff" ns2:_="">
    <xsd:import namespace="5916a675-1cb6-4f8f-b5de-89db209f1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6a675-1cb6-4f8f-b5de-89db209f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C676B-E74A-4C3F-83C5-2A6F90044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7088F-7955-4498-B0BD-463BE9FCF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98204-F181-4905-9316-1BA8640F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6a675-1cb6-4f8f-b5de-89db209f1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Vitoslavsky Daniel</dc:creator>
  <cp:keywords/>
  <dc:description/>
  <cp:lastModifiedBy>juraj.novak</cp:lastModifiedBy>
  <cp:revision>2</cp:revision>
  <dcterms:created xsi:type="dcterms:W3CDTF">2025-04-23T10:51:00Z</dcterms:created>
  <dcterms:modified xsi:type="dcterms:W3CDTF">2025-04-23T10:51:00Z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0x010100363CF52F38788447A43E61D16C2BBC8B</vt:lpwstr>
  </property>
</Properties>
</file>