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E1CEB" w14:textId="77777777" w:rsidR="00202A7D" w:rsidRPr="00202A7D" w:rsidRDefault="00202A7D" w:rsidP="00202A7D">
      <w:pPr>
        <w:jc w:val="center"/>
        <w:rPr>
          <w:rFonts w:ascii="Times New Roman" w:eastAsia="Calibri" w:hAnsi="Times New Roman" w:cs="Times New Roman"/>
          <w:b/>
          <w:sz w:val="28"/>
          <w:szCs w:val="28"/>
        </w:rPr>
      </w:pPr>
      <w:bookmarkStart w:id="0" w:name="_GoBack"/>
      <w:bookmarkEnd w:id="0"/>
      <w:r w:rsidRPr="00202A7D">
        <w:rPr>
          <w:rFonts w:ascii="Times New Roman" w:eastAsia="Calibri" w:hAnsi="Times New Roman" w:cs="Times New Roman"/>
          <w:b/>
          <w:sz w:val="28"/>
          <w:szCs w:val="28"/>
        </w:rPr>
        <w:t>Analýza vplyvov na podnikateľské prostredie</w:t>
      </w:r>
    </w:p>
    <w:p w14:paraId="672A6659" w14:textId="77777777" w:rsidR="00202A7D" w:rsidRPr="00202A7D" w:rsidRDefault="00202A7D" w:rsidP="00202A7D">
      <w:pPr>
        <w:jc w:val="both"/>
        <w:rPr>
          <w:rFonts w:ascii="Times New Roman" w:eastAsia="Calibri" w:hAnsi="Times New Roman" w:cs="Times New Roman"/>
          <w:b/>
          <w:sz w:val="24"/>
          <w:szCs w:val="24"/>
        </w:rPr>
      </w:pPr>
    </w:p>
    <w:p w14:paraId="4EEEBB15" w14:textId="77777777" w:rsidR="00202A7D" w:rsidRPr="00202A7D" w:rsidRDefault="00202A7D" w:rsidP="00202A7D">
      <w:pPr>
        <w:jc w:val="both"/>
        <w:rPr>
          <w:rFonts w:ascii="Times New Roman" w:eastAsia="Calibri" w:hAnsi="Times New Roman" w:cs="Times New Roman"/>
          <w:b/>
          <w:sz w:val="24"/>
          <w:szCs w:val="24"/>
        </w:rPr>
      </w:pPr>
      <w:r w:rsidRPr="00202A7D">
        <w:rPr>
          <w:rFonts w:ascii="Times New Roman" w:eastAsia="Calibri" w:hAnsi="Times New Roman" w:cs="Times New Roman"/>
          <w:b/>
          <w:sz w:val="24"/>
          <w:szCs w:val="24"/>
        </w:rPr>
        <w:t>Názov materiálu:</w:t>
      </w:r>
      <w:r w:rsidR="00B53B49">
        <w:rPr>
          <w:rFonts w:ascii="Times New Roman" w:eastAsia="Calibri" w:hAnsi="Times New Roman" w:cs="Times New Roman"/>
          <w:b/>
          <w:sz w:val="24"/>
          <w:szCs w:val="24"/>
        </w:rPr>
        <w:t xml:space="preserve"> </w:t>
      </w:r>
      <w:r w:rsidR="00B53B49" w:rsidRPr="00B53B49">
        <w:rPr>
          <w:rFonts w:ascii="Times New Roman" w:eastAsia="Calibri" w:hAnsi="Times New Roman" w:cs="Times New Roman"/>
          <w:sz w:val="24"/>
          <w:szCs w:val="24"/>
        </w:rPr>
        <w:t>Návrh zákona, ktorým sa mení a dopĺňa zákon č. 251/2012 Z. z. o energetike a o zmene a doplnení niektorých zákonov v znení neskorších predpisov</w:t>
      </w:r>
      <w:r w:rsidR="00B53B49">
        <w:rPr>
          <w:rFonts w:ascii="Times New Roman" w:eastAsia="Calibri" w:hAnsi="Times New Roman" w:cs="Times New Roman"/>
          <w:sz w:val="24"/>
          <w:szCs w:val="24"/>
        </w:rPr>
        <w:t xml:space="preserve"> </w:t>
      </w:r>
      <w:r w:rsidR="00B53B49" w:rsidRPr="00B53B49">
        <w:rPr>
          <w:rFonts w:ascii="Times New Roman" w:eastAsia="Calibri" w:hAnsi="Times New Roman" w:cs="Times New Roman"/>
          <w:sz w:val="24"/>
          <w:szCs w:val="24"/>
        </w:rPr>
        <w:t>a ktorým sa menia a dopĺňajú niektoré zákony.</w:t>
      </w:r>
    </w:p>
    <w:p w14:paraId="06B78BB9" w14:textId="77777777" w:rsidR="00202A7D" w:rsidRPr="00202A7D" w:rsidRDefault="00202A7D" w:rsidP="00202A7D">
      <w:pPr>
        <w:jc w:val="both"/>
        <w:rPr>
          <w:rFonts w:ascii="Times New Roman" w:eastAsia="Calibri" w:hAnsi="Times New Roman" w:cs="Times New Roman"/>
          <w:b/>
          <w:sz w:val="24"/>
          <w:szCs w:val="24"/>
        </w:rPr>
      </w:pPr>
      <w:r w:rsidRPr="00202A7D">
        <w:rPr>
          <w:rFonts w:ascii="Times New Roman" w:eastAsia="Calibri" w:hAnsi="Times New Roman" w:cs="Times New Roman"/>
          <w:b/>
          <w:sz w:val="24"/>
          <w:szCs w:val="24"/>
        </w:rPr>
        <w:t>Predkladateľ:</w:t>
      </w:r>
      <w:r w:rsidR="00B53B49">
        <w:rPr>
          <w:rFonts w:ascii="Times New Roman" w:eastAsia="Calibri" w:hAnsi="Times New Roman" w:cs="Times New Roman"/>
          <w:b/>
          <w:sz w:val="24"/>
          <w:szCs w:val="24"/>
        </w:rPr>
        <w:t xml:space="preserve"> </w:t>
      </w:r>
      <w:r w:rsidR="00B53B49" w:rsidRPr="00B53B49">
        <w:rPr>
          <w:rFonts w:ascii="Times New Roman" w:eastAsia="Calibri" w:hAnsi="Times New Roman" w:cs="Times New Roman"/>
          <w:sz w:val="24"/>
          <w:szCs w:val="24"/>
        </w:rPr>
        <w:t>Ministerstvo hospodárstva Slovenskej republiky</w:t>
      </w:r>
    </w:p>
    <w:p w14:paraId="0A37501D" w14:textId="77777777" w:rsidR="00202A7D" w:rsidRPr="00202A7D" w:rsidRDefault="00202A7D" w:rsidP="00202A7D">
      <w:pPr>
        <w:jc w:val="both"/>
        <w:rPr>
          <w:rFonts w:ascii="Times New Roman" w:eastAsia="Calibri" w:hAnsi="Times New Roman" w:cs="Times New Roman"/>
          <w:b/>
          <w:sz w:val="24"/>
          <w:szCs w:val="24"/>
        </w:rPr>
      </w:pPr>
    </w:p>
    <w:p w14:paraId="5696DB12" w14:textId="77777777" w:rsidR="00202A7D" w:rsidRPr="00202A7D" w:rsidRDefault="00202A7D" w:rsidP="00202A7D">
      <w:pPr>
        <w:jc w:val="both"/>
        <w:rPr>
          <w:rFonts w:ascii="Times New Roman" w:eastAsia="Calibri" w:hAnsi="Times New Roman" w:cs="Times New Roman"/>
          <w:b/>
          <w:sz w:val="24"/>
          <w:szCs w:val="24"/>
        </w:rPr>
      </w:pPr>
      <w:r w:rsidRPr="00202A7D">
        <w:rPr>
          <w:rFonts w:ascii="Times New Roman" w:eastAsia="Calibri" w:hAnsi="Times New Roman" w:cs="Times New Roman"/>
          <w:b/>
          <w:sz w:val="24"/>
          <w:szCs w:val="24"/>
        </w:rPr>
        <w:t>3.1 Náklady regulácie</w:t>
      </w:r>
    </w:p>
    <w:p w14:paraId="769637A1" w14:textId="77777777" w:rsidR="00202A7D" w:rsidRPr="00202A7D" w:rsidRDefault="00202A7D" w:rsidP="00202A7D">
      <w:pPr>
        <w:tabs>
          <w:tab w:val="left" w:pos="8025"/>
        </w:tabs>
        <w:rPr>
          <w:rFonts w:ascii="Times New Roman" w:eastAsia="Calibri" w:hAnsi="Times New Roman" w:cs="Times New Roman"/>
          <w:bCs/>
          <w:i/>
          <w:iCs/>
          <w:sz w:val="24"/>
          <w:szCs w:val="24"/>
        </w:rPr>
      </w:pPr>
      <w:r w:rsidRPr="00202A7D">
        <w:rPr>
          <w:rFonts w:ascii="Times New Roman" w:eastAsia="Calibri" w:hAnsi="Times New Roman" w:cs="Times New Roman"/>
          <w:b/>
          <w:i/>
          <w:iCs/>
          <w:sz w:val="24"/>
          <w:szCs w:val="24"/>
        </w:rPr>
        <w:t xml:space="preserve">3.1.1 Súhrnná tabuľka nákladov regulácie </w:t>
      </w:r>
      <w:r w:rsidRPr="00202A7D">
        <w:rPr>
          <w:rFonts w:ascii="Times New Roman" w:eastAsia="Calibri" w:hAnsi="Times New Roman" w:cs="Times New Roman"/>
          <w:b/>
          <w:i/>
          <w:iCs/>
          <w:sz w:val="24"/>
          <w:szCs w:val="24"/>
        </w:rPr>
        <w:tab/>
      </w:r>
    </w:p>
    <w:p w14:paraId="412E18F1" w14:textId="77777777" w:rsidR="00202A7D" w:rsidRPr="00202A7D" w:rsidRDefault="00202A7D" w:rsidP="00202A7D">
      <w:pPr>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náklady </w:t>
      </w:r>
      <w:proofErr w:type="spellStart"/>
      <w:r w:rsidRPr="00202A7D">
        <w:rPr>
          <w:rFonts w:ascii="Times New Roman" w:eastAsia="Calibri" w:hAnsi="Times New Roman" w:cs="Times New Roman"/>
          <w:i/>
          <w:sz w:val="24"/>
          <w:szCs w:val="24"/>
        </w:rPr>
        <w:t>goldplatingu</w:t>
      </w:r>
      <w:proofErr w:type="spellEnd"/>
      <w:r w:rsidRPr="00202A7D">
        <w:rPr>
          <w:rFonts w:ascii="Times New Roman" w:eastAsia="Calibri" w:hAnsi="Times New Roman" w:cs="Times New Roman"/>
          <w:i/>
          <w:sz w:val="24"/>
          <w:szCs w:val="24"/>
          <w:vertAlign w:val="superscript"/>
        </w:rPr>
        <w:footnoteReference w:id="1"/>
      </w:r>
      <w:r w:rsidRPr="00202A7D">
        <w:rPr>
          <w:rFonts w:ascii="Times New Roman" w:eastAsia="Calibri" w:hAnsi="Times New Roman" w:cs="Times New Roman"/>
          <w:i/>
          <w:sz w:val="24"/>
          <w:szCs w:val="24"/>
        </w:rPr>
        <w:t xml:space="preserve"> na podnikateľské prostredie. </w:t>
      </w:r>
    </w:p>
    <w:p w14:paraId="7D9ACBAC" w14:textId="77777777" w:rsidR="00202A7D" w:rsidRPr="00202A7D" w:rsidRDefault="00202A7D" w:rsidP="00202A7D">
      <w:pPr>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0" w:history="1">
        <w:r w:rsidRPr="00202A7D">
          <w:rPr>
            <w:rFonts w:ascii="Times New Roman" w:eastAsia="Calibri" w:hAnsi="Times New Roman" w:cs="Times New Roman"/>
            <w:i/>
            <w:color w:val="0563C1"/>
            <w:sz w:val="24"/>
            <w:szCs w:val="24"/>
            <w:u w:val="single"/>
          </w:rPr>
          <w:t>webovom sídle MH SR</w:t>
        </w:r>
      </w:hyperlink>
      <w:r w:rsidRPr="00202A7D">
        <w:rPr>
          <w:rFonts w:ascii="Times New Roman" w:eastAsia="Calibri" w:hAnsi="Times New Roman" w:cs="Times New Roman"/>
          <w:i/>
          <w:sz w:val="24"/>
          <w:szCs w:val="24"/>
        </w:rPr>
        <w:t>, (ďalej len „Kalkulačka nákladov“):</w:t>
      </w:r>
    </w:p>
    <w:p w14:paraId="5DAB6C7B" w14:textId="77777777" w:rsidR="00202A7D" w:rsidRPr="00202A7D" w:rsidRDefault="00202A7D" w:rsidP="00202A7D">
      <w:pPr>
        <w:rPr>
          <w:rFonts w:ascii="Times New Roman" w:eastAsia="Calibri" w:hAnsi="Times New Roman" w:cs="Times New Roman"/>
          <w:b/>
          <w:sz w:val="24"/>
          <w:szCs w:val="24"/>
        </w:rPr>
      </w:pPr>
    </w:p>
    <w:tbl>
      <w:tblPr>
        <w:tblW w:w="8680" w:type="dxa"/>
        <w:tblCellMar>
          <w:left w:w="70" w:type="dxa"/>
          <w:right w:w="70" w:type="dxa"/>
        </w:tblCellMar>
        <w:tblLook w:val="04A0" w:firstRow="1" w:lastRow="0" w:firstColumn="1" w:lastColumn="0" w:noHBand="0" w:noVBand="1"/>
      </w:tblPr>
      <w:tblGrid>
        <w:gridCol w:w="4760"/>
        <w:gridCol w:w="1960"/>
        <w:gridCol w:w="1960"/>
      </w:tblGrid>
      <w:tr w:rsidR="00202A7D" w:rsidRPr="00202A7D" w14:paraId="6CF3C925" w14:textId="77777777" w:rsidTr="000737B2">
        <w:trPr>
          <w:trHeight w:val="675"/>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6A5C8A" w14:textId="77777777" w:rsidR="00202A7D" w:rsidRPr="00202A7D" w:rsidRDefault="00202A7D" w:rsidP="00202A7D">
            <w:pPr>
              <w:spacing w:after="0" w:line="240" w:lineRule="auto"/>
              <w:jc w:val="center"/>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TYP NÁKLADOV</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1515CF3B"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1B401E0B"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Zníženie nákladov v € na PP</w:t>
            </w:r>
          </w:p>
        </w:tc>
      </w:tr>
      <w:tr w:rsidR="00202A7D" w:rsidRPr="00202A7D" w14:paraId="53AD29CA" w14:textId="77777777" w:rsidTr="000737B2">
        <w:trPr>
          <w:trHeight w:val="81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418F6255"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proofErr w:type="spellStart"/>
            <w:r w:rsidRPr="00202A7D">
              <w:rPr>
                <w:rFonts w:ascii="Times New Roman" w:eastAsia="Times New Roman" w:hAnsi="Times New Roman" w:cs="Times New Roman"/>
                <w:b/>
                <w:bCs/>
                <w:i/>
                <w:iCs/>
                <w:color w:val="000000"/>
                <w:sz w:val="20"/>
                <w:szCs w:val="20"/>
                <w:lang w:eastAsia="sk-SK"/>
              </w:rPr>
              <w:t>A.Dane</w:t>
            </w:r>
            <w:proofErr w:type="spellEnd"/>
            <w:r w:rsidRPr="00202A7D">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202A7D">
              <w:rPr>
                <w:rFonts w:ascii="Times New Roman" w:eastAsia="Times New Roman" w:hAnsi="Times New Roman" w:cs="Times New Roman"/>
                <w:b/>
                <w:bCs/>
                <w:i/>
                <w:iCs/>
                <w:color w:val="000000"/>
                <w:sz w:val="20"/>
                <w:szCs w:val="20"/>
                <w:lang w:eastAsia="sk-SK"/>
              </w:rPr>
              <w:t>externality</w:t>
            </w:r>
            <w:proofErr w:type="spellEnd"/>
          </w:p>
        </w:tc>
        <w:tc>
          <w:tcPr>
            <w:tcW w:w="1960" w:type="dxa"/>
            <w:tcBorders>
              <w:top w:val="nil"/>
              <w:left w:val="nil"/>
              <w:bottom w:val="single" w:sz="4" w:space="0" w:color="auto"/>
              <w:right w:val="single" w:sz="4" w:space="0" w:color="auto"/>
            </w:tcBorders>
            <w:shd w:val="clear" w:color="000000" w:fill="FFC000"/>
            <w:vAlign w:val="center"/>
            <w:hideMark/>
          </w:tcPr>
          <w:p w14:paraId="4B584315"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4" w:space="0" w:color="auto"/>
              <w:right w:val="single" w:sz="8" w:space="0" w:color="auto"/>
            </w:tcBorders>
            <w:shd w:val="clear" w:color="000000" w:fill="92D050"/>
            <w:vAlign w:val="center"/>
            <w:hideMark/>
          </w:tcPr>
          <w:p w14:paraId="2322F001"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r>
      <w:tr w:rsidR="00202A7D" w:rsidRPr="00202A7D" w14:paraId="2ADC73B2" w14:textId="77777777" w:rsidTr="000737B2">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5555A3AF"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B. Iné poplatky</w:t>
            </w:r>
          </w:p>
        </w:tc>
        <w:tc>
          <w:tcPr>
            <w:tcW w:w="1960" w:type="dxa"/>
            <w:tcBorders>
              <w:top w:val="nil"/>
              <w:left w:val="nil"/>
              <w:bottom w:val="single" w:sz="4" w:space="0" w:color="auto"/>
              <w:right w:val="single" w:sz="4" w:space="0" w:color="auto"/>
            </w:tcBorders>
            <w:shd w:val="clear" w:color="000000" w:fill="FFC000"/>
            <w:vAlign w:val="center"/>
            <w:hideMark/>
          </w:tcPr>
          <w:p w14:paraId="7B7EFE02"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4" w:space="0" w:color="auto"/>
              <w:right w:val="single" w:sz="8" w:space="0" w:color="auto"/>
            </w:tcBorders>
            <w:shd w:val="clear" w:color="000000" w:fill="92D050"/>
            <w:vAlign w:val="center"/>
            <w:hideMark/>
          </w:tcPr>
          <w:p w14:paraId="7194B397"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1 442 441</w:t>
            </w:r>
          </w:p>
        </w:tc>
      </w:tr>
      <w:tr w:rsidR="00202A7D" w:rsidRPr="00202A7D" w14:paraId="5DD69DC3" w14:textId="77777777" w:rsidTr="000737B2">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29BD8D5E"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C. Sankcie a pokuty</w:t>
            </w:r>
          </w:p>
        </w:tc>
        <w:tc>
          <w:tcPr>
            <w:tcW w:w="1960" w:type="dxa"/>
            <w:tcBorders>
              <w:top w:val="nil"/>
              <w:left w:val="nil"/>
              <w:bottom w:val="single" w:sz="4" w:space="0" w:color="auto"/>
              <w:right w:val="single" w:sz="4" w:space="0" w:color="auto"/>
            </w:tcBorders>
            <w:shd w:val="clear" w:color="000000" w:fill="FFC000"/>
            <w:vAlign w:val="center"/>
            <w:hideMark/>
          </w:tcPr>
          <w:p w14:paraId="33113584"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4" w:space="0" w:color="auto"/>
              <w:right w:val="single" w:sz="8" w:space="0" w:color="auto"/>
            </w:tcBorders>
            <w:shd w:val="clear" w:color="000000" w:fill="92D050"/>
            <w:vAlign w:val="center"/>
            <w:hideMark/>
          </w:tcPr>
          <w:p w14:paraId="5531F93F"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r>
      <w:tr w:rsidR="00202A7D" w:rsidRPr="00202A7D" w14:paraId="7339FCB7" w14:textId="77777777" w:rsidTr="000737B2">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7EBF1705"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D. Nepriame finančné náklady</w:t>
            </w:r>
          </w:p>
        </w:tc>
        <w:tc>
          <w:tcPr>
            <w:tcW w:w="1960" w:type="dxa"/>
            <w:tcBorders>
              <w:top w:val="nil"/>
              <w:left w:val="nil"/>
              <w:bottom w:val="single" w:sz="4" w:space="0" w:color="auto"/>
              <w:right w:val="single" w:sz="4" w:space="0" w:color="auto"/>
            </w:tcBorders>
            <w:shd w:val="clear" w:color="000000" w:fill="FFC000"/>
            <w:vAlign w:val="center"/>
            <w:hideMark/>
          </w:tcPr>
          <w:p w14:paraId="0973023A"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136 250</w:t>
            </w:r>
          </w:p>
        </w:tc>
        <w:tc>
          <w:tcPr>
            <w:tcW w:w="1960" w:type="dxa"/>
            <w:tcBorders>
              <w:top w:val="nil"/>
              <w:left w:val="nil"/>
              <w:bottom w:val="single" w:sz="4" w:space="0" w:color="auto"/>
              <w:right w:val="single" w:sz="8" w:space="0" w:color="auto"/>
            </w:tcBorders>
            <w:shd w:val="clear" w:color="000000" w:fill="92D050"/>
            <w:vAlign w:val="center"/>
            <w:hideMark/>
          </w:tcPr>
          <w:p w14:paraId="0213FF8E"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r>
      <w:tr w:rsidR="00202A7D" w:rsidRPr="00202A7D" w14:paraId="16B0151F" w14:textId="77777777" w:rsidTr="000737B2">
        <w:trPr>
          <w:trHeight w:val="300"/>
        </w:trPr>
        <w:tc>
          <w:tcPr>
            <w:tcW w:w="4760" w:type="dxa"/>
            <w:tcBorders>
              <w:top w:val="nil"/>
              <w:left w:val="single" w:sz="8" w:space="0" w:color="auto"/>
              <w:bottom w:val="nil"/>
              <w:right w:val="single" w:sz="4" w:space="0" w:color="auto"/>
            </w:tcBorders>
            <w:shd w:val="clear" w:color="auto" w:fill="auto"/>
            <w:vAlign w:val="center"/>
            <w:hideMark/>
          </w:tcPr>
          <w:p w14:paraId="257A2715"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E. Administratívne náklady</w:t>
            </w:r>
          </w:p>
        </w:tc>
        <w:tc>
          <w:tcPr>
            <w:tcW w:w="1960" w:type="dxa"/>
            <w:tcBorders>
              <w:top w:val="nil"/>
              <w:left w:val="nil"/>
              <w:bottom w:val="nil"/>
              <w:right w:val="single" w:sz="4" w:space="0" w:color="auto"/>
            </w:tcBorders>
            <w:shd w:val="clear" w:color="000000" w:fill="FFC000"/>
            <w:vAlign w:val="center"/>
            <w:hideMark/>
          </w:tcPr>
          <w:p w14:paraId="2CAFE0AE"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730</w:t>
            </w:r>
          </w:p>
        </w:tc>
        <w:tc>
          <w:tcPr>
            <w:tcW w:w="1960" w:type="dxa"/>
            <w:tcBorders>
              <w:top w:val="nil"/>
              <w:left w:val="nil"/>
              <w:bottom w:val="nil"/>
              <w:right w:val="single" w:sz="8" w:space="0" w:color="auto"/>
            </w:tcBorders>
            <w:shd w:val="clear" w:color="000000" w:fill="92D050"/>
            <w:vAlign w:val="center"/>
            <w:hideMark/>
          </w:tcPr>
          <w:p w14:paraId="370D6AA5"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r>
      <w:tr w:rsidR="00202A7D" w:rsidRPr="00202A7D" w14:paraId="190F2607" w14:textId="77777777" w:rsidTr="000737B2">
        <w:trPr>
          <w:trHeight w:val="3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CE1C5F"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Spolu = A+B+C+D+E</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6F950BAD"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136 980</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69CAA8F2"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1 442 441</w:t>
            </w:r>
          </w:p>
        </w:tc>
      </w:tr>
      <w:tr w:rsidR="00202A7D" w:rsidRPr="00202A7D" w14:paraId="02EB378F" w14:textId="77777777" w:rsidTr="000737B2">
        <w:trPr>
          <w:trHeight w:val="300"/>
        </w:trPr>
        <w:tc>
          <w:tcPr>
            <w:tcW w:w="4760" w:type="dxa"/>
            <w:tcBorders>
              <w:top w:val="nil"/>
              <w:left w:val="nil"/>
              <w:bottom w:val="nil"/>
              <w:right w:val="nil"/>
            </w:tcBorders>
            <w:shd w:val="clear" w:color="auto" w:fill="auto"/>
            <w:vAlign w:val="center"/>
            <w:hideMark/>
          </w:tcPr>
          <w:p w14:paraId="6A05A809"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p>
        </w:tc>
        <w:tc>
          <w:tcPr>
            <w:tcW w:w="1960" w:type="dxa"/>
            <w:tcBorders>
              <w:top w:val="nil"/>
              <w:left w:val="nil"/>
              <w:bottom w:val="nil"/>
              <w:right w:val="nil"/>
            </w:tcBorders>
            <w:shd w:val="clear" w:color="auto" w:fill="auto"/>
            <w:vAlign w:val="center"/>
            <w:hideMark/>
          </w:tcPr>
          <w:p w14:paraId="5A39BBE3" w14:textId="77777777" w:rsidR="00202A7D" w:rsidRPr="00202A7D" w:rsidRDefault="00202A7D" w:rsidP="00202A7D">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41C8F396" w14:textId="77777777" w:rsidR="00202A7D" w:rsidRPr="00202A7D" w:rsidRDefault="00202A7D" w:rsidP="00202A7D">
            <w:pPr>
              <w:spacing w:after="0" w:line="240" w:lineRule="auto"/>
              <w:rPr>
                <w:rFonts w:ascii="Times New Roman" w:eastAsia="Times New Roman" w:hAnsi="Times New Roman" w:cs="Times New Roman"/>
                <w:sz w:val="20"/>
                <w:szCs w:val="20"/>
                <w:lang w:eastAsia="sk-SK"/>
              </w:rPr>
            </w:pPr>
          </w:p>
        </w:tc>
      </w:tr>
      <w:tr w:rsidR="00202A7D" w:rsidRPr="00202A7D" w14:paraId="432E6CF8" w14:textId="77777777" w:rsidTr="000737B2">
        <w:trPr>
          <w:trHeight w:val="6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D96592"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Harmonizácia práva EÚ</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4034274E"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078F5005"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Zníženie nákladov v € na PP</w:t>
            </w:r>
          </w:p>
        </w:tc>
      </w:tr>
      <w:tr w:rsidR="00202A7D" w:rsidRPr="00202A7D" w14:paraId="2FDFBAE5" w14:textId="77777777" w:rsidTr="000737B2">
        <w:trPr>
          <w:trHeight w:val="990"/>
        </w:trPr>
        <w:tc>
          <w:tcPr>
            <w:tcW w:w="4760" w:type="dxa"/>
            <w:tcBorders>
              <w:top w:val="nil"/>
              <w:left w:val="single" w:sz="8" w:space="0" w:color="auto"/>
              <w:bottom w:val="nil"/>
              <w:right w:val="single" w:sz="4" w:space="0" w:color="auto"/>
            </w:tcBorders>
            <w:shd w:val="clear" w:color="auto" w:fill="auto"/>
            <w:vAlign w:val="center"/>
            <w:hideMark/>
          </w:tcPr>
          <w:p w14:paraId="1AED9A51"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F. Úplná harmonizácia práva EÚ</w:t>
            </w:r>
            <w:r w:rsidRPr="00202A7D">
              <w:rPr>
                <w:rFonts w:ascii="Times New Roman" w:eastAsia="Times New Roman" w:hAnsi="Times New Roman" w:cs="Times New Roman"/>
                <w:b/>
                <w:bCs/>
                <w:i/>
                <w:iCs/>
                <w:color w:val="000000"/>
                <w:sz w:val="20"/>
                <w:szCs w:val="20"/>
                <w:lang w:eastAsia="sk-SK"/>
              </w:rPr>
              <w:br/>
            </w:r>
            <w:r w:rsidRPr="00202A7D">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202A7D">
              <w:rPr>
                <w:rFonts w:ascii="Times New Roman" w:eastAsia="Times New Roman" w:hAnsi="Times New Roman" w:cs="Times New Roman"/>
                <w:i/>
                <w:iCs/>
                <w:color w:val="000000"/>
                <w:sz w:val="16"/>
                <w:szCs w:val="16"/>
                <w:lang w:eastAsia="sk-SK"/>
              </w:rPr>
              <w:t>externality</w:t>
            </w:r>
            <w:proofErr w:type="spellEnd"/>
            <w:r w:rsidRPr="00202A7D">
              <w:rPr>
                <w:rFonts w:ascii="Times New Roman" w:eastAsia="Times New Roman" w:hAnsi="Times New Roman" w:cs="Times New Roman"/>
                <w:i/>
                <w:iCs/>
                <w:color w:val="000000"/>
                <w:sz w:val="16"/>
                <w:szCs w:val="16"/>
                <w:lang w:eastAsia="sk-SK"/>
              </w:rPr>
              <w:t>)</w:t>
            </w:r>
          </w:p>
        </w:tc>
        <w:tc>
          <w:tcPr>
            <w:tcW w:w="1960" w:type="dxa"/>
            <w:tcBorders>
              <w:top w:val="nil"/>
              <w:left w:val="nil"/>
              <w:bottom w:val="nil"/>
              <w:right w:val="single" w:sz="4" w:space="0" w:color="auto"/>
            </w:tcBorders>
            <w:shd w:val="clear" w:color="000000" w:fill="FFC000"/>
            <w:vAlign w:val="center"/>
            <w:hideMark/>
          </w:tcPr>
          <w:p w14:paraId="088E8DDD"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136 980</w:t>
            </w:r>
          </w:p>
        </w:tc>
        <w:tc>
          <w:tcPr>
            <w:tcW w:w="1960" w:type="dxa"/>
            <w:tcBorders>
              <w:top w:val="nil"/>
              <w:left w:val="nil"/>
              <w:bottom w:val="nil"/>
              <w:right w:val="single" w:sz="8" w:space="0" w:color="auto"/>
            </w:tcBorders>
            <w:shd w:val="clear" w:color="000000" w:fill="92D050"/>
            <w:vAlign w:val="center"/>
            <w:hideMark/>
          </w:tcPr>
          <w:p w14:paraId="5D85B142"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1 442 441</w:t>
            </w:r>
          </w:p>
        </w:tc>
      </w:tr>
      <w:tr w:rsidR="00202A7D" w:rsidRPr="00202A7D" w14:paraId="4D53EE15" w14:textId="77777777" w:rsidTr="000737B2">
        <w:trPr>
          <w:trHeight w:val="27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F69E7B" w14:textId="77777777" w:rsidR="00202A7D" w:rsidRPr="00202A7D" w:rsidRDefault="00202A7D" w:rsidP="00202A7D">
            <w:pPr>
              <w:spacing w:after="0" w:line="240" w:lineRule="auto"/>
              <w:rPr>
                <w:rFonts w:ascii="Times New Roman" w:eastAsia="Times New Roman" w:hAnsi="Times New Roman" w:cs="Times New Roman"/>
                <w:b/>
                <w:bCs/>
                <w:i/>
                <w:iCs/>
                <w:color w:val="000000"/>
                <w:sz w:val="20"/>
                <w:szCs w:val="20"/>
                <w:lang w:eastAsia="sk-SK"/>
              </w:rPr>
            </w:pPr>
            <w:r w:rsidRPr="00202A7D">
              <w:rPr>
                <w:rFonts w:ascii="Times New Roman" w:eastAsia="Times New Roman" w:hAnsi="Times New Roman" w:cs="Times New Roman"/>
                <w:b/>
                <w:bCs/>
                <w:i/>
                <w:iCs/>
                <w:color w:val="000000"/>
                <w:sz w:val="20"/>
                <w:szCs w:val="20"/>
                <w:lang w:eastAsia="sk-SK"/>
              </w:rPr>
              <w:t xml:space="preserve">G. </w:t>
            </w:r>
            <w:proofErr w:type="spellStart"/>
            <w:r w:rsidRPr="00202A7D">
              <w:rPr>
                <w:rFonts w:ascii="Times New Roman" w:eastAsia="Times New Roman" w:hAnsi="Times New Roman" w:cs="Times New Roman"/>
                <w:b/>
                <w:bCs/>
                <w:i/>
                <w:iCs/>
                <w:color w:val="000000"/>
                <w:sz w:val="20"/>
                <w:szCs w:val="20"/>
                <w:lang w:eastAsia="sk-SK"/>
              </w:rPr>
              <w:t>Goldplating</w:t>
            </w:r>
            <w:proofErr w:type="spellEnd"/>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05F7728E"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3D22F59A"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r>
      <w:tr w:rsidR="00202A7D" w:rsidRPr="00202A7D" w14:paraId="72A3D3EC" w14:textId="77777777" w:rsidTr="000737B2">
        <w:trPr>
          <w:trHeight w:val="270"/>
        </w:trPr>
        <w:tc>
          <w:tcPr>
            <w:tcW w:w="4760" w:type="dxa"/>
            <w:tcBorders>
              <w:top w:val="nil"/>
              <w:left w:val="nil"/>
              <w:bottom w:val="nil"/>
              <w:right w:val="nil"/>
            </w:tcBorders>
            <w:shd w:val="clear" w:color="auto" w:fill="auto"/>
            <w:noWrap/>
            <w:vAlign w:val="bottom"/>
            <w:hideMark/>
          </w:tcPr>
          <w:p w14:paraId="0D0B940D"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p>
        </w:tc>
        <w:tc>
          <w:tcPr>
            <w:tcW w:w="1960" w:type="dxa"/>
            <w:tcBorders>
              <w:top w:val="nil"/>
              <w:left w:val="nil"/>
              <w:bottom w:val="nil"/>
              <w:right w:val="nil"/>
            </w:tcBorders>
            <w:shd w:val="clear" w:color="auto" w:fill="auto"/>
            <w:vAlign w:val="center"/>
            <w:hideMark/>
          </w:tcPr>
          <w:p w14:paraId="0E27B00A" w14:textId="77777777" w:rsidR="00202A7D" w:rsidRPr="00202A7D" w:rsidRDefault="00202A7D" w:rsidP="00202A7D">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60061E4C" w14:textId="77777777" w:rsidR="00202A7D" w:rsidRPr="00202A7D" w:rsidRDefault="00202A7D" w:rsidP="00202A7D">
            <w:pPr>
              <w:spacing w:after="0" w:line="240" w:lineRule="auto"/>
              <w:rPr>
                <w:rFonts w:ascii="Times New Roman" w:eastAsia="Times New Roman" w:hAnsi="Times New Roman" w:cs="Times New Roman"/>
                <w:sz w:val="20"/>
                <w:szCs w:val="20"/>
                <w:lang w:eastAsia="sk-SK"/>
              </w:rPr>
            </w:pPr>
          </w:p>
        </w:tc>
      </w:tr>
      <w:tr w:rsidR="00202A7D" w:rsidRPr="00202A7D" w14:paraId="44EAFD9C" w14:textId="77777777" w:rsidTr="000737B2">
        <w:trPr>
          <w:trHeight w:val="270"/>
        </w:trPr>
        <w:tc>
          <w:tcPr>
            <w:tcW w:w="4760" w:type="dxa"/>
            <w:tcBorders>
              <w:top w:val="nil"/>
              <w:left w:val="nil"/>
              <w:bottom w:val="nil"/>
              <w:right w:val="nil"/>
            </w:tcBorders>
            <w:shd w:val="clear" w:color="auto" w:fill="auto"/>
            <w:noWrap/>
            <w:vAlign w:val="bottom"/>
            <w:hideMark/>
          </w:tcPr>
          <w:p w14:paraId="4B94D5A5" w14:textId="77777777" w:rsidR="00202A7D" w:rsidRPr="00202A7D" w:rsidRDefault="00202A7D" w:rsidP="00202A7D">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3DEEC669" w14:textId="77777777" w:rsidR="00202A7D" w:rsidRPr="00202A7D" w:rsidRDefault="00202A7D" w:rsidP="00202A7D">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3656B9AB" w14:textId="77777777" w:rsidR="00202A7D" w:rsidRPr="00202A7D" w:rsidRDefault="00202A7D" w:rsidP="00202A7D">
            <w:pPr>
              <w:spacing w:after="0" w:line="240" w:lineRule="auto"/>
              <w:rPr>
                <w:rFonts w:ascii="Times New Roman" w:eastAsia="Times New Roman" w:hAnsi="Times New Roman" w:cs="Times New Roman"/>
                <w:sz w:val="20"/>
                <w:szCs w:val="20"/>
                <w:lang w:eastAsia="sk-SK"/>
              </w:rPr>
            </w:pPr>
          </w:p>
        </w:tc>
      </w:tr>
      <w:tr w:rsidR="00202A7D" w:rsidRPr="00202A7D" w14:paraId="144D24CC" w14:textId="77777777" w:rsidTr="000737B2">
        <w:trPr>
          <w:trHeight w:val="330"/>
        </w:trPr>
        <w:tc>
          <w:tcPr>
            <w:tcW w:w="4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2B13B0" w14:textId="77777777" w:rsidR="00202A7D" w:rsidRPr="00202A7D" w:rsidRDefault="00202A7D" w:rsidP="00202A7D">
            <w:pPr>
              <w:spacing w:after="0" w:line="240" w:lineRule="auto"/>
              <w:rPr>
                <w:rFonts w:ascii="Times New Roman" w:eastAsia="Times New Roman" w:hAnsi="Times New Roman" w:cs="Times New Roman"/>
                <w:i/>
                <w:iCs/>
                <w:color w:val="000000"/>
                <w:sz w:val="20"/>
                <w:szCs w:val="20"/>
                <w:lang w:eastAsia="sk-SK"/>
              </w:rPr>
            </w:pPr>
            <w:r w:rsidRPr="00202A7D">
              <w:rPr>
                <w:rFonts w:ascii="Times New Roman" w:eastAsia="Times New Roman" w:hAnsi="Times New Roman" w:cs="Times New Roman"/>
                <w:i/>
                <w:iCs/>
                <w:color w:val="000000"/>
                <w:sz w:val="20"/>
                <w:szCs w:val="20"/>
                <w:lang w:eastAsia="sk-SK"/>
              </w:rPr>
              <w:t>VÝPOČET PRAVIDLA 1in2out:</w:t>
            </w:r>
          </w:p>
        </w:tc>
        <w:tc>
          <w:tcPr>
            <w:tcW w:w="1960" w:type="dxa"/>
            <w:tcBorders>
              <w:top w:val="single" w:sz="8" w:space="0" w:color="auto"/>
              <w:left w:val="nil"/>
              <w:bottom w:val="single" w:sz="4" w:space="0" w:color="auto"/>
              <w:right w:val="single" w:sz="4" w:space="0" w:color="auto"/>
            </w:tcBorders>
            <w:shd w:val="clear" w:color="000000" w:fill="FFC000"/>
            <w:vAlign w:val="center"/>
            <w:hideMark/>
          </w:tcPr>
          <w:p w14:paraId="1BAB749E"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IN</w:t>
            </w:r>
          </w:p>
        </w:tc>
        <w:tc>
          <w:tcPr>
            <w:tcW w:w="1960" w:type="dxa"/>
            <w:tcBorders>
              <w:top w:val="single" w:sz="8" w:space="0" w:color="auto"/>
              <w:left w:val="nil"/>
              <w:bottom w:val="single" w:sz="4" w:space="0" w:color="auto"/>
              <w:right w:val="single" w:sz="8" w:space="0" w:color="auto"/>
            </w:tcBorders>
            <w:shd w:val="clear" w:color="000000" w:fill="92D050"/>
            <w:vAlign w:val="center"/>
            <w:hideMark/>
          </w:tcPr>
          <w:p w14:paraId="665D8A18"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OUT</w:t>
            </w:r>
          </w:p>
        </w:tc>
      </w:tr>
      <w:tr w:rsidR="00202A7D" w:rsidRPr="00202A7D" w14:paraId="02FF4B81" w14:textId="77777777" w:rsidTr="000737B2">
        <w:trPr>
          <w:trHeight w:val="345"/>
        </w:trPr>
        <w:tc>
          <w:tcPr>
            <w:tcW w:w="4760" w:type="dxa"/>
            <w:tcBorders>
              <w:top w:val="nil"/>
              <w:left w:val="single" w:sz="8" w:space="0" w:color="auto"/>
              <w:bottom w:val="single" w:sz="8" w:space="0" w:color="auto"/>
              <w:right w:val="single" w:sz="4" w:space="0" w:color="auto"/>
            </w:tcBorders>
            <w:shd w:val="clear" w:color="auto" w:fill="auto"/>
            <w:vAlign w:val="center"/>
            <w:hideMark/>
          </w:tcPr>
          <w:p w14:paraId="4F22D329" w14:textId="77777777" w:rsidR="00202A7D" w:rsidRPr="00202A7D" w:rsidRDefault="00202A7D" w:rsidP="00202A7D">
            <w:pPr>
              <w:spacing w:after="0" w:line="240" w:lineRule="auto"/>
              <w:rPr>
                <w:rFonts w:ascii="Times New Roman" w:eastAsia="Times New Roman" w:hAnsi="Times New Roman" w:cs="Times New Roman"/>
                <w:i/>
                <w:iCs/>
                <w:color w:val="000000"/>
                <w:sz w:val="20"/>
                <w:szCs w:val="20"/>
                <w:lang w:eastAsia="sk-SK"/>
              </w:rPr>
            </w:pPr>
            <w:r w:rsidRPr="00202A7D">
              <w:rPr>
                <w:rFonts w:ascii="Times New Roman" w:eastAsia="Times New Roman" w:hAnsi="Times New Roman" w:cs="Times New Roman"/>
                <w:i/>
                <w:iCs/>
                <w:color w:val="000000"/>
                <w:sz w:val="20"/>
                <w:szCs w:val="20"/>
                <w:lang w:eastAsia="sk-SK"/>
              </w:rPr>
              <w:t>H</w:t>
            </w:r>
            <w:r w:rsidRPr="00202A7D">
              <w:rPr>
                <w:rFonts w:ascii="Times New Roman" w:eastAsia="Times New Roman" w:hAnsi="Times New Roman" w:cs="Times New Roman"/>
                <w:b/>
                <w:bCs/>
                <w:i/>
                <w:iCs/>
                <w:color w:val="000000"/>
                <w:sz w:val="20"/>
                <w:szCs w:val="20"/>
                <w:lang w:eastAsia="sk-SK"/>
              </w:rPr>
              <w:t>.</w:t>
            </w:r>
            <w:r w:rsidRPr="00202A7D">
              <w:rPr>
                <w:rFonts w:ascii="Times New Roman" w:eastAsia="Times New Roman" w:hAnsi="Times New Roman" w:cs="Times New Roman"/>
                <w:i/>
                <w:iCs/>
                <w:color w:val="000000"/>
                <w:sz w:val="20"/>
                <w:szCs w:val="20"/>
                <w:lang w:eastAsia="sk-SK"/>
              </w:rPr>
              <w:t xml:space="preserve"> Náklady okrem výnimiek = B+D+E-F</w:t>
            </w:r>
          </w:p>
        </w:tc>
        <w:tc>
          <w:tcPr>
            <w:tcW w:w="1960" w:type="dxa"/>
            <w:tcBorders>
              <w:top w:val="nil"/>
              <w:left w:val="nil"/>
              <w:bottom w:val="single" w:sz="8" w:space="0" w:color="auto"/>
              <w:right w:val="single" w:sz="4" w:space="0" w:color="auto"/>
            </w:tcBorders>
            <w:shd w:val="clear" w:color="000000" w:fill="FFC000"/>
            <w:vAlign w:val="center"/>
            <w:hideMark/>
          </w:tcPr>
          <w:p w14:paraId="56C62623"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8" w:space="0" w:color="auto"/>
              <w:right w:val="single" w:sz="8" w:space="0" w:color="auto"/>
            </w:tcBorders>
            <w:shd w:val="clear" w:color="000000" w:fill="92D050"/>
            <w:vAlign w:val="center"/>
            <w:hideMark/>
          </w:tcPr>
          <w:p w14:paraId="7A06C686"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20"/>
                <w:szCs w:val="20"/>
                <w:lang w:eastAsia="sk-SK"/>
              </w:rPr>
            </w:pPr>
            <w:r w:rsidRPr="00202A7D">
              <w:rPr>
                <w:rFonts w:ascii="Times New Roman" w:eastAsia="Times New Roman" w:hAnsi="Times New Roman" w:cs="Times New Roman"/>
                <w:b/>
                <w:bCs/>
                <w:color w:val="000000"/>
                <w:sz w:val="20"/>
                <w:szCs w:val="20"/>
                <w:lang w:eastAsia="sk-SK"/>
              </w:rPr>
              <w:t>0</w:t>
            </w:r>
          </w:p>
        </w:tc>
      </w:tr>
    </w:tbl>
    <w:p w14:paraId="45FB0818" w14:textId="77777777" w:rsidR="00202A7D" w:rsidRPr="00202A7D" w:rsidRDefault="00202A7D" w:rsidP="00202A7D">
      <w:pPr>
        <w:rPr>
          <w:rFonts w:ascii="Times New Roman" w:eastAsia="Calibri" w:hAnsi="Times New Roman" w:cs="Times New Roman"/>
          <w:b/>
          <w:sz w:val="24"/>
          <w:szCs w:val="24"/>
        </w:rPr>
        <w:sectPr w:rsidR="00202A7D" w:rsidRPr="00202A7D" w:rsidSect="009330B1">
          <w:pgSz w:w="11906" w:h="16838"/>
          <w:pgMar w:top="993" w:right="1417" w:bottom="1417" w:left="1417" w:header="708" w:footer="708" w:gutter="0"/>
          <w:cols w:space="708"/>
          <w:docGrid w:linePitch="360"/>
        </w:sectPr>
      </w:pPr>
    </w:p>
    <w:p w14:paraId="232C46D9" w14:textId="77777777" w:rsidR="00202A7D" w:rsidRPr="00202A7D" w:rsidRDefault="00202A7D" w:rsidP="00202A7D">
      <w:pPr>
        <w:rPr>
          <w:rFonts w:ascii="Times New Roman" w:eastAsia="Calibri" w:hAnsi="Times New Roman" w:cs="Times New Roman"/>
          <w:b/>
          <w:i/>
          <w:iCs/>
          <w:sz w:val="24"/>
          <w:szCs w:val="24"/>
        </w:rPr>
      </w:pPr>
      <w:r w:rsidRPr="00202A7D">
        <w:rPr>
          <w:rFonts w:ascii="Times New Roman" w:eastAsia="Calibri" w:hAnsi="Times New Roman" w:cs="Times New Roman"/>
          <w:b/>
          <w:i/>
          <w:iCs/>
          <w:sz w:val="24"/>
          <w:szCs w:val="24"/>
        </w:rPr>
        <w:lastRenderedPageBreak/>
        <w:t>3.1.2 Výpočty vplyvov jednotlivých regulácií na zmeny v nákladoch podnikateľov</w:t>
      </w:r>
      <w:r w:rsidRPr="00202A7D">
        <w:rPr>
          <w:rFonts w:ascii="Times New Roman" w:eastAsia="Calibri" w:hAnsi="Times New Roman" w:cs="Times New Roman"/>
          <w:i/>
          <w:sz w:val="24"/>
          <w:szCs w:val="24"/>
        </w:rPr>
        <w:tab/>
      </w:r>
      <w:r w:rsidRPr="00202A7D">
        <w:rPr>
          <w:rFonts w:ascii="Times New Roman" w:eastAsia="Calibri" w:hAnsi="Times New Roman" w:cs="Times New Roman"/>
          <w:i/>
          <w:sz w:val="24"/>
          <w:szCs w:val="24"/>
        </w:rPr>
        <w:tab/>
      </w:r>
      <w:r w:rsidRPr="00202A7D">
        <w:rPr>
          <w:rFonts w:ascii="Times New Roman" w:eastAsia="Calibri" w:hAnsi="Times New Roman" w:cs="Times New Roman"/>
          <w:i/>
          <w:sz w:val="24"/>
          <w:szCs w:val="24"/>
        </w:rPr>
        <w:tab/>
      </w:r>
      <w:r w:rsidRPr="00202A7D">
        <w:rPr>
          <w:rFonts w:ascii="Times New Roman" w:eastAsia="Calibri" w:hAnsi="Times New Roman" w:cs="Times New Roman"/>
          <w:i/>
          <w:sz w:val="24"/>
          <w:szCs w:val="24"/>
        </w:rPr>
        <w:tab/>
      </w:r>
      <w:r w:rsidRPr="00202A7D">
        <w:rPr>
          <w:rFonts w:ascii="Times New Roman" w:eastAsia="Calibri" w:hAnsi="Times New Roman" w:cs="Times New Roman"/>
          <w:i/>
          <w:sz w:val="24"/>
          <w:szCs w:val="24"/>
        </w:rPr>
        <w:tab/>
      </w:r>
      <w:r w:rsidRPr="00202A7D">
        <w:rPr>
          <w:rFonts w:ascii="Times New Roman" w:eastAsia="Calibri" w:hAnsi="Times New Roman" w:cs="Times New Roman"/>
          <w:i/>
          <w:sz w:val="24"/>
          <w:szCs w:val="24"/>
        </w:rPr>
        <w:tab/>
      </w:r>
      <w:r w:rsidRPr="00202A7D">
        <w:rPr>
          <w:rFonts w:ascii="Times New Roman" w:eastAsia="Calibri" w:hAnsi="Times New Roman" w:cs="Times New Roman"/>
          <w:i/>
          <w:sz w:val="24"/>
          <w:szCs w:val="24"/>
        </w:rPr>
        <w:tab/>
      </w:r>
      <w:r w:rsidRPr="00202A7D">
        <w:rPr>
          <w:rFonts w:ascii="Times New Roman" w:eastAsia="Calibri" w:hAnsi="Times New Roman" w:cs="Times New Roman"/>
          <w:i/>
          <w:sz w:val="24"/>
          <w:szCs w:val="24"/>
        </w:rPr>
        <w:tab/>
      </w:r>
    </w:p>
    <w:p w14:paraId="6CB82184" w14:textId="77777777" w:rsidR="00202A7D" w:rsidRPr="00202A7D" w:rsidRDefault="00202A7D" w:rsidP="00202A7D">
      <w:pPr>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Tabuľka č. 2: Výpočet vplyvov jednotlivých regulácií (nahraďte rovnakou tabuľkou po vyplnení Kalkulačky nákladov):</w:t>
      </w:r>
    </w:p>
    <w:p w14:paraId="049F31CB" w14:textId="77777777" w:rsidR="00202A7D" w:rsidRPr="00202A7D" w:rsidRDefault="00202A7D" w:rsidP="00202A7D">
      <w:pPr>
        <w:jc w:val="both"/>
        <w:rPr>
          <w:rFonts w:ascii="Times New Roman" w:eastAsia="Calibri" w:hAnsi="Times New Roman" w:cs="Times New Roman"/>
          <w:b/>
          <w:bCs/>
          <w:i/>
          <w:sz w:val="24"/>
          <w:szCs w:val="24"/>
        </w:rPr>
      </w:pPr>
    </w:p>
    <w:tbl>
      <w:tblPr>
        <w:tblW w:w="14626" w:type="dxa"/>
        <w:tblLayout w:type="fixed"/>
        <w:tblCellMar>
          <w:left w:w="70" w:type="dxa"/>
          <w:right w:w="70" w:type="dxa"/>
        </w:tblCellMar>
        <w:tblLook w:val="04A0" w:firstRow="1" w:lastRow="0" w:firstColumn="1" w:lastColumn="0" w:noHBand="0" w:noVBand="1"/>
      </w:tblPr>
      <w:tblGrid>
        <w:gridCol w:w="552"/>
        <w:gridCol w:w="1960"/>
        <w:gridCol w:w="1209"/>
        <w:gridCol w:w="1120"/>
        <w:gridCol w:w="1391"/>
        <w:gridCol w:w="1031"/>
        <w:gridCol w:w="1495"/>
        <w:gridCol w:w="967"/>
        <w:gridCol w:w="1158"/>
        <w:gridCol w:w="1304"/>
        <w:gridCol w:w="879"/>
        <w:gridCol w:w="720"/>
        <w:gridCol w:w="680"/>
        <w:gridCol w:w="160"/>
      </w:tblGrid>
      <w:tr w:rsidR="00202A7D" w:rsidRPr="00202A7D" w14:paraId="558D7148" w14:textId="77777777" w:rsidTr="000737B2">
        <w:trPr>
          <w:gridAfter w:val="1"/>
          <w:wAfter w:w="160" w:type="dxa"/>
          <w:trHeight w:val="458"/>
        </w:trPr>
        <w:tc>
          <w:tcPr>
            <w:tcW w:w="5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96C5FB2"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202A7D">
              <w:rPr>
                <w:rFonts w:ascii="Times New Roman" w:eastAsia="Times New Roman" w:hAnsi="Times New Roman" w:cs="Times New Roman"/>
                <w:b/>
                <w:bCs/>
                <w:color w:val="000000"/>
                <w:sz w:val="18"/>
                <w:szCs w:val="18"/>
                <w:lang w:eastAsia="sk-SK"/>
              </w:rPr>
              <w:t>P.č</w:t>
            </w:r>
            <w:proofErr w:type="spellEnd"/>
            <w:r w:rsidRPr="00202A7D">
              <w:rPr>
                <w:rFonts w:ascii="Times New Roman" w:eastAsia="Times New Roman" w:hAnsi="Times New Roman" w:cs="Times New Roman"/>
                <w:b/>
                <w:bCs/>
                <w:color w:val="000000"/>
                <w:sz w:val="18"/>
                <w:szCs w:val="18"/>
                <w:lang w:eastAsia="sk-SK"/>
              </w:rPr>
              <w:t>.</w:t>
            </w:r>
          </w:p>
        </w:tc>
        <w:tc>
          <w:tcPr>
            <w:tcW w:w="19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807FEC"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 xml:space="preserve">Zrozumiteľný a stručný opis regulácie </w:t>
            </w:r>
            <w:r w:rsidRPr="00202A7D">
              <w:rPr>
                <w:rFonts w:ascii="Times New Roman" w:eastAsia="Times New Roman" w:hAnsi="Times New Roman" w:cs="Times New Roman"/>
                <w:b/>
                <w:bCs/>
                <w:color w:val="000000"/>
                <w:sz w:val="18"/>
                <w:szCs w:val="18"/>
                <w:lang w:eastAsia="sk-SK"/>
              </w:rPr>
              <w:br/>
              <w:t xml:space="preserve">(dôvod zvýšenia/zníženia nákladov na PP a dôvod ponechania nákladov na PP, ktoré </w:t>
            </w:r>
            <w:proofErr w:type="spellStart"/>
            <w:r w:rsidRPr="00202A7D">
              <w:rPr>
                <w:rFonts w:ascii="Times New Roman" w:eastAsia="Times New Roman" w:hAnsi="Times New Roman" w:cs="Times New Roman"/>
                <w:b/>
                <w:bCs/>
                <w:color w:val="000000"/>
                <w:sz w:val="18"/>
                <w:szCs w:val="18"/>
                <w:lang w:eastAsia="sk-SK"/>
              </w:rPr>
              <w:t>su</w:t>
            </w:r>
            <w:proofErr w:type="spellEnd"/>
            <w:r w:rsidRPr="00202A7D">
              <w:rPr>
                <w:rFonts w:ascii="Times New Roman" w:eastAsia="Times New Roman" w:hAnsi="Times New Roman" w:cs="Times New Roman"/>
                <w:b/>
                <w:bCs/>
                <w:color w:val="000000"/>
                <w:sz w:val="18"/>
                <w:szCs w:val="18"/>
                <w:lang w:eastAsia="sk-SK"/>
              </w:rPr>
              <w:t xml:space="preserve"> </w:t>
            </w:r>
            <w:proofErr w:type="spellStart"/>
            <w:r w:rsidRPr="00202A7D">
              <w:rPr>
                <w:rFonts w:ascii="Times New Roman" w:eastAsia="Times New Roman" w:hAnsi="Times New Roman" w:cs="Times New Roman"/>
                <w:b/>
                <w:bCs/>
                <w:color w:val="000000"/>
                <w:sz w:val="18"/>
                <w:szCs w:val="18"/>
                <w:lang w:eastAsia="sk-SK"/>
              </w:rPr>
              <w:t>goldplatingom</w:t>
            </w:r>
            <w:proofErr w:type="spellEnd"/>
            <w:r w:rsidRPr="00202A7D">
              <w:rPr>
                <w:rFonts w:ascii="Times New Roman" w:eastAsia="Times New Roman" w:hAnsi="Times New Roman" w:cs="Times New Roman"/>
                <w:b/>
                <w:bCs/>
                <w:color w:val="000000"/>
                <w:sz w:val="18"/>
                <w:szCs w:val="18"/>
                <w:lang w:eastAsia="sk-SK"/>
              </w:rPr>
              <w:t>)</w:t>
            </w:r>
          </w:p>
        </w:tc>
        <w:tc>
          <w:tcPr>
            <w:tcW w:w="120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E37F5B7"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Číslo normy</w:t>
            </w:r>
            <w:r w:rsidRPr="00202A7D">
              <w:rPr>
                <w:rFonts w:ascii="Times New Roman" w:eastAsia="Times New Roman" w:hAnsi="Times New Roman" w:cs="Times New Roman"/>
                <w:b/>
                <w:bCs/>
                <w:color w:val="000000"/>
                <w:sz w:val="18"/>
                <w:szCs w:val="18"/>
                <w:lang w:eastAsia="sk-SK"/>
              </w:rPr>
              <w:br/>
            </w:r>
            <w:r w:rsidRPr="00202A7D">
              <w:rPr>
                <w:rFonts w:ascii="Times New Roman" w:eastAsia="Times New Roman" w:hAnsi="Times New Roman" w:cs="Times New Roman"/>
                <w:color w:val="000000"/>
                <w:sz w:val="18"/>
                <w:szCs w:val="18"/>
                <w:lang w:eastAsia="sk-SK"/>
              </w:rPr>
              <w:t>(zákona, vyhlášky a pod.)</w:t>
            </w:r>
          </w:p>
        </w:tc>
        <w:tc>
          <w:tcPr>
            <w:tcW w:w="112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55FA8A7"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Lokalizácia</w:t>
            </w:r>
            <w:r w:rsidRPr="00202A7D">
              <w:rPr>
                <w:rFonts w:ascii="Times New Roman" w:eastAsia="Times New Roman" w:hAnsi="Times New Roman" w:cs="Times New Roman"/>
                <w:b/>
                <w:bCs/>
                <w:color w:val="000000"/>
                <w:sz w:val="18"/>
                <w:szCs w:val="18"/>
                <w:lang w:eastAsia="sk-SK"/>
              </w:rPr>
              <w:br/>
              <w:t>(§, ods., čl.,...)</w:t>
            </w:r>
          </w:p>
        </w:tc>
        <w:tc>
          <w:tcPr>
            <w:tcW w:w="13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ED8975"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 xml:space="preserve">Pôvod regulácie: </w:t>
            </w:r>
            <w:r w:rsidRPr="00202A7D">
              <w:rPr>
                <w:rFonts w:ascii="Times New Roman" w:eastAsia="Times New Roman" w:hAnsi="Times New Roman" w:cs="Times New Roman"/>
                <w:b/>
                <w:bCs/>
                <w:color w:val="000000"/>
                <w:sz w:val="18"/>
                <w:szCs w:val="18"/>
                <w:lang w:eastAsia="sk-SK"/>
              </w:rPr>
              <w:br/>
            </w:r>
            <w:r w:rsidRPr="00202A7D">
              <w:rPr>
                <w:rFonts w:ascii="Times New Roman" w:eastAsia="Times New Roman" w:hAnsi="Times New Roman" w:cs="Times New Roman"/>
                <w:color w:val="000000"/>
                <w:sz w:val="18"/>
                <w:szCs w:val="18"/>
                <w:lang w:eastAsia="sk-SK"/>
              </w:rPr>
              <w:t xml:space="preserve">SK/EÚ úplná </w:t>
            </w:r>
            <w:proofErr w:type="spellStart"/>
            <w:r w:rsidRPr="00202A7D">
              <w:rPr>
                <w:rFonts w:ascii="Times New Roman" w:eastAsia="Times New Roman" w:hAnsi="Times New Roman" w:cs="Times New Roman"/>
                <w:color w:val="000000"/>
                <w:sz w:val="18"/>
                <w:szCs w:val="18"/>
                <w:lang w:eastAsia="sk-SK"/>
              </w:rPr>
              <w:t>harm</w:t>
            </w:r>
            <w:proofErr w:type="spellEnd"/>
            <w:r w:rsidRPr="00202A7D">
              <w:rPr>
                <w:rFonts w:ascii="Times New Roman" w:eastAsia="Times New Roman" w:hAnsi="Times New Roman" w:cs="Times New Roman"/>
                <w:color w:val="000000"/>
                <w:sz w:val="18"/>
                <w:szCs w:val="18"/>
                <w:lang w:eastAsia="sk-SK"/>
              </w:rPr>
              <w:t>./</w:t>
            </w:r>
            <w:r w:rsidRPr="00202A7D">
              <w:rPr>
                <w:rFonts w:ascii="Times New Roman" w:eastAsia="Times New Roman" w:hAnsi="Times New Roman" w:cs="Times New Roman"/>
                <w:color w:val="000000"/>
                <w:sz w:val="18"/>
                <w:szCs w:val="18"/>
                <w:lang w:eastAsia="sk-SK"/>
              </w:rPr>
              <w:br/>
            </w:r>
            <w:proofErr w:type="spellStart"/>
            <w:r w:rsidRPr="00202A7D">
              <w:rPr>
                <w:rFonts w:ascii="Times New Roman" w:eastAsia="Times New Roman" w:hAnsi="Times New Roman" w:cs="Times New Roman"/>
                <w:color w:val="000000"/>
                <w:sz w:val="18"/>
                <w:szCs w:val="18"/>
                <w:lang w:eastAsia="sk-SK"/>
              </w:rPr>
              <w:t>goldplating</w:t>
            </w:r>
            <w:proofErr w:type="spellEnd"/>
          </w:p>
        </w:tc>
        <w:tc>
          <w:tcPr>
            <w:tcW w:w="10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4C9B8B8"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Účinnosť regulácie</w:t>
            </w:r>
          </w:p>
        </w:tc>
        <w:tc>
          <w:tcPr>
            <w:tcW w:w="149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EE5E37"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 xml:space="preserve">Kategória </w:t>
            </w:r>
            <w:proofErr w:type="spellStart"/>
            <w:r w:rsidRPr="00202A7D">
              <w:rPr>
                <w:rFonts w:ascii="Times New Roman" w:eastAsia="Times New Roman" w:hAnsi="Times New Roman" w:cs="Times New Roman"/>
                <w:b/>
                <w:bCs/>
                <w:color w:val="000000"/>
                <w:sz w:val="18"/>
                <w:szCs w:val="18"/>
                <w:lang w:eastAsia="sk-SK"/>
              </w:rPr>
              <w:t>dotk</w:t>
            </w:r>
            <w:proofErr w:type="spellEnd"/>
            <w:r w:rsidRPr="00202A7D">
              <w:rPr>
                <w:rFonts w:ascii="Times New Roman" w:eastAsia="Times New Roman" w:hAnsi="Times New Roman" w:cs="Times New Roman"/>
                <w:b/>
                <w:bCs/>
                <w:color w:val="000000"/>
                <w:sz w:val="18"/>
                <w:szCs w:val="18"/>
                <w:lang w:eastAsia="sk-SK"/>
              </w:rPr>
              <w:t>. subjektov</w:t>
            </w:r>
          </w:p>
        </w:tc>
        <w:tc>
          <w:tcPr>
            <w:tcW w:w="96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5363401"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 xml:space="preserve">Počet </w:t>
            </w:r>
            <w:proofErr w:type="spellStart"/>
            <w:r w:rsidRPr="00202A7D">
              <w:rPr>
                <w:rFonts w:ascii="Times New Roman" w:eastAsia="Times New Roman" w:hAnsi="Times New Roman" w:cs="Times New Roman"/>
                <w:b/>
                <w:bCs/>
                <w:color w:val="000000"/>
                <w:sz w:val="18"/>
                <w:szCs w:val="18"/>
                <w:lang w:eastAsia="sk-SK"/>
              </w:rPr>
              <w:t>dotk</w:t>
            </w:r>
            <w:proofErr w:type="spellEnd"/>
            <w:r w:rsidRPr="00202A7D">
              <w:rPr>
                <w:rFonts w:ascii="Times New Roman" w:eastAsia="Times New Roman" w:hAnsi="Times New Roman" w:cs="Times New Roman"/>
                <w:b/>
                <w:bCs/>
                <w:color w:val="000000"/>
                <w:sz w:val="18"/>
                <w:szCs w:val="18"/>
                <w:lang w:eastAsia="sk-SK"/>
              </w:rPr>
              <w:t xml:space="preserve">. subjektov spolu </w:t>
            </w:r>
          </w:p>
        </w:tc>
        <w:tc>
          <w:tcPr>
            <w:tcW w:w="115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CB71144"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Vplyv na 1 podnik. v €</w:t>
            </w:r>
          </w:p>
        </w:tc>
        <w:tc>
          <w:tcPr>
            <w:tcW w:w="130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5653CC1"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 xml:space="preserve">Vplyv na kategóriu </w:t>
            </w:r>
            <w:proofErr w:type="spellStart"/>
            <w:r w:rsidRPr="00202A7D">
              <w:rPr>
                <w:rFonts w:ascii="Times New Roman" w:eastAsia="Times New Roman" w:hAnsi="Times New Roman" w:cs="Times New Roman"/>
                <w:b/>
                <w:bCs/>
                <w:color w:val="000000"/>
                <w:sz w:val="18"/>
                <w:szCs w:val="18"/>
                <w:lang w:eastAsia="sk-SK"/>
              </w:rPr>
              <w:t>dotk</w:t>
            </w:r>
            <w:proofErr w:type="spellEnd"/>
            <w:r w:rsidRPr="00202A7D">
              <w:rPr>
                <w:rFonts w:ascii="Times New Roman" w:eastAsia="Times New Roman" w:hAnsi="Times New Roman" w:cs="Times New Roman"/>
                <w:b/>
                <w:bCs/>
                <w:color w:val="000000"/>
                <w:sz w:val="18"/>
                <w:szCs w:val="18"/>
                <w:lang w:eastAsia="sk-SK"/>
              </w:rPr>
              <w:t>. subjektov v €</w:t>
            </w:r>
          </w:p>
        </w:tc>
        <w:tc>
          <w:tcPr>
            <w:tcW w:w="87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97A3F3E"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Druh vplyvu</w:t>
            </w:r>
            <w:r w:rsidRPr="00202A7D">
              <w:rPr>
                <w:rFonts w:ascii="Times New Roman" w:eastAsia="Times New Roman" w:hAnsi="Times New Roman" w:cs="Times New Roman"/>
                <w:b/>
                <w:bCs/>
                <w:color w:val="000000"/>
                <w:sz w:val="18"/>
                <w:szCs w:val="18"/>
                <w:lang w:eastAsia="sk-SK"/>
              </w:rPr>
              <w:br/>
            </w:r>
            <w:r w:rsidRPr="00202A7D">
              <w:rPr>
                <w:rFonts w:ascii="Times New Roman" w:eastAsia="Times New Roman" w:hAnsi="Times New Roman" w:cs="Times New Roman"/>
                <w:color w:val="000000"/>
                <w:sz w:val="18"/>
                <w:szCs w:val="18"/>
                <w:lang w:eastAsia="sk-SK"/>
              </w:rPr>
              <w:t xml:space="preserve">In (zvyšuje náklady) / </w:t>
            </w:r>
            <w:r w:rsidRPr="00202A7D">
              <w:rPr>
                <w:rFonts w:ascii="Times New Roman" w:eastAsia="Times New Roman" w:hAnsi="Times New Roman" w:cs="Times New Roman"/>
                <w:color w:val="000000"/>
                <w:sz w:val="18"/>
                <w:szCs w:val="18"/>
                <w:lang w:eastAsia="sk-SK"/>
              </w:rPr>
              <w:br/>
            </w:r>
            <w:proofErr w:type="spellStart"/>
            <w:r w:rsidRPr="00202A7D">
              <w:rPr>
                <w:rFonts w:ascii="Times New Roman" w:eastAsia="Times New Roman" w:hAnsi="Times New Roman" w:cs="Times New Roman"/>
                <w:color w:val="000000"/>
                <w:sz w:val="18"/>
                <w:szCs w:val="18"/>
                <w:lang w:eastAsia="sk-SK"/>
              </w:rPr>
              <w:t>Out</w:t>
            </w:r>
            <w:proofErr w:type="spellEnd"/>
            <w:r w:rsidRPr="00202A7D">
              <w:rPr>
                <w:rFonts w:ascii="Times New Roman" w:eastAsia="Times New Roman" w:hAnsi="Times New Roman" w:cs="Times New Roman"/>
                <w:color w:val="000000"/>
                <w:sz w:val="18"/>
                <w:szCs w:val="18"/>
                <w:lang w:eastAsia="sk-SK"/>
              </w:rPr>
              <w:t xml:space="preserve"> (znižuje náklady) / Nemení sa</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C939A"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r w:rsidRPr="00202A7D">
              <w:rPr>
                <w:rFonts w:ascii="Times New Roman" w:eastAsia="Times New Roman" w:hAnsi="Times New Roman" w:cs="Times New Roman"/>
                <w:b/>
                <w:bCs/>
                <w:color w:val="000000"/>
                <w:sz w:val="18"/>
                <w:szCs w:val="18"/>
                <w:lang w:eastAsia="sk-SK"/>
              </w:rPr>
              <w:t xml:space="preserve">1in2out </w:t>
            </w:r>
            <w:r w:rsidRPr="00202A7D">
              <w:rPr>
                <w:rFonts w:ascii="Times New Roman" w:eastAsia="Times New Roman" w:hAnsi="Times New Roman" w:cs="Times New Roman"/>
                <w:b/>
                <w:bCs/>
                <w:color w:val="000000"/>
                <w:sz w:val="18"/>
                <w:szCs w:val="18"/>
                <w:lang w:eastAsia="sk-SK"/>
              </w:rPr>
              <w:br/>
              <w:t>celkom</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0651A9"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202A7D">
              <w:rPr>
                <w:rFonts w:ascii="Times New Roman" w:eastAsia="Times New Roman" w:hAnsi="Times New Roman" w:cs="Times New Roman"/>
                <w:b/>
                <w:bCs/>
                <w:color w:val="000000"/>
                <w:sz w:val="18"/>
                <w:szCs w:val="18"/>
                <w:lang w:eastAsia="sk-SK"/>
              </w:rPr>
              <w:t>Goldplating</w:t>
            </w:r>
            <w:proofErr w:type="spellEnd"/>
            <w:r w:rsidRPr="00202A7D">
              <w:rPr>
                <w:rFonts w:ascii="Times New Roman" w:eastAsia="Times New Roman" w:hAnsi="Times New Roman" w:cs="Times New Roman"/>
                <w:b/>
                <w:bCs/>
                <w:color w:val="000000"/>
                <w:sz w:val="18"/>
                <w:szCs w:val="18"/>
                <w:lang w:eastAsia="sk-SK"/>
              </w:rPr>
              <w:t xml:space="preserve"> celkom</w:t>
            </w:r>
          </w:p>
        </w:tc>
      </w:tr>
      <w:tr w:rsidR="00202A7D" w:rsidRPr="00202A7D" w14:paraId="53128261" w14:textId="77777777" w:rsidTr="000737B2">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62486C05"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14:paraId="4B99056E"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1299C43A"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3461D779"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3CF2D8B6"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1FC39945"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4CE0A41"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D98A12B"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2946DB82" w14:textId="77777777" w:rsidR="00202A7D" w:rsidRPr="00202A7D" w:rsidRDefault="00202A7D" w:rsidP="00202A7D">
            <w:pPr>
              <w:spacing w:after="0" w:line="240" w:lineRule="auto"/>
              <w:jc w:val="center"/>
              <w:rPr>
                <w:rFonts w:ascii="Times New Roman" w:eastAsia="Times New Roman" w:hAnsi="Times New Roman" w:cs="Times New Roman"/>
                <w:b/>
                <w:bCs/>
                <w:color w:val="000000"/>
                <w:sz w:val="18"/>
                <w:szCs w:val="18"/>
                <w:lang w:eastAsia="sk-SK"/>
              </w:rPr>
            </w:pPr>
          </w:p>
        </w:tc>
      </w:tr>
      <w:tr w:rsidR="00202A7D" w:rsidRPr="00202A7D" w14:paraId="5997CC1D" w14:textId="77777777" w:rsidTr="000737B2">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110FFD37"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6B699379"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14:paraId="3FE9F23F"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1F72F646"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08CE6F91"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61CDCEAD"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6BB9E253"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3DE523C"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07547A01"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5043CB0F"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7459315"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537F28F"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6DFB9E20"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70DF9E56" w14:textId="77777777" w:rsidTr="000737B2">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144A5D23"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14:paraId="738610EB"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637805D2"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463F29E8"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3A0FF5F2"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630AD66"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61829076"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2BA226A1"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17AD93B2"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DE4B5B7"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6204FF1"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2DBF0D7D"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6B62F1B3" w14:textId="77777777" w:rsidTr="000737B2">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2F2C34E"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680A4E5D"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14:paraId="19219836"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296FEF7D"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7194DBDC"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769D0D3C"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54CD245A"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231BE67"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36FEB5B0"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30D7AA69"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196D064"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4FF1C98"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D072C0D"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48A21919"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6BD18F9B" w14:textId="77777777" w:rsidTr="000737B2">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238601FE"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0F3CABC7"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14:paraId="5B08B5D1"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16DEB4AB"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0AD9C6F4"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4B1F511A"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65F9C3DC"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023141B"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1F3B1409"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562C75D1"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664355AD"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A965116"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DF4E37C" w14:textId="77777777" w:rsidR="00202A7D" w:rsidRPr="00202A7D" w:rsidRDefault="00202A7D" w:rsidP="00202A7D">
            <w:pPr>
              <w:spacing w:after="0" w:line="240" w:lineRule="auto"/>
              <w:rPr>
                <w:rFonts w:ascii="Times New Roman" w:eastAsia="Times New Roman" w:hAnsi="Times New Roman" w:cs="Times New Roman"/>
                <w:b/>
                <w:bCs/>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44FB30F8"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5036D29E" w14:textId="77777777" w:rsidTr="000737B2">
        <w:trPr>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49841BE"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1</w:t>
            </w:r>
          </w:p>
        </w:tc>
        <w:tc>
          <w:tcPr>
            <w:tcW w:w="1960" w:type="dxa"/>
            <w:tcBorders>
              <w:top w:val="nil"/>
              <w:left w:val="nil"/>
              <w:bottom w:val="single" w:sz="4" w:space="0" w:color="auto"/>
              <w:right w:val="single" w:sz="4" w:space="0" w:color="auto"/>
            </w:tcBorders>
            <w:shd w:val="clear" w:color="auto" w:fill="auto"/>
            <w:vAlign w:val="center"/>
            <w:hideMark/>
          </w:tcPr>
          <w:p w14:paraId="515EEABE"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Zavedenie mechanizmu kreditov na OZE v doprave</w:t>
            </w:r>
          </w:p>
        </w:tc>
        <w:tc>
          <w:tcPr>
            <w:tcW w:w="1209" w:type="dxa"/>
            <w:tcBorders>
              <w:top w:val="nil"/>
              <w:left w:val="nil"/>
              <w:bottom w:val="single" w:sz="4" w:space="0" w:color="auto"/>
              <w:right w:val="single" w:sz="4" w:space="0" w:color="auto"/>
            </w:tcBorders>
            <w:shd w:val="clear" w:color="auto" w:fill="auto"/>
            <w:vAlign w:val="center"/>
            <w:hideMark/>
          </w:tcPr>
          <w:p w14:paraId="7B2AE9EC"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Zákon 309/2009 </w:t>
            </w:r>
            <w:proofErr w:type="spellStart"/>
            <w:r w:rsidRPr="00202A7D">
              <w:rPr>
                <w:rFonts w:ascii="Times New Roman" w:eastAsia="Times New Roman" w:hAnsi="Times New Roman" w:cs="Times New Roman"/>
                <w:color w:val="000000"/>
                <w:sz w:val="18"/>
                <w:szCs w:val="18"/>
                <w:lang w:eastAsia="sk-SK"/>
              </w:rPr>
              <w:t>Z.z</w:t>
            </w:r>
            <w:proofErr w:type="spellEnd"/>
            <w:r w:rsidRPr="00202A7D">
              <w:rPr>
                <w:rFonts w:ascii="Times New Roman" w:eastAsia="Times New Roman" w:hAnsi="Times New Roman" w:cs="Times New Roman"/>
                <w:color w:val="000000"/>
                <w:sz w:val="18"/>
                <w:szCs w:val="18"/>
                <w:lang w:eastAsia="sk-SK"/>
              </w:rPr>
              <w:t>.</w:t>
            </w:r>
          </w:p>
        </w:tc>
        <w:tc>
          <w:tcPr>
            <w:tcW w:w="1120" w:type="dxa"/>
            <w:tcBorders>
              <w:top w:val="nil"/>
              <w:left w:val="nil"/>
              <w:bottom w:val="single" w:sz="4" w:space="0" w:color="auto"/>
              <w:right w:val="single" w:sz="4" w:space="0" w:color="auto"/>
            </w:tcBorders>
            <w:shd w:val="clear" w:color="auto" w:fill="auto"/>
            <w:vAlign w:val="center"/>
            <w:hideMark/>
          </w:tcPr>
          <w:p w14:paraId="5A2BEC5E"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 14ca - § 14cc </w:t>
            </w:r>
          </w:p>
        </w:tc>
        <w:tc>
          <w:tcPr>
            <w:tcW w:w="1391" w:type="dxa"/>
            <w:tcBorders>
              <w:top w:val="nil"/>
              <w:left w:val="nil"/>
              <w:bottom w:val="single" w:sz="4" w:space="0" w:color="auto"/>
              <w:right w:val="single" w:sz="4" w:space="0" w:color="auto"/>
            </w:tcBorders>
            <w:shd w:val="clear" w:color="auto" w:fill="auto"/>
            <w:vAlign w:val="center"/>
            <w:hideMark/>
          </w:tcPr>
          <w:p w14:paraId="52609B1E"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2. EÚ úplná harmonizácia</w:t>
            </w:r>
          </w:p>
        </w:tc>
        <w:tc>
          <w:tcPr>
            <w:tcW w:w="1031" w:type="dxa"/>
            <w:tcBorders>
              <w:top w:val="nil"/>
              <w:left w:val="nil"/>
              <w:bottom w:val="single" w:sz="4" w:space="0" w:color="auto"/>
              <w:right w:val="single" w:sz="4" w:space="0" w:color="auto"/>
            </w:tcBorders>
            <w:shd w:val="clear" w:color="auto" w:fill="auto"/>
            <w:vAlign w:val="center"/>
            <w:hideMark/>
          </w:tcPr>
          <w:p w14:paraId="177A9E5F"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01.07.27</w:t>
            </w:r>
          </w:p>
        </w:tc>
        <w:tc>
          <w:tcPr>
            <w:tcW w:w="1495" w:type="dxa"/>
            <w:tcBorders>
              <w:top w:val="nil"/>
              <w:left w:val="nil"/>
              <w:bottom w:val="single" w:sz="4" w:space="0" w:color="auto"/>
              <w:right w:val="single" w:sz="4" w:space="0" w:color="auto"/>
            </w:tcBorders>
            <w:shd w:val="clear" w:color="auto" w:fill="auto"/>
            <w:vAlign w:val="center"/>
            <w:hideMark/>
          </w:tcPr>
          <w:p w14:paraId="3E8D8D0F"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OKTE</w:t>
            </w:r>
          </w:p>
        </w:tc>
        <w:tc>
          <w:tcPr>
            <w:tcW w:w="967" w:type="dxa"/>
            <w:tcBorders>
              <w:top w:val="nil"/>
              <w:left w:val="nil"/>
              <w:bottom w:val="single" w:sz="4" w:space="0" w:color="auto"/>
              <w:right w:val="single" w:sz="4" w:space="0" w:color="auto"/>
            </w:tcBorders>
            <w:shd w:val="clear" w:color="auto" w:fill="auto"/>
            <w:vAlign w:val="center"/>
            <w:hideMark/>
          </w:tcPr>
          <w:p w14:paraId="6C6D3AD4" w14:textId="77777777" w:rsidR="00202A7D" w:rsidRPr="00202A7D" w:rsidRDefault="00202A7D" w:rsidP="00202A7D">
            <w:pPr>
              <w:spacing w:after="0" w:line="240" w:lineRule="auto"/>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                  1 </w:t>
            </w:r>
          </w:p>
        </w:tc>
        <w:tc>
          <w:tcPr>
            <w:tcW w:w="1158" w:type="dxa"/>
            <w:tcBorders>
              <w:top w:val="nil"/>
              <w:left w:val="nil"/>
              <w:bottom w:val="single" w:sz="4" w:space="0" w:color="auto"/>
              <w:right w:val="single" w:sz="4" w:space="0" w:color="auto"/>
            </w:tcBorders>
            <w:shd w:val="clear" w:color="000000" w:fill="FFFFFF"/>
            <w:vAlign w:val="center"/>
            <w:hideMark/>
          </w:tcPr>
          <w:p w14:paraId="0DD78200"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80 730</w:t>
            </w:r>
          </w:p>
        </w:tc>
        <w:tc>
          <w:tcPr>
            <w:tcW w:w="1304" w:type="dxa"/>
            <w:tcBorders>
              <w:top w:val="nil"/>
              <w:left w:val="nil"/>
              <w:bottom w:val="single" w:sz="4" w:space="0" w:color="auto"/>
              <w:right w:val="single" w:sz="4" w:space="0" w:color="auto"/>
            </w:tcBorders>
            <w:shd w:val="clear" w:color="auto" w:fill="auto"/>
            <w:vAlign w:val="center"/>
            <w:hideMark/>
          </w:tcPr>
          <w:p w14:paraId="22AC236A"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80 730</w:t>
            </w:r>
          </w:p>
        </w:tc>
        <w:tc>
          <w:tcPr>
            <w:tcW w:w="879" w:type="dxa"/>
            <w:tcBorders>
              <w:top w:val="nil"/>
              <w:left w:val="nil"/>
              <w:bottom w:val="single" w:sz="4" w:space="0" w:color="auto"/>
              <w:right w:val="single" w:sz="4" w:space="0" w:color="auto"/>
            </w:tcBorders>
            <w:shd w:val="clear" w:color="auto" w:fill="auto"/>
            <w:vAlign w:val="center"/>
            <w:hideMark/>
          </w:tcPr>
          <w:p w14:paraId="58188095"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In (zvyšuje náklady)</w:t>
            </w:r>
          </w:p>
        </w:tc>
        <w:tc>
          <w:tcPr>
            <w:tcW w:w="720" w:type="dxa"/>
            <w:tcBorders>
              <w:top w:val="nil"/>
              <w:left w:val="nil"/>
              <w:bottom w:val="single" w:sz="4" w:space="0" w:color="auto"/>
              <w:right w:val="single" w:sz="4" w:space="0" w:color="auto"/>
            </w:tcBorders>
            <w:shd w:val="clear" w:color="auto" w:fill="auto"/>
            <w:vAlign w:val="center"/>
            <w:hideMark/>
          </w:tcPr>
          <w:p w14:paraId="1574AF32" w14:textId="77777777" w:rsidR="00202A7D" w:rsidRPr="00202A7D" w:rsidRDefault="00202A7D" w:rsidP="00202A7D">
            <w:pPr>
              <w:spacing w:after="0" w:line="240" w:lineRule="auto"/>
              <w:jc w:val="center"/>
              <w:rPr>
                <w:rFonts w:ascii="Times New Roman" w:eastAsia="Times New Roman" w:hAnsi="Times New Roman" w:cs="Times New Roman"/>
                <w:sz w:val="18"/>
                <w:szCs w:val="18"/>
                <w:lang w:eastAsia="sk-SK"/>
              </w:rPr>
            </w:pPr>
            <w:r w:rsidRPr="00202A7D">
              <w:rPr>
                <w:rFonts w:ascii="Times New Roman" w:eastAsia="Times New Roman" w:hAnsi="Times New Roman" w:cs="Times New Roman"/>
                <w:sz w:val="18"/>
                <w:szCs w:val="18"/>
                <w:lang w:eastAsia="sk-SK"/>
              </w:rPr>
              <w:t>0</w:t>
            </w:r>
          </w:p>
        </w:tc>
        <w:tc>
          <w:tcPr>
            <w:tcW w:w="680" w:type="dxa"/>
            <w:tcBorders>
              <w:top w:val="nil"/>
              <w:left w:val="nil"/>
              <w:bottom w:val="single" w:sz="4" w:space="0" w:color="auto"/>
              <w:right w:val="single" w:sz="4" w:space="0" w:color="auto"/>
            </w:tcBorders>
            <w:shd w:val="clear" w:color="auto" w:fill="auto"/>
            <w:vAlign w:val="center"/>
            <w:hideMark/>
          </w:tcPr>
          <w:p w14:paraId="0CF44D54"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60" w:type="dxa"/>
            <w:vAlign w:val="center"/>
            <w:hideMark/>
          </w:tcPr>
          <w:p w14:paraId="1DA6542E"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71DC334A" w14:textId="77777777" w:rsidTr="000737B2">
        <w:trPr>
          <w:trHeight w:val="2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8F999B5"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2</w:t>
            </w:r>
          </w:p>
        </w:tc>
        <w:tc>
          <w:tcPr>
            <w:tcW w:w="1960" w:type="dxa"/>
            <w:tcBorders>
              <w:top w:val="nil"/>
              <w:left w:val="nil"/>
              <w:bottom w:val="single" w:sz="4" w:space="0" w:color="auto"/>
              <w:right w:val="single" w:sz="4" w:space="0" w:color="auto"/>
            </w:tcBorders>
            <w:shd w:val="clear" w:color="auto" w:fill="auto"/>
            <w:vAlign w:val="center"/>
            <w:hideMark/>
          </w:tcPr>
          <w:p w14:paraId="70291126"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Povinnosti PDS zverejňovať informácie</w:t>
            </w:r>
          </w:p>
        </w:tc>
        <w:tc>
          <w:tcPr>
            <w:tcW w:w="1209" w:type="dxa"/>
            <w:tcBorders>
              <w:top w:val="nil"/>
              <w:left w:val="nil"/>
              <w:bottom w:val="single" w:sz="4" w:space="0" w:color="auto"/>
              <w:right w:val="single" w:sz="4" w:space="0" w:color="auto"/>
            </w:tcBorders>
            <w:shd w:val="clear" w:color="auto" w:fill="auto"/>
            <w:vAlign w:val="center"/>
            <w:hideMark/>
          </w:tcPr>
          <w:p w14:paraId="0839F5EC"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Zákon 251/2012 </w:t>
            </w:r>
            <w:proofErr w:type="spellStart"/>
            <w:r w:rsidRPr="00202A7D">
              <w:rPr>
                <w:rFonts w:ascii="Times New Roman" w:eastAsia="Times New Roman" w:hAnsi="Times New Roman" w:cs="Times New Roman"/>
                <w:color w:val="000000"/>
                <w:sz w:val="18"/>
                <w:szCs w:val="18"/>
                <w:lang w:eastAsia="sk-SK"/>
              </w:rPr>
              <w:t>Z.z</w:t>
            </w:r>
            <w:proofErr w:type="spellEnd"/>
            <w:r w:rsidRPr="00202A7D">
              <w:rPr>
                <w:rFonts w:ascii="Times New Roman" w:eastAsia="Times New Roman" w:hAnsi="Times New Roman" w:cs="Times New Roman"/>
                <w:color w:val="000000"/>
                <w:sz w:val="18"/>
                <w:szCs w:val="18"/>
                <w:lang w:eastAsia="sk-SK"/>
              </w:rPr>
              <w:t>.</w:t>
            </w:r>
          </w:p>
        </w:tc>
        <w:tc>
          <w:tcPr>
            <w:tcW w:w="1120" w:type="dxa"/>
            <w:tcBorders>
              <w:top w:val="nil"/>
              <w:left w:val="nil"/>
              <w:bottom w:val="single" w:sz="4" w:space="0" w:color="auto"/>
              <w:right w:val="single" w:sz="4" w:space="0" w:color="auto"/>
            </w:tcBorders>
            <w:shd w:val="clear" w:color="auto" w:fill="auto"/>
            <w:vAlign w:val="center"/>
            <w:hideMark/>
          </w:tcPr>
          <w:p w14:paraId="0D54A324"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31</w:t>
            </w:r>
          </w:p>
        </w:tc>
        <w:tc>
          <w:tcPr>
            <w:tcW w:w="1391" w:type="dxa"/>
            <w:tcBorders>
              <w:top w:val="nil"/>
              <w:left w:val="nil"/>
              <w:bottom w:val="single" w:sz="4" w:space="0" w:color="auto"/>
              <w:right w:val="single" w:sz="4" w:space="0" w:color="auto"/>
            </w:tcBorders>
            <w:shd w:val="clear" w:color="auto" w:fill="auto"/>
            <w:vAlign w:val="center"/>
            <w:hideMark/>
          </w:tcPr>
          <w:p w14:paraId="641D909F"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2. EÚ úplná harmonizácia</w:t>
            </w:r>
          </w:p>
        </w:tc>
        <w:tc>
          <w:tcPr>
            <w:tcW w:w="1031" w:type="dxa"/>
            <w:tcBorders>
              <w:top w:val="nil"/>
              <w:left w:val="nil"/>
              <w:bottom w:val="single" w:sz="4" w:space="0" w:color="auto"/>
              <w:right w:val="single" w:sz="4" w:space="0" w:color="auto"/>
            </w:tcBorders>
            <w:shd w:val="clear" w:color="auto" w:fill="auto"/>
            <w:vAlign w:val="center"/>
            <w:hideMark/>
          </w:tcPr>
          <w:p w14:paraId="29C213AF"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01.07.25</w:t>
            </w:r>
          </w:p>
        </w:tc>
        <w:tc>
          <w:tcPr>
            <w:tcW w:w="1495" w:type="dxa"/>
            <w:tcBorders>
              <w:top w:val="nil"/>
              <w:left w:val="nil"/>
              <w:bottom w:val="single" w:sz="4" w:space="0" w:color="auto"/>
              <w:right w:val="single" w:sz="4" w:space="0" w:color="auto"/>
            </w:tcBorders>
            <w:shd w:val="clear" w:color="auto" w:fill="auto"/>
            <w:vAlign w:val="center"/>
            <w:hideMark/>
          </w:tcPr>
          <w:p w14:paraId="0AEFC3FD"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Firmy - prevádzkovatelia regionálnych distribučných sústav</w:t>
            </w:r>
          </w:p>
        </w:tc>
        <w:tc>
          <w:tcPr>
            <w:tcW w:w="967" w:type="dxa"/>
            <w:tcBorders>
              <w:top w:val="nil"/>
              <w:left w:val="nil"/>
              <w:bottom w:val="single" w:sz="4" w:space="0" w:color="auto"/>
              <w:right w:val="single" w:sz="4" w:space="0" w:color="auto"/>
            </w:tcBorders>
            <w:shd w:val="clear" w:color="auto" w:fill="auto"/>
            <w:vAlign w:val="center"/>
            <w:hideMark/>
          </w:tcPr>
          <w:p w14:paraId="128C26E1" w14:textId="77777777" w:rsidR="00202A7D" w:rsidRPr="00202A7D" w:rsidRDefault="00202A7D" w:rsidP="00202A7D">
            <w:pPr>
              <w:spacing w:after="0" w:line="240" w:lineRule="auto"/>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3 </w:t>
            </w:r>
          </w:p>
        </w:tc>
        <w:tc>
          <w:tcPr>
            <w:tcW w:w="1158" w:type="dxa"/>
            <w:tcBorders>
              <w:top w:val="nil"/>
              <w:left w:val="nil"/>
              <w:bottom w:val="single" w:sz="4" w:space="0" w:color="auto"/>
              <w:right w:val="single" w:sz="4" w:space="0" w:color="auto"/>
            </w:tcBorders>
            <w:shd w:val="clear" w:color="auto" w:fill="auto"/>
            <w:vAlign w:val="center"/>
            <w:hideMark/>
          </w:tcPr>
          <w:p w14:paraId="247395E6"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18 750</w:t>
            </w:r>
          </w:p>
        </w:tc>
        <w:tc>
          <w:tcPr>
            <w:tcW w:w="1304" w:type="dxa"/>
            <w:tcBorders>
              <w:top w:val="nil"/>
              <w:left w:val="nil"/>
              <w:bottom w:val="single" w:sz="4" w:space="0" w:color="auto"/>
              <w:right w:val="single" w:sz="4" w:space="0" w:color="auto"/>
            </w:tcBorders>
            <w:shd w:val="clear" w:color="auto" w:fill="auto"/>
            <w:vAlign w:val="center"/>
            <w:hideMark/>
          </w:tcPr>
          <w:p w14:paraId="2B7471B7"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56 250</w:t>
            </w:r>
          </w:p>
        </w:tc>
        <w:tc>
          <w:tcPr>
            <w:tcW w:w="879" w:type="dxa"/>
            <w:tcBorders>
              <w:top w:val="nil"/>
              <w:left w:val="nil"/>
              <w:bottom w:val="single" w:sz="4" w:space="0" w:color="auto"/>
              <w:right w:val="single" w:sz="4" w:space="0" w:color="auto"/>
            </w:tcBorders>
            <w:shd w:val="clear" w:color="auto" w:fill="auto"/>
            <w:vAlign w:val="center"/>
            <w:hideMark/>
          </w:tcPr>
          <w:p w14:paraId="42E2E6FF"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In (zvyšuje náklady)</w:t>
            </w:r>
          </w:p>
        </w:tc>
        <w:tc>
          <w:tcPr>
            <w:tcW w:w="720" w:type="dxa"/>
            <w:tcBorders>
              <w:top w:val="nil"/>
              <w:left w:val="nil"/>
              <w:bottom w:val="single" w:sz="4" w:space="0" w:color="auto"/>
              <w:right w:val="single" w:sz="4" w:space="0" w:color="auto"/>
            </w:tcBorders>
            <w:shd w:val="clear" w:color="auto" w:fill="auto"/>
            <w:vAlign w:val="center"/>
            <w:hideMark/>
          </w:tcPr>
          <w:p w14:paraId="165DCE8A" w14:textId="77777777" w:rsidR="00202A7D" w:rsidRPr="00202A7D" w:rsidRDefault="00202A7D" w:rsidP="00202A7D">
            <w:pPr>
              <w:spacing w:after="0" w:line="240" w:lineRule="auto"/>
              <w:jc w:val="center"/>
              <w:rPr>
                <w:rFonts w:ascii="Times New Roman" w:eastAsia="Times New Roman" w:hAnsi="Times New Roman" w:cs="Times New Roman"/>
                <w:sz w:val="18"/>
                <w:szCs w:val="18"/>
                <w:lang w:eastAsia="sk-SK"/>
              </w:rPr>
            </w:pPr>
            <w:r w:rsidRPr="00202A7D">
              <w:rPr>
                <w:rFonts w:ascii="Times New Roman" w:eastAsia="Times New Roman" w:hAnsi="Times New Roman" w:cs="Times New Roman"/>
                <w:sz w:val="18"/>
                <w:szCs w:val="18"/>
                <w:lang w:eastAsia="sk-SK"/>
              </w:rPr>
              <w:t>0</w:t>
            </w:r>
          </w:p>
        </w:tc>
        <w:tc>
          <w:tcPr>
            <w:tcW w:w="680" w:type="dxa"/>
            <w:tcBorders>
              <w:top w:val="nil"/>
              <w:left w:val="nil"/>
              <w:bottom w:val="single" w:sz="4" w:space="0" w:color="auto"/>
              <w:right w:val="single" w:sz="4" w:space="0" w:color="auto"/>
            </w:tcBorders>
            <w:shd w:val="clear" w:color="auto" w:fill="auto"/>
            <w:vAlign w:val="center"/>
            <w:hideMark/>
          </w:tcPr>
          <w:p w14:paraId="7BD0726E"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60" w:type="dxa"/>
            <w:vAlign w:val="center"/>
            <w:hideMark/>
          </w:tcPr>
          <w:p w14:paraId="3041E394"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31FC8C1C" w14:textId="77777777" w:rsidTr="000737B2">
        <w:trPr>
          <w:trHeight w:val="2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FCD5EC4"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3</w:t>
            </w:r>
          </w:p>
        </w:tc>
        <w:tc>
          <w:tcPr>
            <w:tcW w:w="1960" w:type="dxa"/>
            <w:tcBorders>
              <w:top w:val="nil"/>
              <w:left w:val="nil"/>
              <w:bottom w:val="single" w:sz="4" w:space="0" w:color="auto"/>
              <w:right w:val="single" w:sz="4" w:space="0" w:color="auto"/>
            </w:tcBorders>
            <w:shd w:val="clear" w:color="auto" w:fill="auto"/>
            <w:vAlign w:val="center"/>
            <w:hideMark/>
          </w:tcPr>
          <w:p w14:paraId="3DCF6494"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Zdieľanie elektriny - odberatelia na NN mimo domácností</w:t>
            </w:r>
          </w:p>
        </w:tc>
        <w:tc>
          <w:tcPr>
            <w:tcW w:w="1209" w:type="dxa"/>
            <w:tcBorders>
              <w:top w:val="nil"/>
              <w:left w:val="nil"/>
              <w:bottom w:val="single" w:sz="4" w:space="0" w:color="auto"/>
              <w:right w:val="single" w:sz="4" w:space="0" w:color="auto"/>
            </w:tcBorders>
            <w:shd w:val="clear" w:color="auto" w:fill="auto"/>
            <w:vAlign w:val="center"/>
            <w:hideMark/>
          </w:tcPr>
          <w:p w14:paraId="4C4AB56B"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Zákon 251/2012 </w:t>
            </w:r>
            <w:proofErr w:type="spellStart"/>
            <w:r w:rsidRPr="00202A7D">
              <w:rPr>
                <w:rFonts w:ascii="Times New Roman" w:eastAsia="Times New Roman" w:hAnsi="Times New Roman" w:cs="Times New Roman"/>
                <w:color w:val="000000"/>
                <w:sz w:val="18"/>
                <w:szCs w:val="18"/>
                <w:lang w:eastAsia="sk-SK"/>
              </w:rPr>
              <w:t>Z.z</w:t>
            </w:r>
            <w:proofErr w:type="spellEnd"/>
            <w:r w:rsidRPr="00202A7D">
              <w:rPr>
                <w:rFonts w:ascii="Times New Roman" w:eastAsia="Times New Roman" w:hAnsi="Times New Roman" w:cs="Times New Roman"/>
                <w:color w:val="000000"/>
                <w:sz w:val="18"/>
                <w:szCs w:val="18"/>
                <w:lang w:eastAsia="sk-SK"/>
              </w:rPr>
              <w:t>.</w:t>
            </w:r>
          </w:p>
        </w:tc>
        <w:tc>
          <w:tcPr>
            <w:tcW w:w="1120" w:type="dxa"/>
            <w:tcBorders>
              <w:top w:val="nil"/>
              <w:left w:val="nil"/>
              <w:bottom w:val="single" w:sz="4" w:space="0" w:color="auto"/>
              <w:right w:val="single" w:sz="4" w:space="0" w:color="auto"/>
            </w:tcBorders>
            <w:shd w:val="clear" w:color="auto" w:fill="auto"/>
            <w:vAlign w:val="center"/>
            <w:hideMark/>
          </w:tcPr>
          <w:p w14:paraId="5AED26DC"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2, §  11a</w:t>
            </w:r>
          </w:p>
        </w:tc>
        <w:tc>
          <w:tcPr>
            <w:tcW w:w="1391" w:type="dxa"/>
            <w:tcBorders>
              <w:top w:val="nil"/>
              <w:left w:val="nil"/>
              <w:bottom w:val="single" w:sz="4" w:space="0" w:color="auto"/>
              <w:right w:val="single" w:sz="4" w:space="0" w:color="auto"/>
            </w:tcBorders>
            <w:shd w:val="clear" w:color="auto" w:fill="auto"/>
            <w:vAlign w:val="center"/>
            <w:hideMark/>
          </w:tcPr>
          <w:p w14:paraId="13BCE1D5"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2. EÚ úplná harmonizácia</w:t>
            </w:r>
          </w:p>
        </w:tc>
        <w:tc>
          <w:tcPr>
            <w:tcW w:w="1031" w:type="dxa"/>
            <w:tcBorders>
              <w:top w:val="nil"/>
              <w:left w:val="nil"/>
              <w:bottom w:val="single" w:sz="4" w:space="0" w:color="auto"/>
              <w:right w:val="single" w:sz="4" w:space="0" w:color="auto"/>
            </w:tcBorders>
            <w:shd w:val="clear" w:color="auto" w:fill="auto"/>
            <w:vAlign w:val="center"/>
            <w:hideMark/>
          </w:tcPr>
          <w:p w14:paraId="318F01BC"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01.07.25</w:t>
            </w:r>
          </w:p>
        </w:tc>
        <w:tc>
          <w:tcPr>
            <w:tcW w:w="1495" w:type="dxa"/>
            <w:tcBorders>
              <w:top w:val="nil"/>
              <w:left w:val="nil"/>
              <w:bottom w:val="single" w:sz="4" w:space="0" w:color="auto"/>
              <w:right w:val="single" w:sz="4" w:space="0" w:color="auto"/>
            </w:tcBorders>
            <w:shd w:val="clear" w:color="auto" w:fill="auto"/>
            <w:vAlign w:val="center"/>
            <w:hideMark/>
          </w:tcPr>
          <w:p w14:paraId="748444F1"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počet OOM</w:t>
            </w:r>
          </w:p>
        </w:tc>
        <w:tc>
          <w:tcPr>
            <w:tcW w:w="967" w:type="dxa"/>
            <w:tcBorders>
              <w:top w:val="nil"/>
              <w:left w:val="nil"/>
              <w:bottom w:val="single" w:sz="4" w:space="0" w:color="auto"/>
              <w:right w:val="single" w:sz="4" w:space="0" w:color="auto"/>
            </w:tcBorders>
            <w:shd w:val="clear" w:color="auto" w:fill="auto"/>
            <w:vAlign w:val="center"/>
            <w:hideMark/>
          </w:tcPr>
          <w:p w14:paraId="780D37C1" w14:textId="77777777" w:rsidR="00202A7D" w:rsidRPr="00202A7D" w:rsidRDefault="00202A7D" w:rsidP="00202A7D">
            <w:pPr>
              <w:spacing w:after="0" w:line="240" w:lineRule="auto"/>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11 401 </w:t>
            </w:r>
          </w:p>
        </w:tc>
        <w:tc>
          <w:tcPr>
            <w:tcW w:w="1158" w:type="dxa"/>
            <w:tcBorders>
              <w:top w:val="nil"/>
              <w:left w:val="nil"/>
              <w:bottom w:val="single" w:sz="4" w:space="0" w:color="auto"/>
              <w:right w:val="single" w:sz="4" w:space="0" w:color="auto"/>
            </w:tcBorders>
            <w:shd w:val="clear" w:color="auto" w:fill="auto"/>
            <w:vAlign w:val="center"/>
            <w:hideMark/>
          </w:tcPr>
          <w:p w14:paraId="245D991A"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41</w:t>
            </w:r>
          </w:p>
        </w:tc>
        <w:tc>
          <w:tcPr>
            <w:tcW w:w="1304" w:type="dxa"/>
            <w:tcBorders>
              <w:top w:val="nil"/>
              <w:left w:val="nil"/>
              <w:bottom w:val="single" w:sz="4" w:space="0" w:color="auto"/>
              <w:right w:val="single" w:sz="4" w:space="0" w:color="auto"/>
            </w:tcBorders>
            <w:shd w:val="clear" w:color="auto" w:fill="auto"/>
            <w:vAlign w:val="center"/>
            <w:hideMark/>
          </w:tcPr>
          <w:p w14:paraId="2BD6F380"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467 441</w:t>
            </w:r>
          </w:p>
        </w:tc>
        <w:tc>
          <w:tcPr>
            <w:tcW w:w="879" w:type="dxa"/>
            <w:tcBorders>
              <w:top w:val="nil"/>
              <w:left w:val="nil"/>
              <w:bottom w:val="single" w:sz="4" w:space="0" w:color="auto"/>
              <w:right w:val="single" w:sz="4" w:space="0" w:color="auto"/>
            </w:tcBorders>
            <w:shd w:val="clear" w:color="auto" w:fill="auto"/>
            <w:vAlign w:val="center"/>
            <w:hideMark/>
          </w:tcPr>
          <w:p w14:paraId="7FC9380A"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proofErr w:type="spellStart"/>
            <w:r w:rsidRPr="00202A7D">
              <w:rPr>
                <w:rFonts w:ascii="Times New Roman" w:eastAsia="Times New Roman" w:hAnsi="Times New Roman" w:cs="Times New Roman"/>
                <w:color w:val="000000"/>
                <w:sz w:val="18"/>
                <w:szCs w:val="18"/>
                <w:lang w:eastAsia="sk-SK"/>
              </w:rPr>
              <w:t>Out</w:t>
            </w:r>
            <w:proofErr w:type="spellEnd"/>
            <w:r w:rsidRPr="00202A7D">
              <w:rPr>
                <w:rFonts w:ascii="Times New Roman" w:eastAsia="Times New Roman" w:hAnsi="Times New Roman" w:cs="Times New Roman"/>
                <w:color w:val="000000"/>
                <w:sz w:val="18"/>
                <w:szCs w:val="18"/>
                <w:lang w:eastAsia="sk-SK"/>
              </w:rPr>
              <w:t xml:space="preserve"> (znižuje náklady)</w:t>
            </w:r>
          </w:p>
        </w:tc>
        <w:tc>
          <w:tcPr>
            <w:tcW w:w="720" w:type="dxa"/>
            <w:tcBorders>
              <w:top w:val="nil"/>
              <w:left w:val="nil"/>
              <w:bottom w:val="single" w:sz="4" w:space="0" w:color="auto"/>
              <w:right w:val="single" w:sz="4" w:space="0" w:color="auto"/>
            </w:tcBorders>
            <w:shd w:val="clear" w:color="auto" w:fill="auto"/>
            <w:vAlign w:val="center"/>
            <w:hideMark/>
          </w:tcPr>
          <w:p w14:paraId="47F30171" w14:textId="77777777" w:rsidR="00202A7D" w:rsidRPr="00202A7D" w:rsidRDefault="00202A7D" w:rsidP="00202A7D">
            <w:pPr>
              <w:spacing w:after="0" w:line="240" w:lineRule="auto"/>
              <w:jc w:val="center"/>
              <w:rPr>
                <w:rFonts w:ascii="Times New Roman" w:eastAsia="Times New Roman" w:hAnsi="Times New Roman" w:cs="Times New Roman"/>
                <w:sz w:val="18"/>
                <w:szCs w:val="18"/>
                <w:lang w:eastAsia="sk-SK"/>
              </w:rPr>
            </w:pPr>
            <w:r w:rsidRPr="00202A7D">
              <w:rPr>
                <w:rFonts w:ascii="Times New Roman" w:eastAsia="Times New Roman" w:hAnsi="Times New Roman" w:cs="Times New Roman"/>
                <w:sz w:val="18"/>
                <w:szCs w:val="18"/>
                <w:lang w:eastAsia="sk-SK"/>
              </w:rPr>
              <w:t>0</w:t>
            </w:r>
          </w:p>
        </w:tc>
        <w:tc>
          <w:tcPr>
            <w:tcW w:w="680" w:type="dxa"/>
            <w:tcBorders>
              <w:top w:val="nil"/>
              <w:left w:val="nil"/>
              <w:bottom w:val="single" w:sz="4" w:space="0" w:color="auto"/>
              <w:right w:val="single" w:sz="4" w:space="0" w:color="auto"/>
            </w:tcBorders>
            <w:shd w:val="clear" w:color="auto" w:fill="auto"/>
            <w:vAlign w:val="center"/>
            <w:hideMark/>
          </w:tcPr>
          <w:p w14:paraId="132FFD68"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60" w:type="dxa"/>
            <w:vAlign w:val="center"/>
            <w:hideMark/>
          </w:tcPr>
          <w:p w14:paraId="722B00AE"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5F3CECA0" w14:textId="77777777" w:rsidTr="000737B2">
        <w:trPr>
          <w:trHeight w:val="2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598DEE6"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4</w:t>
            </w:r>
          </w:p>
        </w:tc>
        <w:tc>
          <w:tcPr>
            <w:tcW w:w="1960" w:type="dxa"/>
            <w:tcBorders>
              <w:top w:val="nil"/>
              <w:left w:val="nil"/>
              <w:bottom w:val="single" w:sz="4" w:space="0" w:color="auto"/>
              <w:right w:val="single" w:sz="4" w:space="0" w:color="auto"/>
            </w:tcBorders>
            <w:shd w:val="clear" w:color="auto" w:fill="auto"/>
            <w:vAlign w:val="center"/>
            <w:hideMark/>
          </w:tcPr>
          <w:p w14:paraId="7170BC6F"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Zdieľanie elektriny - odberatelia na VN</w:t>
            </w:r>
          </w:p>
        </w:tc>
        <w:tc>
          <w:tcPr>
            <w:tcW w:w="1209" w:type="dxa"/>
            <w:tcBorders>
              <w:top w:val="nil"/>
              <w:left w:val="nil"/>
              <w:bottom w:val="single" w:sz="4" w:space="0" w:color="auto"/>
              <w:right w:val="single" w:sz="4" w:space="0" w:color="auto"/>
            </w:tcBorders>
            <w:shd w:val="clear" w:color="auto" w:fill="auto"/>
            <w:vAlign w:val="center"/>
            <w:hideMark/>
          </w:tcPr>
          <w:p w14:paraId="302F6306"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Zákon 251/2012 </w:t>
            </w:r>
            <w:proofErr w:type="spellStart"/>
            <w:r w:rsidRPr="00202A7D">
              <w:rPr>
                <w:rFonts w:ascii="Times New Roman" w:eastAsia="Times New Roman" w:hAnsi="Times New Roman" w:cs="Times New Roman"/>
                <w:color w:val="000000"/>
                <w:sz w:val="18"/>
                <w:szCs w:val="18"/>
                <w:lang w:eastAsia="sk-SK"/>
              </w:rPr>
              <w:t>Z.z</w:t>
            </w:r>
            <w:proofErr w:type="spellEnd"/>
            <w:r w:rsidRPr="00202A7D">
              <w:rPr>
                <w:rFonts w:ascii="Times New Roman" w:eastAsia="Times New Roman" w:hAnsi="Times New Roman" w:cs="Times New Roman"/>
                <w:color w:val="000000"/>
                <w:sz w:val="18"/>
                <w:szCs w:val="18"/>
                <w:lang w:eastAsia="sk-SK"/>
              </w:rPr>
              <w:t>.</w:t>
            </w:r>
          </w:p>
        </w:tc>
        <w:tc>
          <w:tcPr>
            <w:tcW w:w="1120" w:type="dxa"/>
            <w:tcBorders>
              <w:top w:val="nil"/>
              <w:left w:val="nil"/>
              <w:bottom w:val="single" w:sz="4" w:space="0" w:color="auto"/>
              <w:right w:val="single" w:sz="4" w:space="0" w:color="auto"/>
            </w:tcBorders>
            <w:shd w:val="clear" w:color="auto" w:fill="auto"/>
            <w:vAlign w:val="center"/>
            <w:hideMark/>
          </w:tcPr>
          <w:p w14:paraId="5E8EB8FB"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2, §  11a</w:t>
            </w:r>
          </w:p>
        </w:tc>
        <w:tc>
          <w:tcPr>
            <w:tcW w:w="1391" w:type="dxa"/>
            <w:tcBorders>
              <w:top w:val="nil"/>
              <w:left w:val="nil"/>
              <w:bottom w:val="single" w:sz="4" w:space="0" w:color="auto"/>
              <w:right w:val="single" w:sz="4" w:space="0" w:color="auto"/>
            </w:tcBorders>
            <w:shd w:val="clear" w:color="auto" w:fill="auto"/>
            <w:vAlign w:val="center"/>
            <w:hideMark/>
          </w:tcPr>
          <w:p w14:paraId="0464E7FD"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2. EÚ úplná harmonizácia</w:t>
            </w:r>
          </w:p>
        </w:tc>
        <w:tc>
          <w:tcPr>
            <w:tcW w:w="1031" w:type="dxa"/>
            <w:tcBorders>
              <w:top w:val="nil"/>
              <w:left w:val="nil"/>
              <w:bottom w:val="single" w:sz="4" w:space="0" w:color="auto"/>
              <w:right w:val="single" w:sz="4" w:space="0" w:color="auto"/>
            </w:tcBorders>
            <w:shd w:val="clear" w:color="auto" w:fill="auto"/>
            <w:vAlign w:val="center"/>
            <w:hideMark/>
          </w:tcPr>
          <w:p w14:paraId="597D740C"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01.07.25</w:t>
            </w:r>
          </w:p>
        </w:tc>
        <w:tc>
          <w:tcPr>
            <w:tcW w:w="1495" w:type="dxa"/>
            <w:tcBorders>
              <w:top w:val="nil"/>
              <w:left w:val="nil"/>
              <w:bottom w:val="single" w:sz="4" w:space="0" w:color="auto"/>
              <w:right w:val="single" w:sz="4" w:space="0" w:color="auto"/>
            </w:tcBorders>
            <w:shd w:val="clear" w:color="auto" w:fill="auto"/>
            <w:vAlign w:val="center"/>
            <w:hideMark/>
          </w:tcPr>
          <w:p w14:paraId="3A7C841A"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počet OOM</w:t>
            </w:r>
          </w:p>
        </w:tc>
        <w:tc>
          <w:tcPr>
            <w:tcW w:w="967" w:type="dxa"/>
            <w:tcBorders>
              <w:top w:val="nil"/>
              <w:left w:val="nil"/>
              <w:bottom w:val="single" w:sz="4" w:space="0" w:color="auto"/>
              <w:right w:val="single" w:sz="4" w:space="0" w:color="auto"/>
            </w:tcBorders>
            <w:shd w:val="clear" w:color="auto" w:fill="auto"/>
            <w:vAlign w:val="center"/>
            <w:hideMark/>
          </w:tcPr>
          <w:p w14:paraId="2BB60148" w14:textId="77777777" w:rsidR="00202A7D" w:rsidRPr="00202A7D" w:rsidRDefault="00202A7D" w:rsidP="00202A7D">
            <w:pPr>
              <w:spacing w:after="0" w:line="240" w:lineRule="auto"/>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 1 300 </w:t>
            </w:r>
          </w:p>
        </w:tc>
        <w:tc>
          <w:tcPr>
            <w:tcW w:w="1158" w:type="dxa"/>
            <w:tcBorders>
              <w:top w:val="nil"/>
              <w:left w:val="nil"/>
              <w:bottom w:val="single" w:sz="4" w:space="0" w:color="auto"/>
              <w:right w:val="single" w:sz="4" w:space="0" w:color="auto"/>
            </w:tcBorders>
            <w:shd w:val="clear" w:color="auto" w:fill="auto"/>
            <w:vAlign w:val="center"/>
            <w:hideMark/>
          </w:tcPr>
          <w:p w14:paraId="25FB564C"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750</w:t>
            </w:r>
          </w:p>
        </w:tc>
        <w:tc>
          <w:tcPr>
            <w:tcW w:w="1304" w:type="dxa"/>
            <w:tcBorders>
              <w:top w:val="nil"/>
              <w:left w:val="nil"/>
              <w:bottom w:val="single" w:sz="4" w:space="0" w:color="auto"/>
              <w:right w:val="single" w:sz="4" w:space="0" w:color="auto"/>
            </w:tcBorders>
            <w:shd w:val="clear" w:color="auto" w:fill="auto"/>
            <w:vAlign w:val="center"/>
            <w:hideMark/>
          </w:tcPr>
          <w:p w14:paraId="1633AFD3"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975 000</w:t>
            </w:r>
          </w:p>
        </w:tc>
        <w:tc>
          <w:tcPr>
            <w:tcW w:w="879" w:type="dxa"/>
            <w:tcBorders>
              <w:top w:val="nil"/>
              <w:left w:val="nil"/>
              <w:bottom w:val="single" w:sz="4" w:space="0" w:color="auto"/>
              <w:right w:val="single" w:sz="4" w:space="0" w:color="auto"/>
            </w:tcBorders>
            <w:shd w:val="clear" w:color="auto" w:fill="auto"/>
            <w:vAlign w:val="center"/>
            <w:hideMark/>
          </w:tcPr>
          <w:p w14:paraId="372136EC"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proofErr w:type="spellStart"/>
            <w:r w:rsidRPr="00202A7D">
              <w:rPr>
                <w:rFonts w:ascii="Times New Roman" w:eastAsia="Times New Roman" w:hAnsi="Times New Roman" w:cs="Times New Roman"/>
                <w:color w:val="000000"/>
                <w:sz w:val="18"/>
                <w:szCs w:val="18"/>
                <w:lang w:eastAsia="sk-SK"/>
              </w:rPr>
              <w:t>Out</w:t>
            </w:r>
            <w:proofErr w:type="spellEnd"/>
            <w:r w:rsidRPr="00202A7D">
              <w:rPr>
                <w:rFonts w:ascii="Times New Roman" w:eastAsia="Times New Roman" w:hAnsi="Times New Roman" w:cs="Times New Roman"/>
                <w:color w:val="000000"/>
                <w:sz w:val="18"/>
                <w:szCs w:val="18"/>
                <w:lang w:eastAsia="sk-SK"/>
              </w:rPr>
              <w:t xml:space="preserve"> (znižuje náklady)</w:t>
            </w:r>
          </w:p>
        </w:tc>
        <w:tc>
          <w:tcPr>
            <w:tcW w:w="720" w:type="dxa"/>
            <w:tcBorders>
              <w:top w:val="nil"/>
              <w:left w:val="nil"/>
              <w:bottom w:val="single" w:sz="4" w:space="0" w:color="auto"/>
              <w:right w:val="single" w:sz="4" w:space="0" w:color="auto"/>
            </w:tcBorders>
            <w:shd w:val="clear" w:color="auto" w:fill="auto"/>
            <w:vAlign w:val="center"/>
            <w:hideMark/>
          </w:tcPr>
          <w:p w14:paraId="6F6BB521" w14:textId="77777777" w:rsidR="00202A7D" w:rsidRPr="00202A7D" w:rsidRDefault="00202A7D" w:rsidP="00202A7D">
            <w:pPr>
              <w:spacing w:after="0" w:line="240" w:lineRule="auto"/>
              <w:jc w:val="center"/>
              <w:rPr>
                <w:rFonts w:ascii="Times New Roman" w:eastAsia="Times New Roman" w:hAnsi="Times New Roman" w:cs="Times New Roman"/>
                <w:sz w:val="18"/>
                <w:szCs w:val="18"/>
                <w:lang w:eastAsia="sk-SK"/>
              </w:rPr>
            </w:pPr>
            <w:r w:rsidRPr="00202A7D">
              <w:rPr>
                <w:rFonts w:ascii="Times New Roman" w:eastAsia="Times New Roman" w:hAnsi="Times New Roman" w:cs="Times New Roman"/>
                <w:sz w:val="18"/>
                <w:szCs w:val="18"/>
                <w:lang w:eastAsia="sk-SK"/>
              </w:rPr>
              <w:t>0</w:t>
            </w:r>
          </w:p>
        </w:tc>
        <w:tc>
          <w:tcPr>
            <w:tcW w:w="680" w:type="dxa"/>
            <w:tcBorders>
              <w:top w:val="nil"/>
              <w:left w:val="nil"/>
              <w:bottom w:val="single" w:sz="4" w:space="0" w:color="auto"/>
              <w:right w:val="single" w:sz="4" w:space="0" w:color="auto"/>
            </w:tcBorders>
            <w:shd w:val="clear" w:color="auto" w:fill="auto"/>
            <w:vAlign w:val="center"/>
            <w:hideMark/>
          </w:tcPr>
          <w:p w14:paraId="53AF8648"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60" w:type="dxa"/>
            <w:vAlign w:val="center"/>
            <w:hideMark/>
          </w:tcPr>
          <w:p w14:paraId="42C6D796"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r w:rsidR="00202A7D" w:rsidRPr="00202A7D" w14:paraId="16C1C1A5" w14:textId="77777777" w:rsidTr="000737B2">
        <w:trPr>
          <w:trHeight w:val="2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8941E47"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5</w:t>
            </w:r>
          </w:p>
        </w:tc>
        <w:tc>
          <w:tcPr>
            <w:tcW w:w="1960" w:type="dxa"/>
            <w:tcBorders>
              <w:top w:val="nil"/>
              <w:left w:val="nil"/>
              <w:bottom w:val="single" w:sz="4" w:space="0" w:color="auto"/>
              <w:right w:val="single" w:sz="4" w:space="0" w:color="auto"/>
            </w:tcBorders>
            <w:shd w:val="clear" w:color="auto" w:fill="auto"/>
            <w:vAlign w:val="center"/>
            <w:hideMark/>
          </w:tcPr>
          <w:p w14:paraId="3A6AE620"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209" w:type="dxa"/>
            <w:tcBorders>
              <w:top w:val="nil"/>
              <w:left w:val="nil"/>
              <w:bottom w:val="single" w:sz="4" w:space="0" w:color="auto"/>
              <w:right w:val="single" w:sz="4" w:space="0" w:color="auto"/>
            </w:tcBorders>
            <w:shd w:val="clear" w:color="auto" w:fill="auto"/>
            <w:vAlign w:val="center"/>
            <w:hideMark/>
          </w:tcPr>
          <w:p w14:paraId="5D56E414"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120" w:type="dxa"/>
            <w:tcBorders>
              <w:top w:val="nil"/>
              <w:left w:val="nil"/>
              <w:bottom w:val="single" w:sz="4" w:space="0" w:color="auto"/>
              <w:right w:val="single" w:sz="4" w:space="0" w:color="auto"/>
            </w:tcBorders>
            <w:shd w:val="clear" w:color="auto" w:fill="auto"/>
            <w:vAlign w:val="center"/>
            <w:hideMark/>
          </w:tcPr>
          <w:p w14:paraId="6BC9F2DD"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391" w:type="dxa"/>
            <w:tcBorders>
              <w:top w:val="nil"/>
              <w:left w:val="nil"/>
              <w:bottom w:val="single" w:sz="4" w:space="0" w:color="auto"/>
              <w:right w:val="single" w:sz="4" w:space="0" w:color="auto"/>
            </w:tcBorders>
            <w:shd w:val="clear" w:color="auto" w:fill="auto"/>
            <w:vAlign w:val="center"/>
            <w:hideMark/>
          </w:tcPr>
          <w:p w14:paraId="444433C9"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vyberte</w:t>
            </w:r>
          </w:p>
        </w:tc>
        <w:tc>
          <w:tcPr>
            <w:tcW w:w="1031" w:type="dxa"/>
            <w:tcBorders>
              <w:top w:val="nil"/>
              <w:left w:val="nil"/>
              <w:bottom w:val="single" w:sz="4" w:space="0" w:color="auto"/>
              <w:right w:val="single" w:sz="4" w:space="0" w:color="auto"/>
            </w:tcBorders>
            <w:shd w:val="clear" w:color="auto" w:fill="auto"/>
            <w:vAlign w:val="center"/>
            <w:hideMark/>
          </w:tcPr>
          <w:p w14:paraId="6A09E912"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w:t>
            </w:r>
          </w:p>
        </w:tc>
        <w:tc>
          <w:tcPr>
            <w:tcW w:w="1495" w:type="dxa"/>
            <w:tcBorders>
              <w:top w:val="nil"/>
              <w:left w:val="nil"/>
              <w:bottom w:val="single" w:sz="4" w:space="0" w:color="auto"/>
              <w:right w:val="single" w:sz="4" w:space="0" w:color="auto"/>
            </w:tcBorders>
            <w:shd w:val="clear" w:color="auto" w:fill="auto"/>
            <w:vAlign w:val="center"/>
            <w:hideMark/>
          </w:tcPr>
          <w:p w14:paraId="24452D0A"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967" w:type="dxa"/>
            <w:tcBorders>
              <w:top w:val="nil"/>
              <w:left w:val="nil"/>
              <w:bottom w:val="single" w:sz="4" w:space="0" w:color="auto"/>
              <w:right w:val="single" w:sz="4" w:space="0" w:color="auto"/>
            </w:tcBorders>
            <w:shd w:val="clear" w:color="auto" w:fill="auto"/>
            <w:vAlign w:val="center"/>
            <w:hideMark/>
          </w:tcPr>
          <w:p w14:paraId="753A7F4D" w14:textId="77777777" w:rsidR="00202A7D" w:rsidRPr="00202A7D" w:rsidRDefault="00202A7D" w:rsidP="00202A7D">
            <w:pPr>
              <w:spacing w:after="0" w:line="240" w:lineRule="auto"/>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 xml:space="preserve">                -   </w:t>
            </w:r>
          </w:p>
        </w:tc>
        <w:tc>
          <w:tcPr>
            <w:tcW w:w="1158" w:type="dxa"/>
            <w:tcBorders>
              <w:top w:val="nil"/>
              <w:left w:val="nil"/>
              <w:bottom w:val="single" w:sz="4" w:space="0" w:color="auto"/>
              <w:right w:val="single" w:sz="4" w:space="0" w:color="auto"/>
            </w:tcBorders>
            <w:shd w:val="clear" w:color="auto" w:fill="auto"/>
            <w:vAlign w:val="center"/>
            <w:hideMark/>
          </w:tcPr>
          <w:p w14:paraId="6A355B75"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304" w:type="dxa"/>
            <w:tcBorders>
              <w:top w:val="nil"/>
              <w:left w:val="nil"/>
              <w:bottom w:val="single" w:sz="4" w:space="0" w:color="auto"/>
              <w:right w:val="single" w:sz="4" w:space="0" w:color="auto"/>
            </w:tcBorders>
            <w:shd w:val="clear" w:color="auto" w:fill="auto"/>
            <w:vAlign w:val="center"/>
            <w:hideMark/>
          </w:tcPr>
          <w:p w14:paraId="579F9DF6"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879" w:type="dxa"/>
            <w:tcBorders>
              <w:top w:val="nil"/>
              <w:left w:val="nil"/>
              <w:bottom w:val="single" w:sz="4" w:space="0" w:color="auto"/>
              <w:right w:val="single" w:sz="4" w:space="0" w:color="auto"/>
            </w:tcBorders>
            <w:shd w:val="clear" w:color="auto" w:fill="auto"/>
            <w:vAlign w:val="center"/>
            <w:hideMark/>
          </w:tcPr>
          <w:p w14:paraId="7AE9B02B"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vyberte</w:t>
            </w:r>
          </w:p>
        </w:tc>
        <w:tc>
          <w:tcPr>
            <w:tcW w:w="720" w:type="dxa"/>
            <w:tcBorders>
              <w:top w:val="nil"/>
              <w:left w:val="nil"/>
              <w:bottom w:val="single" w:sz="4" w:space="0" w:color="auto"/>
              <w:right w:val="single" w:sz="4" w:space="0" w:color="auto"/>
            </w:tcBorders>
            <w:shd w:val="clear" w:color="auto" w:fill="auto"/>
            <w:vAlign w:val="center"/>
            <w:hideMark/>
          </w:tcPr>
          <w:p w14:paraId="0146225B" w14:textId="77777777" w:rsidR="00202A7D" w:rsidRPr="00202A7D" w:rsidRDefault="00202A7D" w:rsidP="00202A7D">
            <w:pPr>
              <w:spacing w:after="0" w:line="240" w:lineRule="auto"/>
              <w:jc w:val="center"/>
              <w:rPr>
                <w:rFonts w:ascii="Times New Roman" w:eastAsia="Times New Roman" w:hAnsi="Times New Roman" w:cs="Times New Roman"/>
                <w:sz w:val="18"/>
                <w:szCs w:val="18"/>
                <w:lang w:eastAsia="sk-SK"/>
              </w:rPr>
            </w:pPr>
            <w:r w:rsidRPr="00202A7D">
              <w:rPr>
                <w:rFonts w:ascii="Times New Roman" w:eastAsia="Times New Roman" w:hAnsi="Times New Roman" w:cs="Times New Roman"/>
                <w:sz w:val="18"/>
                <w:szCs w:val="18"/>
                <w:lang w:eastAsia="sk-SK"/>
              </w:rPr>
              <w:t>0</w:t>
            </w:r>
          </w:p>
        </w:tc>
        <w:tc>
          <w:tcPr>
            <w:tcW w:w="680" w:type="dxa"/>
            <w:tcBorders>
              <w:top w:val="nil"/>
              <w:left w:val="nil"/>
              <w:bottom w:val="single" w:sz="4" w:space="0" w:color="auto"/>
              <w:right w:val="single" w:sz="4" w:space="0" w:color="auto"/>
            </w:tcBorders>
            <w:shd w:val="clear" w:color="auto" w:fill="auto"/>
            <w:vAlign w:val="center"/>
            <w:hideMark/>
          </w:tcPr>
          <w:p w14:paraId="4207ADCD" w14:textId="77777777" w:rsidR="00202A7D" w:rsidRPr="00202A7D" w:rsidRDefault="00202A7D" w:rsidP="00202A7D">
            <w:pPr>
              <w:spacing w:after="0" w:line="240" w:lineRule="auto"/>
              <w:jc w:val="center"/>
              <w:rPr>
                <w:rFonts w:ascii="Times New Roman" w:eastAsia="Times New Roman" w:hAnsi="Times New Roman" w:cs="Times New Roman"/>
                <w:color w:val="000000"/>
                <w:sz w:val="18"/>
                <w:szCs w:val="18"/>
                <w:lang w:eastAsia="sk-SK"/>
              </w:rPr>
            </w:pPr>
            <w:r w:rsidRPr="00202A7D">
              <w:rPr>
                <w:rFonts w:ascii="Times New Roman" w:eastAsia="Times New Roman" w:hAnsi="Times New Roman" w:cs="Times New Roman"/>
                <w:color w:val="000000"/>
                <w:sz w:val="18"/>
                <w:szCs w:val="18"/>
                <w:lang w:eastAsia="sk-SK"/>
              </w:rPr>
              <w:t>0</w:t>
            </w:r>
          </w:p>
        </w:tc>
        <w:tc>
          <w:tcPr>
            <w:tcW w:w="160" w:type="dxa"/>
            <w:vAlign w:val="center"/>
            <w:hideMark/>
          </w:tcPr>
          <w:p w14:paraId="6E1831B3" w14:textId="77777777" w:rsidR="00202A7D" w:rsidRPr="00202A7D" w:rsidRDefault="00202A7D" w:rsidP="00202A7D">
            <w:pPr>
              <w:spacing w:after="0" w:line="240" w:lineRule="auto"/>
              <w:rPr>
                <w:rFonts w:ascii="Times New Roman" w:eastAsia="Times New Roman" w:hAnsi="Times New Roman" w:cs="Times New Roman"/>
                <w:sz w:val="18"/>
                <w:szCs w:val="18"/>
                <w:lang w:eastAsia="sk-SK"/>
              </w:rPr>
            </w:pPr>
          </w:p>
        </w:tc>
      </w:tr>
    </w:tbl>
    <w:p w14:paraId="54E11D2A" w14:textId="77777777" w:rsidR="00202A7D" w:rsidRPr="00202A7D" w:rsidRDefault="00202A7D" w:rsidP="00202A7D">
      <w:pPr>
        <w:jc w:val="both"/>
        <w:rPr>
          <w:rFonts w:ascii="Times New Roman" w:eastAsia="Calibri" w:hAnsi="Times New Roman" w:cs="Times New Roman"/>
          <w:b/>
          <w:bCs/>
          <w:i/>
          <w:sz w:val="24"/>
          <w:szCs w:val="24"/>
        </w:rPr>
        <w:sectPr w:rsidR="00202A7D" w:rsidRPr="00202A7D" w:rsidSect="00723F1D">
          <w:pgSz w:w="16838" w:h="11906" w:orient="landscape"/>
          <w:pgMar w:top="1417" w:right="1417" w:bottom="1417" w:left="1417" w:header="708" w:footer="708" w:gutter="0"/>
          <w:cols w:space="708"/>
          <w:docGrid w:linePitch="360"/>
        </w:sectPr>
      </w:pPr>
    </w:p>
    <w:p w14:paraId="1105C25E" w14:textId="77777777" w:rsidR="00202A7D" w:rsidRPr="00202A7D" w:rsidRDefault="00202A7D" w:rsidP="00202A7D">
      <w:pPr>
        <w:jc w:val="both"/>
        <w:rPr>
          <w:rFonts w:ascii="Times New Roman" w:eastAsia="Calibri" w:hAnsi="Times New Roman" w:cs="Times New Roman"/>
          <w:b/>
          <w:bCs/>
          <w:i/>
          <w:sz w:val="24"/>
          <w:szCs w:val="24"/>
          <w:u w:val="single"/>
        </w:rPr>
      </w:pPr>
      <w:r w:rsidRPr="00202A7D">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14:paraId="6757DE5E" w14:textId="77777777" w:rsidR="00202A7D" w:rsidRPr="00202A7D" w:rsidRDefault="00202A7D" w:rsidP="00202A7D">
      <w:pPr>
        <w:jc w:val="both"/>
        <w:rPr>
          <w:rFonts w:ascii="Times New Roman" w:eastAsia="Calibri" w:hAnsi="Times New Roman" w:cs="Times New Roman"/>
          <w:bCs/>
          <w:i/>
          <w:iCs/>
          <w:color w:val="000000"/>
          <w:sz w:val="24"/>
          <w:szCs w:val="24"/>
        </w:rPr>
      </w:pPr>
      <w:r w:rsidRPr="00202A7D">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202A7D">
        <w:rPr>
          <w:rFonts w:ascii="Times New Roman" w:eastAsia="Calibri" w:hAnsi="Times New Roman" w:cs="Times New Roman"/>
          <w:bCs/>
          <w:i/>
          <w:iCs/>
          <w:color w:val="000000"/>
          <w:sz w:val="24"/>
          <w:szCs w:val="24"/>
        </w:rPr>
        <w:t>link</w:t>
      </w:r>
      <w:proofErr w:type="spellEnd"/>
      <w:r w:rsidRPr="00202A7D">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202A7D">
        <w:rPr>
          <w:rFonts w:ascii="Times New Roman" w:eastAsia="Calibri" w:hAnsi="Times New Roman" w:cs="Times New Roman"/>
          <w:bCs/>
          <w:i/>
          <w:iCs/>
          <w:color w:val="000000"/>
          <w:sz w:val="24"/>
          <w:szCs w:val="24"/>
        </w:rPr>
        <w:t>externality</w:t>
      </w:r>
      <w:proofErr w:type="spellEnd"/>
      <w:r w:rsidRPr="00202A7D">
        <w:rPr>
          <w:rFonts w:ascii="Times New Roman" w:eastAsia="Calibri" w:hAnsi="Times New Roman" w:cs="Times New Roman"/>
          <w:bCs/>
          <w:i/>
          <w:iCs/>
          <w:color w:val="000000"/>
          <w:sz w:val="24"/>
          <w:szCs w:val="24"/>
        </w:rPr>
        <w:t xml:space="preserve">, B. Iné poplatky, C. Sankcie, D. Nepriame finančné náklady, E. Administratívne náklady). Rozčleňte ich a vypočítajte v súlade s metodickým postupom. </w:t>
      </w:r>
    </w:p>
    <w:p w14:paraId="25CE26FB" w14:textId="77777777" w:rsidR="00202A7D" w:rsidRPr="00202A7D" w:rsidRDefault="00202A7D" w:rsidP="00202A7D">
      <w:pPr>
        <w:rPr>
          <w:rFonts w:ascii="Times New Roman" w:eastAsia="Calibri" w:hAnsi="Times New Roman" w:cs="Times New Roman"/>
          <w:b/>
          <w:bCs/>
          <w:i/>
          <w:sz w:val="24"/>
          <w:szCs w:val="24"/>
        </w:rPr>
      </w:pPr>
      <w:r w:rsidRPr="00202A7D">
        <w:rPr>
          <w:rFonts w:ascii="Times New Roman" w:eastAsia="Calibri" w:hAnsi="Times New Roman" w:cs="Times New Roman"/>
          <w:b/>
          <w:bCs/>
          <w:i/>
          <w:sz w:val="24"/>
          <w:szCs w:val="24"/>
        </w:rPr>
        <w:t>1. Zavedenie mechanizmu kreditov pre odvetvie dopravy</w:t>
      </w:r>
    </w:p>
    <w:p w14:paraId="4911EC8C" w14:textId="77777777" w:rsidR="00202A7D" w:rsidRPr="00202A7D" w:rsidRDefault="00202A7D" w:rsidP="00202A7D">
      <w:pPr>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Zákon zavádza mechanizmus kreditov vydávaných na elektrinu z obnoviteľných zdrojov využívanú v doprave. Cieľom úpravy je splniť požiadavky európskej legislatívy na dekarbonizáciu dopravy. Členské štáty musia do svojich vnútroštátnych právnych rámcov začleniť kreditný trh (pre verejné a prípadne súkromné ​​dobíjanie), aby umožnili hospodárskym subjektom, ktoré dodávajú elektrinu z obnoviteľných zdrojov prispieť k plneniu povinnosti stanovenej jednotlivými členskými štátmi pre dodávateľov palív na svojom území. </w:t>
      </w:r>
    </w:p>
    <w:p w14:paraId="7787A810" w14:textId="77777777" w:rsidR="00202A7D" w:rsidRPr="00202A7D" w:rsidRDefault="00202A7D" w:rsidP="00202A7D">
      <w:pPr>
        <w:jc w:val="both"/>
        <w:rPr>
          <w:rFonts w:ascii="Times New Roman" w:eastAsia="Calibri" w:hAnsi="Times New Roman" w:cs="Times New Roman"/>
          <w:bCs/>
          <w:i/>
          <w:iCs/>
          <w:color w:val="000000"/>
          <w:sz w:val="24"/>
          <w:szCs w:val="24"/>
        </w:rPr>
      </w:pPr>
      <w:r w:rsidRPr="00202A7D">
        <w:rPr>
          <w:rFonts w:ascii="Times New Roman" w:eastAsia="Calibri" w:hAnsi="Times New Roman" w:cs="Times New Roman"/>
          <w:i/>
          <w:sz w:val="24"/>
          <w:szCs w:val="24"/>
        </w:rPr>
        <w:t xml:space="preserve">Kredity budú vydávané na množstvo elektriny z obnoviteľných zdrojov energie, ktoré bolo v bilančnom období vyrobené držiteľom povolenia na výrobu elektriny z obnoviteľných zdrojov, na ktoré bolo vydané povolenie na výrobu elektriny, pripojené v  odbernom mieste a odovzdávacom mieste, v ktorom je súčasne pripojená nabíjacia stanica. Za bilančné obdobie sa považuje obdobie jedného kalendárneho mesiaca. Celý systém správy, evidencie, bilancie a súvisiaceho obchodovania s kreditmi bude spravovať Organizátor krátkodobého trhu s elektrinou, ktorý už spravuje podobný systém záruk pôvodu, ktoré sú následne obchodované v aukciách organizovaných Organizátorom krátkodobého trhu s elektrinou („OKTE“). Z toho dôvodu vzniknú na strane OKTE náklady na úpravy IT systémov tak, aby sa umožnila evidencia a obchodovanie s kreditmi. Odhadované náklady sú na úrovni 320 000€. Zároveň sa ale očakáva, že táto zmena prinesie aj zníženie nákladov na strane prevádzkovateľov nabíjacích bodov a umožní podporiť rozvoj nabíjacej infraštruktúry pre elektrické autá. Detailnejšie vyčíslenie zníženia nákladov pre subjekty na Slovensku zatiaľ nie je možné vyčísliť ale skúsenosti zo zahraničia, kde takýto kreditný systém už bol zavedený a funguje (napr. Holandsko, Nemecko), ukazujú, že pri priemerných hodnotách kreditu vo výške medzi 0,03 –0,06 €/kWh a priemernej cene dobíjania bežnou rýchlosťou okolo 0,50 €/kWh, by samotná cena kreditu pokryla približne 10 % z ceny elektriny účtovanej vodičovi elektrického vozidla prevádzkovateľom nabíjacieho bodu. Zároveň zahraničné skúsenosti ukazujú, že kredity výrazne zlepšili obchodný prípad nabíjacích staníc a podnietili prevádzkovateľov nabíjacích bodov k rýchlej inštalácii nabíjačiek, nakoľko výnosy z kreditov pomáhajú skrátiť dobu návratnosti nabíjačiek o takmer polovicu, z 13 na 7 rokov pre verejné nabíjacie stanice s mediánom spotreby 6 MWh/rok. </w:t>
      </w:r>
    </w:p>
    <w:p w14:paraId="0B6A6FD7" w14:textId="77777777" w:rsidR="00202A7D" w:rsidRPr="00202A7D" w:rsidRDefault="00202A7D" w:rsidP="00202A7D">
      <w:pPr>
        <w:rPr>
          <w:rFonts w:ascii="Times New Roman" w:eastAsia="Calibri" w:hAnsi="Times New Roman" w:cs="Times New Roman"/>
          <w:b/>
          <w:bCs/>
          <w:i/>
          <w:sz w:val="24"/>
          <w:szCs w:val="24"/>
        </w:rPr>
      </w:pPr>
      <w:r w:rsidRPr="00202A7D">
        <w:rPr>
          <w:rFonts w:ascii="Times New Roman" w:eastAsia="Calibri" w:hAnsi="Times New Roman" w:cs="Times New Roman"/>
          <w:b/>
          <w:bCs/>
          <w:i/>
          <w:sz w:val="24"/>
          <w:szCs w:val="24"/>
        </w:rPr>
        <w:t xml:space="preserve">2. Povinnosti prevádzkovateľov distribučných sústav </w:t>
      </w:r>
    </w:p>
    <w:p w14:paraId="1FAC706E" w14:textId="77777777" w:rsidR="00202A7D" w:rsidRPr="00202A7D" w:rsidRDefault="00202A7D" w:rsidP="00202A7D">
      <w:pPr>
        <w:jc w:val="both"/>
        <w:rPr>
          <w:rFonts w:ascii="Times New Roman" w:eastAsia="Calibri" w:hAnsi="Times New Roman" w:cs="Times New Roman"/>
          <w:bCs/>
          <w:i/>
          <w:iCs/>
          <w:color w:val="000000"/>
          <w:sz w:val="24"/>
          <w:szCs w:val="24"/>
        </w:rPr>
      </w:pPr>
      <w:r w:rsidRPr="00202A7D">
        <w:rPr>
          <w:rFonts w:ascii="Times New Roman" w:eastAsia="Calibri" w:hAnsi="Times New Roman" w:cs="Times New Roman"/>
          <w:i/>
          <w:sz w:val="24"/>
          <w:szCs w:val="24"/>
        </w:rPr>
        <w:t xml:space="preserve">Zákon upravuje nové povinnosť pre prevádzkovateľov regionálnych distribučných sústav („PRDS). Podľa navrhovanej úpravy má prevádzkovateľ regionálnej distribučnej sústavy povinnosť na svojom webovom sídle zverejňovať a najmenej raz za kalendárny mesiac aktualizovať údaje o počte prijatých a odmietnutých žiadostí o pripojenie k distribučnej sústave, </w:t>
      </w:r>
      <w:r w:rsidRPr="00202A7D">
        <w:rPr>
          <w:rFonts w:ascii="Times New Roman" w:eastAsia="Calibri" w:hAnsi="Times New Roman" w:cs="Times New Roman"/>
          <w:i/>
          <w:sz w:val="24"/>
          <w:szCs w:val="24"/>
        </w:rPr>
        <w:lastRenderedPageBreak/>
        <w:t>voľnej distribučnej kapacite a výpočte voľnej distribučnej kapacity a informácie o podmienkach rezervácie distribučnej kapacity a informácie o podávaní žiadostí o pripojenie a podmienkach podávania žiadostí o pripojenie k distribučnej sústave a predkladania požadovaných dokladov k žiadosti o pripojenie v elektronickej forme. Prevádzkovateľ regionálnej distribučnej sústavy bude ďalej povinný zverejňovať na svojom webovom sídle interaktívnu mapu, ktorá obsahuje zákonom stanovené informácie o možnostiach pripojenia k distribučnej sústave. Cieľom navrhovanej úpravy je poskytovať užívateľom sústavy informácie, ktoré potrebujú na efektívny prístup do sústavy a jej užívanie. Očakáva sa mierne jednorazové navýšenie nákladov na strane PDS z dôvodu zhromaždenia potrebných údajov do požadovaných formátov a IT úprava webových rozhraní tak, aby sa umožnilo splnenie zákonných požiadaviek. Presné vyčíslenie nákladov na tieto úpravy nie je možné, expertný odhad očakávaných nákladov je približne 70 000 € na jedného prevádzkovateľa sústavy.</w:t>
      </w:r>
    </w:p>
    <w:p w14:paraId="31126E5D" w14:textId="77777777" w:rsidR="00202A7D" w:rsidRPr="00202A7D" w:rsidRDefault="00202A7D" w:rsidP="00202A7D">
      <w:pPr>
        <w:jc w:val="both"/>
        <w:rPr>
          <w:rFonts w:ascii="Times New Roman" w:eastAsia="Calibri" w:hAnsi="Times New Roman" w:cs="Times New Roman"/>
          <w:bCs/>
          <w:i/>
          <w:iCs/>
          <w:color w:val="000000"/>
          <w:sz w:val="24"/>
          <w:szCs w:val="24"/>
        </w:rPr>
      </w:pPr>
    </w:p>
    <w:p w14:paraId="0DFB26A3" w14:textId="77777777" w:rsidR="00202A7D" w:rsidRPr="00202A7D" w:rsidRDefault="00202A7D" w:rsidP="00202A7D">
      <w:pPr>
        <w:rPr>
          <w:rFonts w:ascii="Times New Roman" w:eastAsia="Calibri" w:hAnsi="Times New Roman" w:cs="Times New Roman"/>
          <w:b/>
          <w:bCs/>
          <w:i/>
          <w:sz w:val="24"/>
          <w:szCs w:val="24"/>
        </w:rPr>
      </w:pPr>
      <w:r w:rsidRPr="00202A7D">
        <w:rPr>
          <w:rFonts w:ascii="Times New Roman" w:eastAsia="Calibri" w:hAnsi="Times New Roman" w:cs="Times New Roman"/>
          <w:b/>
          <w:bCs/>
          <w:i/>
          <w:sz w:val="24"/>
          <w:szCs w:val="24"/>
        </w:rPr>
        <w:t>3. Zdieľanie elektriny na úrovni odberateľov v kategórii mimo domácností pripojených na hladine NN a VN</w:t>
      </w:r>
    </w:p>
    <w:p w14:paraId="4EBE1E06" w14:textId="77777777" w:rsidR="00202A7D" w:rsidRPr="00202A7D" w:rsidRDefault="00202A7D" w:rsidP="00202A7D">
      <w:pPr>
        <w:spacing w:line="276" w:lineRule="auto"/>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Zákon upravuje už existujúcu činnosť zdieľania elektriny odberateľmi, ktorá bola doteraz upravená primárne na úrovni sekundárnej legislatívy. </w:t>
      </w:r>
      <w:r w:rsidRPr="00202A7D">
        <w:rPr>
          <w:rFonts w:ascii="Times New Roman" w:hAnsi="Times New Roman" w:cs="Times New Roman"/>
        </w:rPr>
        <w:t xml:space="preserve">Zákon priznáva koncovým </w:t>
      </w:r>
      <w:r w:rsidRPr="00202A7D">
        <w:rPr>
          <w:rFonts w:ascii="Times New Roman" w:hAnsi="Times New Roman" w:cs="Times New Roman"/>
          <w:i/>
          <w:iCs/>
        </w:rPr>
        <w:t xml:space="preserve">odberateľom právo zúčastňovať sa na zdieľaní elektriny nediskriminačným spôsobom, aby  žiadni koncoví odberatelia neboli z účasti na zdieľaní elektriny vylúčení. Návrh zákona zakazuje dodávateľom podmieňovať uzavretie zmluvy o dodávke elektriny alebo zmluvy o združenej dodávke elektriny zákazom zdieľať elektrinu alebo obmedzením množstva elektriny, ktoré je možné zdieľať. Ďalej zakazuje dodávateľom obmedzovať aktívneho odberateľa alebo energetické spoločenstvo v jeho práve zdieľať elektrinu alebo aby ho bez spravodlivého dôvodu znevýhodňoval cenovými alebo inými podmienkami dodávky elektriny oproti koncovým odberateľom elektriny, ktorí elektrinu nezdieľajú. Zároveň sa stanovuje, že aj iní aktívni odberatelia v rámci podnikateľského sektora než sú malé a stredné podniky môžu zdieľať elektrinu ale len zo zariadení na výrobu elektriny s inštalovaným výkonom do 6 MW. </w:t>
      </w:r>
    </w:p>
    <w:p w14:paraId="090152FF" w14:textId="77777777" w:rsidR="00202A7D" w:rsidRPr="00202A7D" w:rsidRDefault="00202A7D" w:rsidP="00202A7D">
      <w:pPr>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Podpora rozvoja zdieľania vyrobenej elektriny má umožniť ušetriť odberateľom na celkových koncových nákladoch za elektrinu najmä za maržu pre dodávateľa energií. Odhadovaný výpočet je založený na dátach použitých v procese prípravy novelizácie vyhlášky Úradu pre reguláciu sieťových odvetví o pravidlách trhu na jar 2023, kedy sa vychádzalo z priemerných nákladov, pričom reálne ušetrené náklady sa budú líšiť v závislosti od individuálnych podmienok konkrétnych odberateľov, najmä od veľkosti inštalovaného zdroja a spotreby daného odberateľa. Hrubý odhad bol založený na predpoklade, že jeden</w:t>
      </w:r>
      <w:r w:rsidRPr="00202A7D">
        <w:rPr>
          <w:rFonts w:ascii="Times New Roman" w:eastAsia="Calibri" w:hAnsi="Times New Roman" w:cs="Times New Roman"/>
          <w:iCs/>
          <w:sz w:val="24"/>
          <w:szCs w:val="24"/>
        </w:rPr>
        <w:t xml:space="preserve"> </w:t>
      </w:r>
      <w:r w:rsidRPr="00202A7D">
        <w:rPr>
          <w:rFonts w:ascii="Times New Roman" w:eastAsia="Calibri" w:hAnsi="Times New Roman" w:cs="Times New Roman"/>
          <w:i/>
          <w:sz w:val="24"/>
          <w:szCs w:val="24"/>
        </w:rPr>
        <w:t>odberateľ môže zdieľať približne 30%</w:t>
      </w:r>
      <w:r w:rsidRPr="00202A7D">
        <w:rPr>
          <w:rFonts w:ascii="Times New Roman" w:eastAsia="Calibri" w:hAnsi="Times New Roman" w:cs="Times New Roman"/>
          <w:iCs/>
          <w:sz w:val="24"/>
          <w:szCs w:val="24"/>
        </w:rPr>
        <w:t xml:space="preserve"> </w:t>
      </w:r>
      <w:r w:rsidRPr="00202A7D">
        <w:rPr>
          <w:rFonts w:ascii="Times New Roman" w:eastAsia="Calibri" w:hAnsi="Times New Roman" w:cs="Times New Roman"/>
          <w:i/>
          <w:sz w:val="24"/>
          <w:szCs w:val="24"/>
        </w:rPr>
        <w:t xml:space="preserve">svojej výroby. Do úvahy pri výpočte následne vstupuje odhadovaná priemerná spotreba na odberateľa a výška povoleného zisku stanovená vyhláškou Úradu pre reguláciu sieťových odvetví č. 154/2024 Z. z. z 12. júna 2024, ktorou sa ustanovuje cenová regulácia v </w:t>
      </w:r>
      <w:proofErr w:type="spellStart"/>
      <w:r w:rsidRPr="00202A7D">
        <w:rPr>
          <w:rFonts w:ascii="Times New Roman" w:eastAsia="Calibri" w:hAnsi="Times New Roman" w:cs="Times New Roman"/>
          <w:i/>
          <w:sz w:val="24"/>
          <w:szCs w:val="24"/>
        </w:rPr>
        <w:t>elektroenergetike</w:t>
      </w:r>
      <w:proofErr w:type="spellEnd"/>
      <w:r w:rsidRPr="00202A7D">
        <w:rPr>
          <w:rFonts w:ascii="Times New Roman" w:eastAsia="Calibri" w:hAnsi="Times New Roman" w:cs="Times New Roman"/>
          <w:i/>
          <w:sz w:val="24"/>
          <w:szCs w:val="24"/>
        </w:rPr>
        <w:t xml:space="preserve"> a niektoré podmienky vykonávania regulovaných činností v </w:t>
      </w:r>
      <w:proofErr w:type="spellStart"/>
      <w:r w:rsidRPr="00202A7D">
        <w:rPr>
          <w:rFonts w:ascii="Times New Roman" w:eastAsia="Calibri" w:hAnsi="Times New Roman" w:cs="Times New Roman"/>
          <w:i/>
          <w:sz w:val="24"/>
          <w:szCs w:val="24"/>
        </w:rPr>
        <w:t>elektroenergetike</w:t>
      </w:r>
      <w:proofErr w:type="spellEnd"/>
      <w:r w:rsidRPr="00202A7D">
        <w:rPr>
          <w:rFonts w:ascii="Times New Roman" w:eastAsia="Calibri" w:hAnsi="Times New Roman" w:cs="Times New Roman"/>
          <w:i/>
          <w:sz w:val="24"/>
          <w:szCs w:val="24"/>
        </w:rPr>
        <w:t>. Modelovaný výpočet potom vyzerá nasledovne:</w:t>
      </w:r>
    </w:p>
    <w:p w14:paraId="1BA1AAFE" w14:textId="77777777" w:rsidR="00202A7D" w:rsidRPr="00202A7D" w:rsidRDefault="00202A7D" w:rsidP="00202A7D">
      <w:pPr>
        <w:numPr>
          <w:ilvl w:val="0"/>
          <w:numId w:val="2"/>
        </w:numPr>
        <w:spacing w:after="0" w:line="240" w:lineRule="auto"/>
        <w:contextualSpacing/>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u w:val="single"/>
        </w:rPr>
        <w:t>Pre odberateľov v kategórii mimo domácnosti pripojených na hladine NN</w:t>
      </w:r>
      <w:r w:rsidRPr="00202A7D">
        <w:rPr>
          <w:rFonts w:ascii="Times New Roman" w:eastAsia="Calibri" w:hAnsi="Times New Roman" w:cs="Times New Roman"/>
          <w:i/>
          <w:sz w:val="24"/>
          <w:szCs w:val="24"/>
        </w:rPr>
        <w:t>:</w:t>
      </w:r>
    </w:p>
    <w:p w14:paraId="286EEDB3" w14:textId="77777777" w:rsidR="00202A7D" w:rsidRPr="00202A7D" w:rsidRDefault="00202A7D" w:rsidP="00202A7D">
      <w:pPr>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Pri povolenom zisku dodávateľa pre odberateľa v kategórii mimo domácností pripojených na hladine NN na úrovni 8 €/MWh, s odhadovaným ziskom výrobcu na úrovni 15 €/MWh a odhadovanej priemernej ročnej spotrebe v celkovom objeme 6 MWh, môže priemerná úspora dosiahnuť minimálnu úroveň 41,40 €/ rok. Odhaduje sa, že z približného počtu 114 019  OOM na úrovni odberateľov mimo domácností pripojených na hladine NN môže mať záujem </w:t>
      </w:r>
      <w:r w:rsidRPr="00202A7D">
        <w:rPr>
          <w:rFonts w:ascii="Times New Roman" w:eastAsia="Calibri" w:hAnsi="Times New Roman" w:cs="Times New Roman"/>
          <w:i/>
          <w:sz w:val="24"/>
          <w:szCs w:val="24"/>
        </w:rPr>
        <w:lastRenderedPageBreak/>
        <w:t>o zapojenie do činnosti zdieľania elektriny približne 10% odberateľov, čo predstavuje 11 401 OOM. Celkový odhadovaný a modelovaný dopad vo forme úspor na koncových nákladoch na elektrinu pre takúto skupinu odberateľov môže predstavovať  472 001 €/rok, pričom ide o spodnú hodnotu, nakoľko odhady boli modelované na skôr konzervatívnych hodnotách.</w:t>
      </w:r>
    </w:p>
    <w:p w14:paraId="29BBDEAD" w14:textId="77777777" w:rsidR="00202A7D" w:rsidRPr="00202A7D" w:rsidRDefault="00202A7D" w:rsidP="00202A7D">
      <w:pPr>
        <w:numPr>
          <w:ilvl w:val="0"/>
          <w:numId w:val="2"/>
        </w:numPr>
        <w:spacing w:after="0" w:line="240" w:lineRule="auto"/>
        <w:contextualSpacing/>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u w:val="single"/>
        </w:rPr>
        <w:t>Pre odberateľov v kategórii mimo domácnosti pripojených na hladine VN</w:t>
      </w:r>
    </w:p>
    <w:p w14:paraId="2CE2F48F" w14:textId="77777777" w:rsidR="00202A7D" w:rsidRPr="00202A7D" w:rsidRDefault="00202A7D" w:rsidP="00202A7D">
      <w:pPr>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Pri odhadovanom zisku dodávateľa pre odberateľa v kategórii mimo domácností pripojených na hladine VN na úrovni približne 10 €/MWh, s odhadovaným ziskom výrobcu na úrovni 15 €/MWh a odhadovanej priemernej ročnej spotrebe v celkovom objeme 100 MWh, môže priemerná úspora dosiahnuť minimálnu úroveň 750 €/ rok. Odhaduje sa, že z približného počtu 13 000  OOM na úrovni odberateľov mimo domácností pripojených na hladine VN môže mať záujem o zapojenie do činnosti zdieľania elektriny približne 10% odberateľov, čo predstavuje 1 300 OOM. Celkový odhadovaný a modelovaný dopad vo forme úspor na koncových nákladoch na elektrinu pre takúto skupinu odberateľov môže predstavovať  975 000 €/rok, pričom ide o spodnú hranicu, nakoľko odhady boli modelované na skôr konzervatívnych hodnotách.</w:t>
      </w:r>
    </w:p>
    <w:p w14:paraId="308996FE" w14:textId="77777777" w:rsidR="00202A7D" w:rsidRPr="00202A7D" w:rsidRDefault="00202A7D" w:rsidP="00202A7D">
      <w:pPr>
        <w:jc w:val="both"/>
        <w:rPr>
          <w:rFonts w:ascii="Times New Roman" w:eastAsia="Calibri" w:hAnsi="Times New Roman" w:cs="Times New Roman"/>
          <w:i/>
          <w:color w:val="000000" w:themeColor="text1"/>
          <w:sz w:val="24"/>
          <w:szCs w:val="24"/>
        </w:rPr>
      </w:pPr>
      <w:r w:rsidRPr="00202A7D">
        <w:rPr>
          <w:rFonts w:ascii="Times New Roman" w:eastAsia="Calibri" w:hAnsi="Times New Roman" w:cs="Times New Roman"/>
          <w:i/>
          <w:sz w:val="24"/>
          <w:szCs w:val="24"/>
        </w:rPr>
        <w:t>Odhadovaný výpočet je založený na priemerných nákladoch a predstavuje minimálne spodné hranice, ktoré môžu odberatelia ušetriť zapojením sa do zdieľania. Reálne ušetrené náklady sa budú líšiť v závislosti od individuálnych podmienok konkrétnych odberateľov, najmä od veľkosti inštalovaného zdroja a spotreby daného odberateľa.</w:t>
      </w:r>
      <w:r w:rsidRPr="00202A7D">
        <w:rPr>
          <w:rFonts w:ascii="Times New Roman" w:eastAsia="Calibri" w:hAnsi="Times New Roman" w:cs="Times New Roman"/>
          <w:i/>
          <w:color w:val="000000" w:themeColor="text1"/>
          <w:sz w:val="24"/>
          <w:szCs w:val="24"/>
        </w:rPr>
        <w:t xml:space="preserve">. </w:t>
      </w:r>
    </w:p>
    <w:p w14:paraId="2DE403A5" w14:textId="77777777" w:rsidR="00202A7D" w:rsidRPr="00202A7D" w:rsidRDefault="00202A7D" w:rsidP="00202A7D">
      <w:pPr>
        <w:jc w:val="both"/>
        <w:rPr>
          <w:rFonts w:ascii="Times New Roman" w:eastAsia="Calibri" w:hAnsi="Times New Roman" w:cs="Times New Roman"/>
          <w:i/>
          <w:sz w:val="24"/>
          <w:szCs w:val="24"/>
        </w:rPr>
      </w:pPr>
    </w:p>
    <w:p w14:paraId="5A59BEB4" w14:textId="77777777" w:rsidR="00202A7D" w:rsidRPr="00202A7D" w:rsidRDefault="00202A7D" w:rsidP="00202A7D">
      <w:pPr>
        <w:jc w:val="both"/>
        <w:rPr>
          <w:rFonts w:ascii="Times New Roman" w:eastAsia="Calibri" w:hAnsi="Times New Roman" w:cs="Times New Roman"/>
          <w:b/>
          <w:bCs/>
          <w:i/>
          <w:sz w:val="24"/>
          <w:szCs w:val="24"/>
          <w:u w:val="single"/>
        </w:rPr>
      </w:pPr>
      <w:r w:rsidRPr="00202A7D">
        <w:rPr>
          <w:rFonts w:ascii="Times New Roman" w:eastAsia="Calibri" w:hAnsi="Times New Roman" w:cs="Times New Roman"/>
          <w:b/>
          <w:bCs/>
          <w:i/>
          <w:sz w:val="24"/>
          <w:szCs w:val="24"/>
          <w:u w:val="single"/>
        </w:rPr>
        <w:t xml:space="preserve">3.1.4 Odôvodnenie </w:t>
      </w:r>
      <w:proofErr w:type="spellStart"/>
      <w:r w:rsidRPr="00202A7D">
        <w:rPr>
          <w:rFonts w:ascii="Times New Roman" w:eastAsia="Calibri" w:hAnsi="Times New Roman" w:cs="Times New Roman"/>
          <w:b/>
          <w:bCs/>
          <w:i/>
          <w:sz w:val="24"/>
          <w:szCs w:val="24"/>
          <w:u w:val="single"/>
        </w:rPr>
        <w:t>goldplatingu</w:t>
      </w:r>
      <w:proofErr w:type="spellEnd"/>
      <w:r w:rsidRPr="00202A7D">
        <w:rPr>
          <w:rFonts w:ascii="Times New Roman" w:eastAsia="Calibri" w:hAnsi="Times New Roman" w:cs="Times New Roman"/>
          <w:b/>
          <w:bCs/>
          <w:i/>
          <w:sz w:val="24"/>
          <w:szCs w:val="24"/>
          <w:u w:val="single"/>
        </w:rPr>
        <w:t xml:space="preserve"> podľa bodu 4 časti III jednotnej metodiky a ďalšie doplňujúce informácie</w:t>
      </w:r>
      <w:r w:rsidRPr="00202A7D">
        <w:rPr>
          <w:rFonts w:ascii="Times New Roman" w:eastAsia="Calibri" w:hAnsi="Times New Roman" w:cs="Times New Roman"/>
          <w:b/>
          <w:bCs/>
          <w:i/>
          <w:sz w:val="24"/>
          <w:szCs w:val="24"/>
          <w:u w:val="single"/>
          <w:vertAlign w:val="superscript"/>
        </w:rPr>
        <w:footnoteReference w:id="2"/>
      </w:r>
      <w:r w:rsidRPr="00202A7D">
        <w:rPr>
          <w:rFonts w:ascii="Times New Roman" w:eastAsia="Calibri" w:hAnsi="Times New Roman" w:cs="Times New Roman"/>
          <w:b/>
          <w:bCs/>
          <w:i/>
          <w:sz w:val="24"/>
          <w:szCs w:val="24"/>
          <w:u w:val="single"/>
        </w:rPr>
        <w:t xml:space="preserve"> </w:t>
      </w:r>
    </w:p>
    <w:p w14:paraId="240D5FAE" w14:textId="77777777" w:rsidR="00202A7D" w:rsidRPr="00202A7D" w:rsidRDefault="00202A7D" w:rsidP="00202A7D">
      <w:pPr>
        <w:jc w:val="both"/>
        <w:rPr>
          <w:rFonts w:ascii="Times New Roman" w:eastAsia="Calibri" w:hAnsi="Times New Roman" w:cs="Times New Roman"/>
          <w:bCs/>
          <w:i/>
          <w:iCs/>
          <w:color w:val="000000"/>
          <w:sz w:val="24"/>
          <w:szCs w:val="24"/>
        </w:rPr>
      </w:pPr>
      <w:r w:rsidRPr="00202A7D">
        <w:rPr>
          <w:rFonts w:ascii="Times New Roman" w:eastAsia="Calibri" w:hAnsi="Times New Roman" w:cs="Times New Roman"/>
          <w:bCs/>
          <w:i/>
          <w:iCs/>
          <w:color w:val="000000"/>
          <w:sz w:val="24"/>
          <w:szCs w:val="24"/>
        </w:rPr>
        <w:t xml:space="preserve">Požadované informácie uveďte osobitne ku každému identifikovanému </w:t>
      </w:r>
      <w:proofErr w:type="spellStart"/>
      <w:r w:rsidRPr="00202A7D">
        <w:rPr>
          <w:rFonts w:ascii="Times New Roman" w:eastAsia="Calibri" w:hAnsi="Times New Roman" w:cs="Times New Roman"/>
          <w:bCs/>
          <w:i/>
          <w:iCs/>
          <w:color w:val="000000"/>
          <w:sz w:val="24"/>
          <w:szCs w:val="24"/>
        </w:rPr>
        <w:t>goldplatingu</w:t>
      </w:r>
      <w:proofErr w:type="spellEnd"/>
      <w:r w:rsidRPr="00202A7D">
        <w:rPr>
          <w:rFonts w:ascii="Times New Roman" w:eastAsia="Calibri" w:hAnsi="Times New Roman" w:cs="Times New Roman"/>
          <w:bCs/>
          <w:i/>
          <w:iCs/>
          <w:color w:val="000000"/>
          <w:sz w:val="24"/>
          <w:szCs w:val="24"/>
        </w:rPr>
        <w:t xml:space="preserve"> (ku každej hodnotenej regulácii s </w:t>
      </w:r>
      <w:proofErr w:type="spellStart"/>
      <w:r w:rsidRPr="00202A7D">
        <w:rPr>
          <w:rFonts w:ascii="Times New Roman" w:eastAsia="Calibri" w:hAnsi="Times New Roman" w:cs="Times New Roman"/>
          <w:bCs/>
          <w:i/>
          <w:iCs/>
          <w:color w:val="000000"/>
          <w:sz w:val="24"/>
          <w:szCs w:val="24"/>
        </w:rPr>
        <w:t>goldplatingom</w:t>
      </w:r>
      <w:proofErr w:type="spellEnd"/>
      <w:r w:rsidRPr="00202A7D">
        <w:rPr>
          <w:rFonts w:ascii="Times New Roman" w:eastAsia="Calibri" w:hAnsi="Times New Roman" w:cs="Times New Roman"/>
          <w:bCs/>
          <w:i/>
          <w:iCs/>
          <w:color w:val="000000"/>
          <w:sz w:val="24"/>
          <w:szCs w:val="24"/>
        </w:rPr>
        <w:t xml:space="preserve"> osobitne). </w:t>
      </w:r>
    </w:p>
    <w:p w14:paraId="6DF35DFE" w14:textId="77777777" w:rsidR="00202A7D" w:rsidRPr="00202A7D" w:rsidRDefault="00202A7D" w:rsidP="00202A7D">
      <w:pPr>
        <w:jc w:val="both"/>
        <w:rPr>
          <w:rFonts w:ascii="Times New Roman" w:eastAsia="Calibri" w:hAnsi="Times New Roman" w:cs="Times New Roman"/>
          <w:bCs/>
          <w:i/>
          <w:iCs/>
          <w:color w:val="000000"/>
          <w:sz w:val="24"/>
          <w:szCs w:val="24"/>
        </w:rPr>
      </w:pPr>
      <w:r w:rsidRPr="00202A7D">
        <w:rPr>
          <w:rFonts w:ascii="Times New Roman" w:eastAsia="Calibri" w:hAnsi="Times New Roman" w:cs="Times New Roman"/>
          <w:bCs/>
          <w:i/>
          <w:iCs/>
          <w:color w:val="000000"/>
          <w:sz w:val="24"/>
          <w:szCs w:val="24"/>
        </w:rPr>
        <w:t xml:space="preserve">Uveďte odôvodnenie </w:t>
      </w:r>
      <w:proofErr w:type="spellStart"/>
      <w:r w:rsidRPr="00202A7D">
        <w:rPr>
          <w:rFonts w:ascii="Times New Roman" w:eastAsia="Calibri" w:hAnsi="Times New Roman" w:cs="Times New Roman"/>
          <w:bCs/>
          <w:i/>
          <w:iCs/>
          <w:color w:val="000000"/>
          <w:sz w:val="24"/>
          <w:szCs w:val="24"/>
        </w:rPr>
        <w:t>goldplatingu</w:t>
      </w:r>
      <w:proofErr w:type="spellEnd"/>
      <w:r w:rsidRPr="00202A7D">
        <w:rPr>
          <w:rFonts w:ascii="Times New Roman" w:eastAsia="Calibri" w:hAnsi="Times New Roman" w:cs="Times New Roman"/>
          <w:bCs/>
          <w:i/>
          <w:iCs/>
          <w:color w:val="000000"/>
          <w:sz w:val="24"/>
          <w:szCs w:val="24"/>
        </w:rPr>
        <w:t xml:space="preserve"> z hľadiska jeho nespochybniteľnej nevyhnutnosti. Odôvodnenie doložte dôkladným hodnotením prínosov a nákladov. Uveďte zvážené alternatívne riešenia.</w:t>
      </w:r>
    </w:p>
    <w:p w14:paraId="75D30489" w14:textId="77777777" w:rsidR="00202A7D" w:rsidRPr="00202A7D" w:rsidRDefault="00202A7D" w:rsidP="00202A7D">
      <w:pPr>
        <w:jc w:val="both"/>
        <w:rPr>
          <w:rFonts w:ascii="Times New Roman" w:eastAsia="Calibri" w:hAnsi="Times New Roman" w:cs="Times New Roman"/>
          <w:bCs/>
          <w:i/>
          <w:iCs/>
          <w:color w:val="000000"/>
          <w:sz w:val="24"/>
          <w:szCs w:val="24"/>
        </w:rPr>
      </w:pPr>
      <w:r w:rsidRPr="00202A7D">
        <w:rPr>
          <w:rFonts w:ascii="Times New Roman" w:eastAsia="Calibri" w:hAnsi="Times New Roman" w:cs="Times New Roman"/>
          <w:bCs/>
          <w:i/>
          <w:iCs/>
          <w:color w:val="000000"/>
          <w:sz w:val="24"/>
          <w:szCs w:val="24"/>
        </w:rPr>
        <w:t xml:space="preserve">Zároveň uveďte konkrétne informácie súvisiace s kategóriou </w:t>
      </w:r>
      <w:proofErr w:type="spellStart"/>
      <w:r w:rsidRPr="00202A7D">
        <w:rPr>
          <w:rFonts w:ascii="Times New Roman" w:eastAsia="Calibri" w:hAnsi="Times New Roman" w:cs="Times New Roman"/>
          <w:bCs/>
          <w:i/>
          <w:iCs/>
          <w:color w:val="000000"/>
          <w:sz w:val="24"/>
          <w:szCs w:val="24"/>
        </w:rPr>
        <w:t>goldplatingu</w:t>
      </w:r>
      <w:proofErr w:type="spellEnd"/>
      <w:r w:rsidRPr="00202A7D">
        <w:rPr>
          <w:rFonts w:ascii="Times New Roman" w:eastAsia="Calibri" w:hAnsi="Times New Roman" w:cs="Times New Roman"/>
          <w:bCs/>
          <w:i/>
          <w:iCs/>
          <w:color w:val="000000"/>
          <w:sz w:val="24"/>
          <w:szCs w:val="24"/>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39880131" w14:textId="77777777" w:rsidR="00202A7D" w:rsidRPr="00202A7D" w:rsidRDefault="00202A7D" w:rsidP="00202A7D">
      <w:pPr>
        <w:jc w:val="both"/>
        <w:rPr>
          <w:rFonts w:ascii="Times New Roman" w:eastAsia="Calibri" w:hAnsi="Times New Roman" w:cs="Times New Roman"/>
          <w:bCs/>
          <w:i/>
          <w:iCs/>
          <w:sz w:val="24"/>
          <w:szCs w:val="24"/>
        </w:rPr>
      </w:pPr>
      <w:r w:rsidRPr="00202A7D">
        <w:rPr>
          <w:rFonts w:ascii="Times New Roman" w:eastAsia="Calibri" w:hAnsi="Times New Roman" w:cs="Times New Roman"/>
          <w:bCs/>
          <w:i/>
          <w:iCs/>
          <w:sz w:val="24"/>
          <w:szCs w:val="24"/>
        </w:rPr>
        <w:t xml:space="preserve">Využitie </w:t>
      </w:r>
      <w:proofErr w:type="spellStart"/>
      <w:r w:rsidRPr="00202A7D">
        <w:rPr>
          <w:rFonts w:ascii="Times New Roman" w:eastAsia="Calibri" w:hAnsi="Times New Roman" w:cs="Times New Roman"/>
          <w:bCs/>
          <w:i/>
          <w:iCs/>
          <w:sz w:val="24"/>
          <w:szCs w:val="24"/>
        </w:rPr>
        <w:t>goldplatingu</w:t>
      </w:r>
      <w:proofErr w:type="spellEnd"/>
      <w:r w:rsidRPr="00202A7D">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202A7D">
        <w:rPr>
          <w:rFonts w:ascii="Times New Roman" w:eastAsia="Calibri" w:hAnsi="Times New Roman" w:cs="Times New Roman"/>
          <w:bCs/>
          <w:i/>
          <w:iCs/>
          <w:sz w:val="24"/>
          <w:szCs w:val="24"/>
        </w:rPr>
        <w:t>goldplatingu</w:t>
      </w:r>
      <w:proofErr w:type="spellEnd"/>
      <w:r w:rsidRPr="00202A7D">
        <w:rPr>
          <w:rFonts w:ascii="Times New Roman" w:eastAsia="Calibri" w:hAnsi="Times New Roman" w:cs="Times New Roman"/>
          <w:bCs/>
          <w:i/>
          <w:iCs/>
          <w:sz w:val="24"/>
          <w:szCs w:val="24"/>
        </w:rPr>
        <w:t xml:space="preserve"> </w:t>
      </w:r>
      <w:r w:rsidRPr="00202A7D">
        <w:rPr>
          <w:rFonts w:ascii="Times New Roman" w:eastAsia="Calibri" w:hAnsi="Times New Roman" w:cs="Times New Roman"/>
          <w:bCs/>
          <w:i/>
          <w:iCs/>
          <w:sz w:val="24"/>
          <w:szCs w:val="24"/>
        </w:rPr>
        <w:lastRenderedPageBreak/>
        <w:t>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F52E57B" w14:textId="77777777" w:rsidR="00202A7D" w:rsidRPr="00202A7D" w:rsidRDefault="00202A7D" w:rsidP="00202A7D">
      <w:pPr>
        <w:spacing w:after="0"/>
        <w:jc w:val="both"/>
        <w:rPr>
          <w:rFonts w:ascii="Times New Roman" w:eastAsia="Calibri" w:hAnsi="Times New Roman" w:cs="Times New Roman"/>
          <w:sz w:val="24"/>
          <w:szCs w:val="24"/>
        </w:rPr>
      </w:pPr>
      <w:r w:rsidRPr="00202A7D">
        <w:rPr>
          <w:rFonts w:ascii="Times New Roman" w:eastAsia="Calibri" w:hAnsi="Times New Roman" w:cs="Times New Roman"/>
          <w:sz w:val="24"/>
          <w:szCs w:val="24"/>
        </w:rPr>
        <w:t xml:space="preserve">Predkladaným návrhom nedochádza ku </w:t>
      </w:r>
      <w:proofErr w:type="spellStart"/>
      <w:r w:rsidRPr="00202A7D">
        <w:rPr>
          <w:rFonts w:ascii="Times New Roman" w:eastAsia="Calibri" w:hAnsi="Times New Roman" w:cs="Times New Roman"/>
          <w:sz w:val="24"/>
          <w:szCs w:val="24"/>
        </w:rPr>
        <w:t>golplatingu</w:t>
      </w:r>
      <w:proofErr w:type="spellEnd"/>
      <w:r w:rsidRPr="00202A7D">
        <w:rPr>
          <w:rFonts w:ascii="Times New Roman" w:eastAsia="Calibri" w:hAnsi="Times New Roman" w:cs="Times New Roman"/>
          <w:sz w:val="24"/>
          <w:szCs w:val="24"/>
        </w:rPr>
        <w:t>, keďže predkladaný materiál predstavuje transpozíciu bez možnosti voľby.</w:t>
      </w:r>
    </w:p>
    <w:p w14:paraId="75F21A77" w14:textId="77777777" w:rsidR="00202A7D" w:rsidRPr="00202A7D" w:rsidRDefault="00202A7D" w:rsidP="00202A7D">
      <w:pPr>
        <w:jc w:val="both"/>
        <w:rPr>
          <w:rFonts w:ascii="Times New Roman" w:eastAsia="Calibri" w:hAnsi="Times New Roman" w:cs="Times New Roman"/>
          <w:b/>
          <w:sz w:val="24"/>
          <w:szCs w:val="24"/>
        </w:rPr>
      </w:pPr>
      <w:r w:rsidRPr="00202A7D">
        <w:rPr>
          <w:rFonts w:ascii="Times New Roman" w:eastAsia="Calibri" w:hAnsi="Times New Roman" w:cs="Times New Roman"/>
          <w:b/>
          <w:sz w:val="24"/>
          <w:szCs w:val="24"/>
        </w:rPr>
        <w:t>3.2 Vyhodnotenie konzultácií s podnikateľskými subjektmi pred predbežným pripomienkovým konaním</w:t>
      </w:r>
    </w:p>
    <w:p w14:paraId="1BFF546A"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202A7D">
        <w:rPr>
          <w:rFonts w:ascii="Times New Roman" w:eastAsia="Calibri" w:hAnsi="Times New Roman" w:cs="Times New Roman"/>
          <w:i/>
          <w:sz w:val="24"/>
          <w:szCs w:val="24"/>
        </w:rPr>
        <w:t>link</w:t>
      </w:r>
      <w:proofErr w:type="spellEnd"/>
      <w:r w:rsidRPr="00202A7D">
        <w:rPr>
          <w:rFonts w:ascii="Times New Roman" w:eastAsia="Calibri" w:hAnsi="Times New Roman" w:cs="Times New Roman"/>
          <w:i/>
          <w:sz w:val="24"/>
          <w:szCs w:val="24"/>
        </w:rPr>
        <w:t xml:space="preserve"> na webovú stránku, na ktorej boli konzultácie zverejnené. </w:t>
      </w:r>
    </w:p>
    <w:p w14:paraId="228B6D3C"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Uveďte hlavné body konzultácií a ich závery. </w:t>
      </w:r>
    </w:p>
    <w:p w14:paraId="1CFBB33D"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5DC85B2"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62431CDC" w14:textId="77777777" w:rsidR="00202A7D" w:rsidRPr="00202A7D" w:rsidRDefault="00202A7D" w:rsidP="00202A7D">
      <w:pPr>
        <w:spacing w:after="0"/>
        <w:jc w:val="both"/>
        <w:rPr>
          <w:rFonts w:ascii="Times New Roman" w:eastAsia="Calibri" w:hAnsi="Times New Roman" w:cs="Times New Roman"/>
          <w:i/>
          <w:sz w:val="24"/>
          <w:szCs w:val="24"/>
        </w:rPr>
      </w:pPr>
    </w:p>
    <w:p w14:paraId="36494465" w14:textId="77777777" w:rsidR="00202A7D" w:rsidRPr="00202A7D" w:rsidRDefault="00202A7D" w:rsidP="00202A7D">
      <w:pPr>
        <w:spacing w:after="0"/>
        <w:jc w:val="both"/>
        <w:rPr>
          <w:rFonts w:ascii="Times New Roman" w:eastAsia="Calibri" w:hAnsi="Times New Roman" w:cs="Times New Roman"/>
          <w:sz w:val="24"/>
          <w:szCs w:val="24"/>
        </w:rPr>
      </w:pPr>
      <w:r w:rsidRPr="00202A7D">
        <w:rPr>
          <w:rFonts w:ascii="Times New Roman" w:eastAsia="Calibri" w:hAnsi="Times New Roman" w:cs="Times New Roman"/>
          <w:sz w:val="24"/>
          <w:szCs w:val="24"/>
        </w:rPr>
        <w:t>Predkladaný materiál z dôvodu neobvykle krátkej transpozičnej lehoty (6 mesiacov) a z toho vyplývajúcej časovej tiesni bude predmetom konzultácií s dotknutými podnikateľskými subjektmi (podľa bodu 4 doložky vybraných vplyvov) vrátane zamestnávateľských združení v ďalšom štádiu pripomienkového konania (MPK).</w:t>
      </w:r>
    </w:p>
    <w:p w14:paraId="49E398E2" w14:textId="77777777" w:rsidR="00202A7D" w:rsidRPr="00202A7D" w:rsidRDefault="00202A7D" w:rsidP="00202A7D">
      <w:pPr>
        <w:spacing w:after="0"/>
        <w:jc w:val="both"/>
        <w:rPr>
          <w:rFonts w:ascii="Times New Roman" w:eastAsia="Calibri" w:hAnsi="Times New Roman" w:cs="Times New Roman"/>
          <w:i/>
          <w:sz w:val="24"/>
          <w:szCs w:val="24"/>
        </w:rPr>
      </w:pPr>
    </w:p>
    <w:p w14:paraId="5C4764E9" w14:textId="77777777" w:rsidR="00202A7D" w:rsidRPr="00202A7D" w:rsidRDefault="00202A7D" w:rsidP="00202A7D">
      <w:pPr>
        <w:jc w:val="both"/>
        <w:rPr>
          <w:rFonts w:ascii="Times New Roman" w:eastAsia="Calibri" w:hAnsi="Times New Roman" w:cs="Times New Roman"/>
          <w:b/>
          <w:sz w:val="24"/>
          <w:szCs w:val="24"/>
        </w:rPr>
      </w:pPr>
      <w:bookmarkStart w:id="1" w:name="_Hlk47698091"/>
      <w:r w:rsidRPr="00202A7D">
        <w:rPr>
          <w:rFonts w:ascii="Times New Roman" w:eastAsia="Calibri" w:hAnsi="Times New Roman" w:cs="Times New Roman"/>
          <w:b/>
          <w:sz w:val="24"/>
          <w:szCs w:val="24"/>
        </w:rPr>
        <w:t>3.3 Vplyvy na konkurencieschopnosť a produktivitu</w:t>
      </w:r>
    </w:p>
    <w:bookmarkEnd w:id="1"/>
    <w:p w14:paraId="2329FEC2"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Dochádza k vytvoreniu resp. k zmene bariér na trhu? </w:t>
      </w:r>
    </w:p>
    <w:p w14:paraId="00821CAE"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202A7D">
        <w:rPr>
          <w:rFonts w:ascii="Times New Roman" w:eastAsia="Calibri" w:hAnsi="Times New Roman" w:cs="Times New Roman"/>
          <w:i/>
          <w:sz w:val="24"/>
          <w:szCs w:val="24"/>
        </w:rPr>
        <w:t>mikro</w:t>
      </w:r>
      <w:proofErr w:type="spellEnd"/>
      <w:r w:rsidRPr="00202A7D">
        <w:rPr>
          <w:rFonts w:ascii="Times New Roman" w:eastAsia="Calibri" w:hAnsi="Times New Roman" w:cs="Times New Roman"/>
          <w:i/>
          <w:sz w:val="24"/>
          <w:szCs w:val="24"/>
        </w:rPr>
        <w:t xml:space="preserve">, malé a stredné podniky tzv. MSP)? </w:t>
      </w:r>
    </w:p>
    <w:p w14:paraId="00110932"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23973C5"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Ovplyvní dostupnosť základných zdrojov (financie, pracovná sila, suroviny, mechanizmy, energie atď.)? </w:t>
      </w:r>
    </w:p>
    <w:p w14:paraId="5617F04F"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Ovplyvňuje zmena regulácie inovácie, vedu a výskum?</w:t>
      </w:r>
    </w:p>
    <w:p w14:paraId="2B013F8A"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Ak bol identifikovaný </w:t>
      </w:r>
      <w:proofErr w:type="spellStart"/>
      <w:r w:rsidRPr="00202A7D">
        <w:rPr>
          <w:rFonts w:ascii="Times New Roman" w:eastAsia="Calibri" w:hAnsi="Times New Roman" w:cs="Times New Roman"/>
          <w:i/>
          <w:sz w:val="24"/>
          <w:szCs w:val="24"/>
        </w:rPr>
        <w:t>goldplating</w:t>
      </w:r>
      <w:proofErr w:type="spellEnd"/>
      <w:r w:rsidRPr="00202A7D">
        <w:rPr>
          <w:rFonts w:ascii="Times New Roman" w:eastAsia="Calibri" w:hAnsi="Times New Roman" w:cs="Times New Roman"/>
          <w:i/>
          <w:sz w:val="24"/>
          <w:szCs w:val="24"/>
        </w:rPr>
        <w:t>, prispieva k zníženiu konkurencieschopnosti a produktivity? Akým spôsobom?</w:t>
      </w:r>
    </w:p>
    <w:p w14:paraId="4582275C"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iCs/>
          <w:sz w:val="24"/>
          <w:szCs w:val="24"/>
        </w:rPr>
        <w:t>Ako prispieva zmena regulácie k cieľu Slovenska mať najlepšie podnikateľské prostredie spomedzi susediacich krajín EÚ?</w:t>
      </w:r>
    </w:p>
    <w:p w14:paraId="16287F21" w14:textId="77777777" w:rsidR="00202A7D" w:rsidRPr="00202A7D" w:rsidRDefault="00202A7D" w:rsidP="00202A7D">
      <w:pPr>
        <w:spacing w:after="0"/>
        <w:jc w:val="both"/>
        <w:rPr>
          <w:rFonts w:ascii="Times New Roman" w:eastAsia="Calibri" w:hAnsi="Times New Roman" w:cs="Times New Roman"/>
          <w:i/>
          <w:sz w:val="24"/>
          <w:szCs w:val="24"/>
        </w:rPr>
      </w:pPr>
    </w:p>
    <w:p w14:paraId="7B36A6FC" w14:textId="77777777" w:rsidR="00202A7D" w:rsidRPr="00202A7D" w:rsidRDefault="00202A7D" w:rsidP="00202A7D">
      <w:pPr>
        <w:spacing w:after="0"/>
        <w:jc w:val="both"/>
        <w:rPr>
          <w:rFonts w:ascii="Times New Roman" w:eastAsia="Calibri" w:hAnsi="Times New Roman" w:cs="Times New Roman"/>
          <w:b/>
          <w:i/>
          <w:sz w:val="24"/>
          <w:szCs w:val="24"/>
        </w:rPr>
      </w:pPr>
      <w:r w:rsidRPr="00202A7D">
        <w:rPr>
          <w:rFonts w:ascii="Times New Roman" w:eastAsia="Calibri" w:hAnsi="Times New Roman" w:cs="Times New Roman"/>
          <w:b/>
          <w:i/>
          <w:sz w:val="24"/>
          <w:szCs w:val="24"/>
        </w:rPr>
        <w:t>Konkurencieschopnosť:</w:t>
      </w:r>
    </w:p>
    <w:p w14:paraId="04AC7804"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Na základe uvedených odpovedí zaškrtnite a popíšte, či materiál konkurencieschopnosť:</w:t>
      </w:r>
    </w:p>
    <w:p w14:paraId="40F28E99" w14:textId="77777777" w:rsidR="00202A7D" w:rsidRPr="00202A7D" w:rsidRDefault="00A85DB2" w:rsidP="00202A7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202A7D" w:rsidRPr="00202A7D">
                <w:rPr>
                  <w:rFonts w:ascii="Segoe UI Symbol" w:eastAsia="Calibri" w:hAnsi="Segoe UI Symbol" w:cs="Segoe UI Symbol"/>
                  <w:i/>
                  <w:sz w:val="24"/>
                  <w:szCs w:val="24"/>
                </w:rPr>
                <w:t>x</w:t>
              </w:r>
            </w:sdtContent>
          </w:sdt>
        </w:sdtContent>
      </w:sdt>
      <w:r w:rsidR="00202A7D" w:rsidRPr="00202A7D">
        <w:rPr>
          <w:rFonts w:ascii="Times New Roman" w:eastAsia="Calibri" w:hAnsi="Times New Roman" w:cs="Times New Roman"/>
          <w:i/>
          <w:sz w:val="24"/>
          <w:szCs w:val="24"/>
        </w:rPr>
        <w:t xml:space="preserve"> zvyšuje  </w:t>
      </w:r>
      <w:r w:rsidR="00202A7D" w:rsidRPr="00202A7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202A7D" w:rsidRPr="00202A7D">
                <w:rPr>
                  <w:rFonts w:ascii="Segoe UI Symbol" w:eastAsia="Calibri" w:hAnsi="Segoe UI Symbol" w:cs="Segoe UI Symbol"/>
                  <w:i/>
                  <w:sz w:val="24"/>
                  <w:szCs w:val="24"/>
                </w:rPr>
                <w:t>☐</w:t>
              </w:r>
            </w:sdtContent>
          </w:sdt>
        </w:sdtContent>
      </w:sdt>
      <w:r w:rsidR="00202A7D" w:rsidRPr="00202A7D">
        <w:rPr>
          <w:rFonts w:ascii="Times New Roman" w:eastAsia="Calibri" w:hAnsi="Times New Roman" w:cs="Times New Roman"/>
          <w:i/>
          <w:sz w:val="24"/>
          <w:szCs w:val="24"/>
        </w:rPr>
        <w:t xml:space="preserve"> nemení</w:t>
      </w:r>
      <w:r w:rsidR="00202A7D" w:rsidRPr="00202A7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202A7D" w:rsidRPr="00202A7D">
                <w:rPr>
                  <w:rFonts w:ascii="Segoe UI Symbol" w:eastAsia="Calibri" w:hAnsi="Segoe UI Symbol" w:cs="Segoe UI Symbol"/>
                  <w:i/>
                  <w:sz w:val="24"/>
                  <w:szCs w:val="24"/>
                </w:rPr>
                <w:t>☐</w:t>
              </w:r>
            </w:sdtContent>
          </w:sdt>
        </w:sdtContent>
      </w:sdt>
      <w:r w:rsidR="00202A7D" w:rsidRPr="00202A7D">
        <w:rPr>
          <w:rFonts w:ascii="Times New Roman" w:eastAsia="Calibri" w:hAnsi="Times New Roman" w:cs="Times New Roman"/>
          <w:i/>
          <w:sz w:val="24"/>
          <w:szCs w:val="24"/>
        </w:rPr>
        <w:t xml:space="preserve"> znižuje</w:t>
      </w:r>
    </w:p>
    <w:p w14:paraId="5BE93A62" w14:textId="77777777" w:rsidR="00202A7D" w:rsidRPr="00202A7D" w:rsidRDefault="00202A7D" w:rsidP="00202A7D">
      <w:pPr>
        <w:spacing w:after="0"/>
        <w:jc w:val="both"/>
        <w:rPr>
          <w:rFonts w:ascii="Times New Roman" w:eastAsia="Calibri" w:hAnsi="Times New Roman" w:cs="Times New Roman"/>
          <w:i/>
          <w:sz w:val="24"/>
          <w:szCs w:val="24"/>
        </w:rPr>
      </w:pPr>
    </w:p>
    <w:p w14:paraId="138F9FE4" w14:textId="77777777" w:rsidR="00202A7D" w:rsidRPr="00202A7D" w:rsidRDefault="00202A7D" w:rsidP="00202A7D">
      <w:pPr>
        <w:spacing w:after="0"/>
        <w:jc w:val="both"/>
        <w:rPr>
          <w:rFonts w:ascii="Times New Roman" w:eastAsia="Calibri" w:hAnsi="Times New Roman" w:cs="Times New Roman"/>
          <w:b/>
          <w:i/>
          <w:sz w:val="24"/>
          <w:szCs w:val="24"/>
        </w:rPr>
      </w:pPr>
      <w:r w:rsidRPr="00202A7D">
        <w:rPr>
          <w:rFonts w:ascii="Times New Roman" w:eastAsia="Calibri" w:hAnsi="Times New Roman" w:cs="Times New Roman"/>
          <w:b/>
          <w:i/>
          <w:sz w:val="24"/>
          <w:szCs w:val="24"/>
        </w:rPr>
        <w:t>Produktivita:</w:t>
      </w:r>
    </w:p>
    <w:p w14:paraId="4765C7BE"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Aký má materiál vplyv na zmenu pomeru medzi produkciou podnikov a ich nákladmi? </w:t>
      </w:r>
    </w:p>
    <w:p w14:paraId="384BA73E" w14:textId="77777777" w:rsidR="00202A7D" w:rsidRPr="00202A7D" w:rsidRDefault="00202A7D" w:rsidP="00202A7D">
      <w:pPr>
        <w:spacing w:after="0"/>
        <w:jc w:val="both"/>
        <w:rPr>
          <w:rFonts w:ascii="Times New Roman" w:eastAsia="Calibri" w:hAnsi="Times New Roman" w:cs="Times New Roman"/>
          <w:i/>
          <w:sz w:val="24"/>
          <w:szCs w:val="24"/>
        </w:rPr>
      </w:pPr>
    </w:p>
    <w:p w14:paraId="44B3EE91"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Na základe uvedenej odpovede zaškrtnite a popíšte, či materiál produktivitu:</w:t>
      </w:r>
    </w:p>
    <w:p w14:paraId="52A9C653" w14:textId="77777777" w:rsidR="00202A7D" w:rsidRPr="00202A7D" w:rsidRDefault="00A85DB2" w:rsidP="00202A7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202A7D" w:rsidRPr="00202A7D">
                <w:rPr>
                  <w:rFonts w:ascii="Segoe UI Symbol" w:eastAsia="Calibri" w:hAnsi="Segoe UI Symbol" w:cs="Segoe UI Symbol"/>
                  <w:i/>
                  <w:sz w:val="24"/>
                  <w:szCs w:val="24"/>
                </w:rPr>
                <w:t>x</w:t>
              </w:r>
            </w:sdtContent>
          </w:sdt>
        </w:sdtContent>
      </w:sdt>
      <w:r w:rsidR="00202A7D" w:rsidRPr="00202A7D">
        <w:rPr>
          <w:rFonts w:ascii="Times New Roman" w:eastAsia="Calibri" w:hAnsi="Times New Roman" w:cs="Times New Roman"/>
          <w:i/>
          <w:sz w:val="24"/>
          <w:szCs w:val="24"/>
        </w:rPr>
        <w:t xml:space="preserve"> zvyšuje  </w:t>
      </w:r>
      <w:r w:rsidR="00202A7D" w:rsidRPr="00202A7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Calibri" w:hAnsi="Times New Roman" w:cs="Times New Roman"/>
                    <w:i/>
                    <w:sz w:val="24"/>
                    <w:szCs w:val="24"/>
                  </w:rPr>
                  <w:id w:val="1883980434"/>
                </w:sdtPr>
                <w:sdtEndPr/>
                <w:sdtContent>
                  <w:sdt>
                    <w:sdtPr>
                      <w:rPr>
                        <w:rFonts w:ascii="Times New Roman" w:eastAsia="Calibri" w:hAnsi="Times New Roman" w:cs="Times New Roman"/>
                        <w:i/>
                        <w:sz w:val="24"/>
                        <w:szCs w:val="24"/>
                      </w:rPr>
                      <w:id w:val="486219379"/>
                    </w:sdtPr>
                    <w:sdtEndPr/>
                    <w:sdtContent>
                      <w:r w:rsidR="00202A7D" w:rsidRPr="00202A7D">
                        <w:rPr>
                          <w:rFonts w:ascii="Segoe UI Symbol" w:eastAsia="Calibri" w:hAnsi="Segoe UI Symbol" w:cs="Segoe UI Symbol"/>
                          <w:i/>
                          <w:sz w:val="24"/>
                          <w:szCs w:val="24"/>
                        </w:rPr>
                        <w:t>☐</w:t>
                      </w:r>
                    </w:sdtContent>
                  </w:sdt>
                </w:sdtContent>
              </w:sdt>
              <w:r w:rsidR="00202A7D" w:rsidRPr="00202A7D" w:rsidDel="00AF5781">
                <w:rPr>
                  <w:rFonts w:ascii="Segoe UI Symbol" w:eastAsia="Calibri" w:hAnsi="Segoe UI Symbol" w:cs="Segoe UI Symbol"/>
                  <w:i/>
                  <w:sz w:val="24"/>
                  <w:szCs w:val="24"/>
                </w:rPr>
                <w:t xml:space="preserve"> </w:t>
              </w:r>
            </w:sdtContent>
          </w:sdt>
        </w:sdtContent>
      </w:sdt>
      <w:r w:rsidR="00202A7D" w:rsidRPr="00202A7D">
        <w:rPr>
          <w:rFonts w:ascii="Times New Roman" w:eastAsia="Calibri" w:hAnsi="Times New Roman" w:cs="Times New Roman"/>
          <w:i/>
          <w:sz w:val="24"/>
          <w:szCs w:val="24"/>
        </w:rPr>
        <w:t xml:space="preserve"> nemení</w:t>
      </w:r>
      <w:r w:rsidR="00202A7D" w:rsidRPr="00202A7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202A7D" w:rsidRPr="00202A7D">
                <w:rPr>
                  <w:rFonts w:ascii="Segoe UI Symbol" w:eastAsia="Calibri" w:hAnsi="Segoe UI Symbol" w:cs="Segoe UI Symbol"/>
                  <w:i/>
                  <w:sz w:val="24"/>
                  <w:szCs w:val="24"/>
                </w:rPr>
                <w:t>☐</w:t>
              </w:r>
            </w:sdtContent>
          </w:sdt>
        </w:sdtContent>
      </w:sdt>
      <w:r w:rsidR="00202A7D" w:rsidRPr="00202A7D">
        <w:rPr>
          <w:rFonts w:ascii="Times New Roman" w:eastAsia="Calibri" w:hAnsi="Times New Roman" w:cs="Times New Roman"/>
          <w:i/>
          <w:sz w:val="24"/>
          <w:szCs w:val="24"/>
        </w:rPr>
        <w:t xml:space="preserve"> znižuje</w:t>
      </w:r>
    </w:p>
    <w:p w14:paraId="34B3F2EB" w14:textId="77777777" w:rsidR="00202A7D" w:rsidRPr="00202A7D" w:rsidRDefault="00202A7D" w:rsidP="00202A7D">
      <w:pPr>
        <w:spacing w:after="0"/>
        <w:jc w:val="both"/>
        <w:rPr>
          <w:rFonts w:ascii="Times New Roman" w:eastAsia="Calibri" w:hAnsi="Times New Roman" w:cs="Times New Roman"/>
          <w:i/>
          <w:sz w:val="24"/>
          <w:szCs w:val="24"/>
        </w:rPr>
      </w:pPr>
    </w:p>
    <w:p w14:paraId="5578B09D" w14:textId="77777777" w:rsidR="00202A7D" w:rsidRPr="00202A7D" w:rsidRDefault="00202A7D" w:rsidP="00202A7D">
      <w:pPr>
        <w:spacing w:after="0"/>
        <w:jc w:val="both"/>
        <w:rPr>
          <w:rFonts w:ascii="Times New Roman" w:eastAsia="Calibri" w:hAnsi="Times New Roman" w:cs="Times New Roman"/>
          <w:sz w:val="24"/>
          <w:szCs w:val="24"/>
        </w:rPr>
      </w:pPr>
      <w:r w:rsidRPr="00202A7D">
        <w:rPr>
          <w:rFonts w:ascii="Times New Roman" w:eastAsia="Calibri" w:hAnsi="Times New Roman" w:cs="Times New Roman"/>
          <w:sz w:val="24"/>
          <w:szCs w:val="24"/>
        </w:rPr>
        <w:t>Prekladaný materiál prispieva k zníženiu nákladov na energie podnikateľských subjektov (malé a stredné podniky a aktívni odberatelia v rámci podnikateľského sektora s inštalovaným zariadením na výrobu elektriny do 6 MW a tým k posilneniu konkurencieschopnosti podnikateľského prostredia a produktivity podnikov.</w:t>
      </w:r>
    </w:p>
    <w:p w14:paraId="7D34F5C7" w14:textId="77777777" w:rsidR="00202A7D" w:rsidRPr="00202A7D" w:rsidRDefault="00202A7D" w:rsidP="00202A7D">
      <w:pPr>
        <w:spacing w:after="0"/>
        <w:jc w:val="both"/>
        <w:rPr>
          <w:rFonts w:ascii="Times New Roman" w:eastAsia="Calibri" w:hAnsi="Times New Roman" w:cs="Times New Roman"/>
          <w:i/>
          <w:sz w:val="24"/>
          <w:szCs w:val="24"/>
        </w:rPr>
      </w:pPr>
    </w:p>
    <w:p w14:paraId="5BD9218C" w14:textId="77777777" w:rsidR="00202A7D" w:rsidRPr="00202A7D" w:rsidRDefault="00202A7D" w:rsidP="00202A7D">
      <w:pPr>
        <w:jc w:val="both"/>
        <w:rPr>
          <w:rFonts w:ascii="Times New Roman" w:eastAsia="Calibri" w:hAnsi="Times New Roman" w:cs="Times New Roman"/>
          <w:b/>
          <w:sz w:val="24"/>
          <w:szCs w:val="24"/>
        </w:rPr>
      </w:pPr>
      <w:r w:rsidRPr="00202A7D">
        <w:rPr>
          <w:rFonts w:ascii="Times New Roman" w:eastAsia="Calibri" w:hAnsi="Times New Roman" w:cs="Times New Roman"/>
          <w:b/>
          <w:sz w:val="24"/>
          <w:szCs w:val="24"/>
        </w:rPr>
        <w:t xml:space="preserve">3.4  Iné vplyvy na podnikateľské prostredie </w:t>
      </w:r>
    </w:p>
    <w:p w14:paraId="00A38D2E" w14:textId="77777777" w:rsidR="00202A7D" w:rsidRPr="00202A7D" w:rsidRDefault="00202A7D" w:rsidP="00202A7D">
      <w:pPr>
        <w:spacing w:after="0"/>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A6C7B9A" w14:textId="77777777" w:rsidR="00202A7D" w:rsidRPr="00202A7D" w:rsidRDefault="00202A7D" w:rsidP="00202A7D">
      <w:pPr>
        <w:numPr>
          <w:ilvl w:val="0"/>
          <w:numId w:val="1"/>
        </w:numPr>
        <w:spacing w:after="0" w:line="254" w:lineRule="auto"/>
        <w:contextualSpacing/>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20B0296C" w14:textId="77777777" w:rsidR="00202A7D" w:rsidRPr="00202A7D" w:rsidRDefault="00202A7D" w:rsidP="00202A7D">
      <w:pPr>
        <w:numPr>
          <w:ilvl w:val="0"/>
          <w:numId w:val="1"/>
        </w:numPr>
        <w:spacing w:after="0" w:line="254" w:lineRule="auto"/>
        <w:contextualSpacing/>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regulované ceny podľa zákona č. 18/1996 Z. z. o cenách;</w:t>
      </w:r>
    </w:p>
    <w:p w14:paraId="20F7B8B5" w14:textId="77777777" w:rsidR="00202A7D" w:rsidRPr="00202A7D" w:rsidRDefault="00202A7D" w:rsidP="00202A7D">
      <w:pPr>
        <w:numPr>
          <w:ilvl w:val="0"/>
          <w:numId w:val="1"/>
        </w:numPr>
        <w:spacing w:after="0" w:line="254" w:lineRule="auto"/>
        <w:contextualSpacing/>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iné vplyvy, ktoré predpokladá materiál, ale nemožno ich zaradiť do častí 3.1 a 3.3.,</w:t>
      </w:r>
    </w:p>
    <w:p w14:paraId="24C5B88F" w14:textId="77777777" w:rsidR="00202A7D" w:rsidRPr="00202A7D" w:rsidRDefault="00202A7D" w:rsidP="00202A7D">
      <w:pPr>
        <w:numPr>
          <w:ilvl w:val="0"/>
          <w:numId w:val="1"/>
        </w:numPr>
        <w:spacing w:after="0" w:line="254" w:lineRule="auto"/>
        <w:contextualSpacing/>
        <w:jc w:val="both"/>
        <w:rPr>
          <w:rFonts w:ascii="Times New Roman" w:eastAsia="Calibri" w:hAnsi="Times New Roman" w:cs="Times New Roman"/>
          <w:i/>
          <w:sz w:val="24"/>
          <w:szCs w:val="24"/>
        </w:rPr>
      </w:pPr>
      <w:r w:rsidRPr="00202A7D">
        <w:rPr>
          <w:rFonts w:ascii="Times New Roman" w:eastAsia="Calibri" w:hAnsi="Times New Roman" w:cs="Times New Roman"/>
          <w:i/>
          <w:sz w:val="24"/>
          <w:szCs w:val="24"/>
        </w:rPr>
        <w:t xml:space="preserve">iné vplyvy podľa písm. a) až c), ktoré sú </w:t>
      </w:r>
      <w:proofErr w:type="spellStart"/>
      <w:r w:rsidRPr="00202A7D">
        <w:rPr>
          <w:rFonts w:ascii="Times New Roman" w:eastAsia="Calibri" w:hAnsi="Times New Roman" w:cs="Times New Roman"/>
          <w:i/>
          <w:sz w:val="24"/>
          <w:szCs w:val="24"/>
        </w:rPr>
        <w:t>goldplatingom</w:t>
      </w:r>
      <w:proofErr w:type="spellEnd"/>
      <w:r w:rsidRPr="00202A7D">
        <w:rPr>
          <w:rFonts w:ascii="Times New Roman" w:eastAsia="Calibri" w:hAnsi="Times New Roman" w:cs="Times New Roman"/>
          <w:i/>
          <w:sz w:val="24"/>
          <w:szCs w:val="24"/>
        </w:rPr>
        <w:t>.</w:t>
      </w:r>
    </w:p>
    <w:p w14:paraId="0B4020A7" w14:textId="77777777" w:rsidR="00202A7D" w:rsidRPr="00202A7D" w:rsidRDefault="00202A7D" w:rsidP="00202A7D">
      <w:pPr>
        <w:spacing w:after="0" w:line="240" w:lineRule="auto"/>
        <w:rPr>
          <w:rFonts w:ascii="Times New Roman" w:eastAsia="Times New Roman" w:hAnsi="Times New Roman" w:cs="Times New Roman"/>
          <w:b/>
          <w:sz w:val="28"/>
          <w:szCs w:val="28"/>
          <w:lang w:eastAsia="sk-SK"/>
        </w:rPr>
      </w:pPr>
    </w:p>
    <w:p w14:paraId="7E986DC8" w14:textId="77777777" w:rsidR="00202A7D" w:rsidRPr="00202A7D" w:rsidRDefault="00202A7D" w:rsidP="00202A7D">
      <w:pPr>
        <w:spacing w:after="0"/>
        <w:jc w:val="both"/>
        <w:rPr>
          <w:rFonts w:ascii="Times New Roman" w:eastAsia="Calibri" w:hAnsi="Times New Roman" w:cs="Times New Roman"/>
          <w:sz w:val="24"/>
          <w:szCs w:val="24"/>
        </w:rPr>
      </w:pPr>
      <w:r w:rsidRPr="00202A7D">
        <w:rPr>
          <w:rFonts w:ascii="Times New Roman" w:eastAsia="Calibri" w:hAnsi="Times New Roman" w:cs="Times New Roman"/>
          <w:sz w:val="24"/>
          <w:szCs w:val="24"/>
        </w:rPr>
        <w:t>Nie sú identifikované iné vplyvy na podnikateľské prostredie.</w:t>
      </w:r>
    </w:p>
    <w:p w14:paraId="1D7B270A" w14:textId="77777777" w:rsidR="008F37A0" w:rsidRDefault="008F37A0"/>
    <w:sectPr w:rsidR="008F37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49FE0" w14:textId="77777777" w:rsidR="00A85DB2" w:rsidRDefault="00A85DB2" w:rsidP="00202A7D">
      <w:pPr>
        <w:spacing w:after="0" w:line="240" w:lineRule="auto"/>
      </w:pPr>
      <w:r>
        <w:separator/>
      </w:r>
    </w:p>
  </w:endnote>
  <w:endnote w:type="continuationSeparator" w:id="0">
    <w:p w14:paraId="129654C5" w14:textId="77777777" w:rsidR="00A85DB2" w:rsidRDefault="00A85DB2" w:rsidP="0020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EC64" w14:textId="77777777" w:rsidR="00A85DB2" w:rsidRDefault="00A85DB2" w:rsidP="00202A7D">
      <w:pPr>
        <w:spacing w:after="0" w:line="240" w:lineRule="auto"/>
      </w:pPr>
      <w:r>
        <w:separator/>
      </w:r>
    </w:p>
  </w:footnote>
  <w:footnote w:type="continuationSeparator" w:id="0">
    <w:p w14:paraId="6102822B" w14:textId="77777777" w:rsidR="00A85DB2" w:rsidRDefault="00A85DB2" w:rsidP="00202A7D">
      <w:pPr>
        <w:spacing w:after="0" w:line="240" w:lineRule="auto"/>
      </w:pPr>
      <w:r>
        <w:continuationSeparator/>
      </w:r>
    </w:p>
  </w:footnote>
  <w:footnote w:id="1">
    <w:p w14:paraId="5E7937FE" w14:textId="77777777" w:rsidR="00202A7D" w:rsidRPr="000A6B7F" w:rsidRDefault="00202A7D" w:rsidP="00202A7D">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4732A72B" w14:textId="77777777" w:rsidR="00202A7D" w:rsidRPr="00804BC8" w:rsidRDefault="00202A7D" w:rsidP="00202A7D">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F96A722" w14:textId="77777777" w:rsidR="00202A7D" w:rsidRDefault="00202A7D" w:rsidP="00202A7D">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84449"/>
    <w:multiLevelType w:val="hybridMultilevel"/>
    <w:tmpl w:val="8708AD08"/>
    <w:lvl w:ilvl="0" w:tplc="FA10FAF0">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7D"/>
    <w:rsid w:val="000B52AA"/>
    <w:rsid w:val="001B13D1"/>
    <w:rsid w:val="00202A7D"/>
    <w:rsid w:val="00260007"/>
    <w:rsid w:val="00772EDA"/>
    <w:rsid w:val="008F37A0"/>
    <w:rsid w:val="009F7BCD"/>
    <w:rsid w:val="00A85DB2"/>
    <w:rsid w:val="00B53B49"/>
    <w:rsid w:val="00CA5EFC"/>
    <w:rsid w:val="00F90CF8"/>
    <w:rsid w:val="7CB0E7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1CE1"/>
  <w15:chartTrackingRefBased/>
  <w15:docId w15:val="{BA4C1E3D-35DC-4846-8E11-0BD82F19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Footnote Text Char,Znak"/>
    <w:basedOn w:val="Normlny"/>
    <w:link w:val="TextpoznmkypodiarouChar"/>
    <w:uiPriority w:val="99"/>
    <w:unhideWhenUsed/>
    <w:rsid w:val="00202A7D"/>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202A7D"/>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20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hsr.sk/podnikatelske-prostredie/lepsia-regulacia/regulacne-zatazenie/kalkulacka-nakladov-regulac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3CF52F38788447A43E61D16C2BBC8B" ma:contentTypeVersion="4" ma:contentTypeDescription="Create a new document." ma:contentTypeScope="" ma:versionID="7b6de52bc65923b8eaf0707d00ea1c52">
  <xsd:schema xmlns:xsd="http://www.w3.org/2001/XMLSchema" xmlns:xs="http://www.w3.org/2001/XMLSchema" xmlns:p="http://schemas.microsoft.com/office/2006/metadata/properties" xmlns:ns2="5916a675-1cb6-4f8f-b5de-89db209f1482" targetNamespace="http://schemas.microsoft.com/office/2006/metadata/properties" ma:root="true" ma:fieldsID="4d68da31ef25d44f3ae246a328cce1ff" ns2:_="">
    <xsd:import namespace="5916a675-1cb6-4f8f-b5de-89db209f1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a675-1cb6-4f8f-b5de-89db209f1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C8057-2A3A-4673-91C8-9E1913669DD1}">
  <ds:schemaRefs>
    <ds:schemaRef ds:uri="http://schemas.microsoft.com/sharepoint/v3/contenttype/forms"/>
  </ds:schemaRefs>
</ds:datastoreItem>
</file>

<file path=customXml/itemProps2.xml><?xml version="1.0" encoding="utf-8"?>
<ds:datastoreItem xmlns:ds="http://schemas.openxmlformats.org/officeDocument/2006/customXml" ds:itemID="{7705653C-0802-46F7-A01E-ACAE027281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514D47-D9F5-4CCB-87BB-227E94827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a675-1cb6-4f8f-b5de-89db209f1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2522</Words>
  <Characters>14381</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Vitoslavsky Daniel</dc:creator>
  <cp:keywords/>
  <dc:description/>
  <cp:lastModifiedBy>Vitoslavsky Daniel</cp:lastModifiedBy>
  <cp:revision>2</cp:revision>
  <dcterms:created xsi:type="dcterms:W3CDTF">2025-03-17T08:55:00Z</dcterms:created>
  <dcterms:modified xsi:type="dcterms:W3CDTF">2025-03-17T08:55:00Z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0x010100363CF52F38788447A43E61D16C2BBC8B</vt:lpwstr>
  </property>
</Properties>
</file>