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2D1F" w14:textId="77777777" w:rsidR="00076AAE" w:rsidRPr="00F83E0D" w:rsidRDefault="00076AAE" w:rsidP="00076AAE">
      <w:pPr>
        <w:jc w:val="center"/>
        <w:rPr>
          <w:b/>
          <w:sz w:val="28"/>
          <w:szCs w:val="28"/>
        </w:rPr>
      </w:pPr>
      <w:r w:rsidRPr="00F83E0D">
        <w:rPr>
          <w:b/>
          <w:sz w:val="28"/>
          <w:szCs w:val="28"/>
        </w:rPr>
        <w:t>Doložka vybraných vplyvov</w:t>
      </w:r>
    </w:p>
    <w:p w14:paraId="2942EBA9" w14:textId="77777777" w:rsidR="00076AAE" w:rsidRPr="00F83E0D" w:rsidRDefault="00076AAE" w:rsidP="00076AAE">
      <w:pPr>
        <w:jc w:val="center"/>
        <w:rPr>
          <w:b/>
          <w:sz w:val="28"/>
          <w:szCs w:val="28"/>
        </w:rPr>
      </w:pPr>
    </w:p>
    <w:p w14:paraId="07576D5E" w14:textId="77777777" w:rsidR="00076AAE" w:rsidRPr="00F83E0D" w:rsidRDefault="00076AAE" w:rsidP="00076AAE">
      <w:pPr>
        <w:spacing w:after="200" w:line="276" w:lineRule="auto"/>
        <w:ind w:left="426"/>
        <w:contextualSpacing/>
        <w:rPr>
          <w:rFonts w:ascii="Calibri" w:eastAsia="Calibri" w:hAnsi="Calibri"/>
          <w:b/>
          <w:sz w:val="22"/>
          <w:szCs w:val="22"/>
          <w:lang w:eastAsia="en-US"/>
        </w:rPr>
      </w:pPr>
    </w:p>
    <w:tbl>
      <w:tblPr>
        <w:tblStyle w:val="Mriekatabuky1"/>
        <w:tblW w:w="8855" w:type="dxa"/>
        <w:tblLayout w:type="fixed"/>
        <w:tblLook w:val="04A0" w:firstRow="1" w:lastRow="0" w:firstColumn="1" w:lastColumn="0" w:noHBand="0" w:noVBand="1"/>
      </w:tblPr>
      <w:tblGrid>
        <w:gridCol w:w="1610"/>
        <w:gridCol w:w="1610"/>
        <w:gridCol w:w="1610"/>
        <w:gridCol w:w="805"/>
        <w:gridCol w:w="1610"/>
        <w:gridCol w:w="1610"/>
      </w:tblGrid>
      <w:tr w:rsidR="00076AAE" w:rsidRPr="00F83E0D" w14:paraId="0F8B8909" w14:textId="77777777" w:rsidTr="6F03B451">
        <w:tc>
          <w:tcPr>
            <w:tcW w:w="8855" w:type="dxa"/>
            <w:gridSpan w:val="6"/>
            <w:tcBorders>
              <w:bottom w:val="single" w:sz="4" w:space="0" w:color="FFFFFF" w:themeColor="background1"/>
            </w:tcBorders>
            <w:shd w:val="clear" w:color="auto" w:fill="E2E2E2"/>
          </w:tcPr>
          <w:p w14:paraId="400B60C0"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Základné údaje</w:t>
            </w:r>
          </w:p>
        </w:tc>
      </w:tr>
      <w:tr w:rsidR="00076AAE" w:rsidRPr="00F83E0D" w14:paraId="72DF53A7" w14:textId="77777777" w:rsidTr="6F03B451">
        <w:tc>
          <w:tcPr>
            <w:tcW w:w="8855" w:type="dxa"/>
            <w:gridSpan w:val="6"/>
            <w:tcBorders>
              <w:bottom w:val="single" w:sz="4" w:space="0" w:color="FFFFFF" w:themeColor="background1"/>
            </w:tcBorders>
            <w:shd w:val="clear" w:color="auto" w:fill="E2E2E2"/>
          </w:tcPr>
          <w:p w14:paraId="7714C53B" w14:textId="77777777" w:rsidR="00076AAE" w:rsidRPr="00F83E0D" w:rsidRDefault="00076AAE" w:rsidP="000737B2">
            <w:pPr>
              <w:spacing w:after="200" w:line="276" w:lineRule="auto"/>
              <w:ind w:left="142"/>
              <w:contextualSpacing/>
              <w:rPr>
                <w:rFonts w:eastAsia="Calibri"/>
                <w:b/>
                <w:sz w:val="22"/>
                <w:szCs w:val="22"/>
                <w:lang w:eastAsia="en-US"/>
              </w:rPr>
            </w:pPr>
            <w:r w:rsidRPr="00F83E0D">
              <w:rPr>
                <w:rFonts w:eastAsia="Calibri"/>
                <w:b/>
                <w:sz w:val="22"/>
                <w:szCs w:val="22"/>
                <w:lang w:eastAsia="en-US"/>
              </w:rPr>
              <w:t>Názov materiálu</w:t>
            </w:r>
          </w:p>
        </w:tc>
      </w:tr>
      <w:tr w:rsidR="00076AAE" w:rsidRPr="00F83E0D" w14:paraId="1B1A1A6B" w14:textId="77777777" w:rsidTr="6F03B451">
        <w:tc>
          <w:tcPr>
            <w:tcW w:w="8855" w:type="dxa"/>
            <w:gridSpan w:val="6"/>
            <w:tcBorders>
              <w:top w:val="single" w:sz="4" w:space="0" w:color="FFFFFF" w:themeColor="background1"/>
              <w:bottom w:val="single" w:sz="4" w:space="0" w:color="auto"/>
            </w:tcBorders>
          </w:tcPr>
          <w:p w14:paraId="7C992B2B" w14:textId="77777777" w:rsidR="00076AAE" w:rsidRPr="00F83E0D" w:rsidRDefault="60E253A5" w:rsidP="6F03B451">
            <w:pPr>
              <w:jc w:val="both"/>
              <w:rPr>
                <w:rFonts w:ascii="Times" w:eastAsiaTheme="minorEastAsia" w:hAnsi="Times" w:cs="Times"/>
                <w:sz w:val="20"/>
                <w:szCs w:val="20"/>
                <w:lang w:eastAsia="en-US"/>
              </w:rPr>
            </w:pPr>
            <w:r w:rsidRPr="6F03B451">
              <w:rPr>
                <w:rFonts w:ascii="Times" w:eastAsiaTheme="minorEastAsia" w:hAnsi="Times" w:cs="Times"/>
                <w:sz w:val="20"/>
                <w:szCs w:val="20"/>
                <w:lang w:eastAsia="en-US"/>
              </w:rPr>
              <w:t xml:space="preserve">Návrh zákona, ktorým sa mení a dopĺňa zákon </w:t>
            </w:r>
            <w:r w:rsidR="79CE6009" w:rsidRPr="6F03B451">
              <w:rPr>
                <w:rFonts w:ascii="Times" w:eastAsiaTheme="minorEastAsia" w:hAnsi="Times" w:cs="Times"/>
                <w:sz w:val="20"/>
                <w:szCs w:val="20"/>
                <w:lang w:eastAsia="en-US"/>
              </w:rPr>
              <w:t>č. 251/2012 Z. z. o energetike a o zmene a doplnení niektorých zákonov v znení neskorších predpisov a ktorým s</w:t>
            </w:r>
            <w:r w:rsidR="74FD4BE8" w:rsidRPr="6F03B451">
              <w:rPr>
                <w:rFonts w:ascii="Times" w:eastAsiaTheme="minorEastAsia" w:hAnsi="Times" w:cs="Times"/>
                <w:sz w:val="20"/>
                <w:szCs w:val="20"/>
                <w:lang w:eastAsia="en-US"/>
              </w:rPr>
              <w:t>a menia a dopĺňajú niektoré zákony</w:t>
            </w:r>
          </w:p>
        </w:tc>
      </w:tr>
      <w:tr w:rsidR="00076AAE" w:rsidRPr="00F83E0D" w14:paraId="2B5C5B6B" w14:textId="77777777" w:rsidTr="6F03B451">
        <w:tc>
          <w:tcPr>
            <w:tcW w:w="8855" w:type="dxa"/>
            <w:gridSpan w:val="6"/>
            <w:tcBorders>
              <w:top w:val="single" w:sz="4" w:space="0" w:color="auto"/>
              <w:left w:val="single" w:sz="4" w:space="0" w:color="auto"/>
              <w:bottom w:val="single" w:sz="4" w:space="0" w:color="FFFFFF" w:themeColor="background1"/>
            </w:tcBorders>
            <w:shd w:val="clear" w:color="auto" w:fill="E2E2E2"/>
          </w:tcPr>
          <w:p w14:paraId="53742FD8" w14:textId="77777777" w:rsidR="00076AAE" w:rsidRPr="00F83E0D" w:rsidRDefault="00076AAE" w:rsidP="000737B2">
            <w:pPr>
              <w:spacing w:after="200" w:line="276" w:lineRule="auto"/>
              <w:ind w:left="142"/>
              <w:contextualSpacing/>
              <w:rPr>
                <w:rFonts w:eastAsia="Calibri"/>
                <w:b/>
                <w:sz w:val="22"/>
                <w:szCs w:val="22"/>
                <w:lang w:eastAsia="en-US"/>
              </w:rPr>
            </w:pPr>
            <w:r w:rsidRPr="00F83E0D">
              <w:rPr>
                <w:rFonts w:eastAsia="Calibri"/>
                <w:b/>
                <w:sz w:val="22"/>
                <w:szCs w:val="22"/>
                <w:lang w:eastAsia="en-US"/>
              </w:rPr>
              <w:t>Predkladateľ (a spolupredkladateľ)</w:t>
            </w:r>
          </w:p>
        </w:tc>
      </w:tr>
      <w:tr w:rsidR="00076AAE" w:rsidRPr="00F83E0D" w14:paraId="5504C7BD" w14:textId="77777777" w:rsidTr="6F03B451">
        <w:tc>
          <w:tcPr>
            <w:tcW w:w="8855" w:type="dxa"/>
            <w:gridSpan w:val="6"/>
            <w:tcBorders>
              <w:top w:val="single" w:sz="4" w:space="0" w:color="FFFFFF" w:themeColor="background1"/>
              <w:left w:val="single" w:sz="4" w:space="0" w:color="auto"/>
              <w:bottom w:val="single" w:sz="4" w:space="0" w:color="auto"/>
            </w:tcBorders>
            <w:shd w:val="clear" w:color="auto" w:fill="FFFFFF" w:themeFill="background1"/>
          </w:tcPr>
          <w:p w14:paraId="112BEB92" w14:textId="77777777" w:rsidR="00076AAE" w:rsidRPr="00F83E0D" w:rsidRDefault="00076AAE" w:rsidP="000737B2">
            <w:pPr>
              <w:rPr>
                <w:sz w:val="20"/>
                <w:szCs w:val="20"/>
              </w:rPr>
            </w:pPr>
            <w:r w:rsidRPr="00F83E0D">
              <w:rPr>
                <w:rFonts w:ascii="Times" w:eastAsiaTheme="minorHAnsi" w:hAnsi="Times" w:cs="Times"/>
                <w:sz w:val="20"/>
                <w:szCs w:val="20"/>
                <w:lang w:eastAsia="en-US"/>
              </w:rPr>
              <w:t>Ministerstvo hospodárstva Slovenskej republiky</w:t>
            </w:r>
          </w:p>
          <w:p w14:paraId="5CF8EF64" w14:textId="77777777" w:rsidR="00076AAE" w:rsidRPr="00F83E0D" w:rsidRDefault="00076AAE" w:rsidP="000737B2">
            <w:pPr>
              <w:rPr>
                <w:sz w:val="20"/>
                <w:szCs w:val="20"/>
              </w:rPr>
            </w:pPr>
          </w:p>
        </w:tc>
      </w:tr>
      <w:tr w:rsidR="00076AAE" w:rsidRPr="00F83E0D" w14:paraId="3C69F65B" w14:textId="77777777" w:rsidTr="6F03B451">
        <w:tc>
          <w:tcPr>
            <w:tcW w:w="1610" w:type="dxa"/>
            <w:vMerge w:val="restart"/>
            <w:tcBorders>
              <w:top w:val="single" w:sz="4" w:space="0" w:color="auto"/>
              <w:left w:val="single" w:sz="4" w:space="0" w:color="auto"/>
              <w:bottom w:val="single" w:sz="4" w:space="0" w:color="FFFFFF" w:themeColor="background1"/>
            </w:tcBorders>
            <w:shd w:val="clear" w:color="auto" w:fill="E2E2E2"/>
            <w:vAlign w:val="center"/>
          </w:tcPr>
          <w:p w14:paraId="336F7387" w14:textId="77777777" w:rsidR="00076AAE" w:rsidRPr="00F83E0D" w:rsidRDefault="00076AAE" w:rsidP="000737B2">
            <w:pPr>
              <w:spacing w:after="200" w:line="276" w:lineRule="auto"/>
              <w:ind w:left="142"/>
              <w:contextualSpacing/>
              <w:rPr>
                <w:rFonts w:eastAsia="Calibri"/>
                <w:b/>
                <w:sz w:val="22"/>
                <w:szCs w:val="22"/>
                <w:lang w:eastAsia="en-US"/>
              </w:rPr>
            </w:pPr>
            <w:r w:rsidRPr="00F83E0D">
              <w:rPr>
                <w:rFonts w:eastAsia="Calibri"/>
                <w:b/>
                <w:sz w:val="22"/>
                <w:szCs w:val="22"/>
                <w:lang w:eastAsia="en-US"/>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55AFE206" w14:textId="77777777" w:rsidR="00076AAE" w:rsidRPr="00F83E0D" w:rsidRDefault="00076AAE" w:rsidP="000737B2">
                <w:pPr>
                  <w:jc w:val="center"/>
                  <w:rPr>
                    <w:sz w:val="20"/>
                    <w:szCs w:val="20"/>
                  </w:rPr>
                </w:pPr>
                <w:r w:rsidRPr="00F83E0D">
                  <w:rPr>
                    <w:rFonts w:eastAsia="MS Gothic" w:hint="eastAsia"/>
                    <w:sz w:val="20"/>
                    <w:szCs w:val="20"/>
                  </w:rPr>
                  <w:t>☐</w:t>
                </w:r>
              </w:p>
            </w:tc>
          </w:sdtContent>
        </w:sdt>
        <w:tc>
          <w:tcPr>
            <w:tcW w:w="5635" w:type="dxa"/>
            <w:gridSpan w:val="4"/>
            <w:tcBorders>
              <w:top w:val="single" w:sz="4" w:space="0" w:color="auto"/>
              <w:left w:val="nil"/>
              <w:bottom w:val="single" w:sz="4" w:space="0" w:color="auto"/>
              <w:right w:val="single" w:sz="4" w:space="0" w:color="auto"/>
            </w:tcBorders>
            <w:shd w:val="clear" w:color="auto" w:fill="FFFFFF" w:themeFill="background1"/>
          </w:tcPr>
          <w:p w14:paraId="577EF42B" w14:textId="77777777" w:rsidR="00076AAE" w:rsidRPr="00F83E0D" w:rsidRDefault="00076AAE" w:rsidP="000737B2">
            <w:pPr>
              <w:rPr>
                <w:sz w:val="20"/>
                <w:szCs w:val="20"/>
              </w:rPr>
            </w:pPr>
            <w:r w:rsidRPr="00F83E0D">
              <w:rPr>
                <w:sz w:val="20"/>
                <w:szCs w:val="20"/>
              </w:rPr>
              <w:t>Materiál nelegislatívnej povahy</w:t>
            </w:r>
          </w:p>
        </w:tc>
      </w:tr>
      <w:tr w:rsidR="00076AAE" w:rsidRPr="00F83E0D" w14:paraId="2DB6ADFC" w14:textId="77777777" w:rsidTr="6F03B451">
        <w:tc>
          <w:tcPr>
            <w:tcW w:w="1610" w:type="dxa"/>
            <w:vMerge/>
          </w:tcPr>
          <w:p w14:paraId="481CC7A4" w14:textId="77777777" w:rsidR="00076AAE" w:rsidRPr="00F83E0D" w:rsidRDefault="00076AAE" w:rsidP="000737B2">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1323BC77" w14:textId="77777777" w:rsidR="00076AAE" w:rsidRPr="00F83E0D" w:rsidRDefault="00076AAE" w:rsidP="000737B2">
                <w:pPr>
                  <w:jc w:val="center"/>
                  <w:rPr>
                    <w:sz w:val="20"/>
                    <w:szCs w:val="20"/>
                  </w:rPr>
                </w:pPr>
                <w:r>
                  <w:rPr>
                    <w:rFonts w:ascii="MS Gothic" w:eastAsia="MS Gothic" w:hAnsi="MS Gothic" w:hint="eastAsia"/>
                    <w:sz w:val="20"/>
                    <w:szCs w:val="20"/>
                  </w:rPr>
                  <w:t>☒</w:t>
                </w:r>
              </w:p>
            </w:tc>
          </w:sdtContent>
        </w:sdt>
        <w:tc>
          <w:tcPr>
            <w:tcW w:w="5635" w:type="dxa"/>
            <w:gridSpan w:val="4"/>
            <w:tcBorders>
              <w:top w:val="single" w:sz="4" w:space="0" w:color="auto"/>
              <w:left w:val="nil"/>
              <w:bottom w:val="single" w:sz="4" w:space="0" w:color="auto"/>
            </w:tcBorders>
            <w:shd w:val="clear" w:color="auto" w:fill="FFFFFF" w:themeFill="background1"/>
          </w:tcPr>
          <w:p w14:paraId="5D01EB8F" w14:textId="77777777" w:rsidR="00076AAE" w:rsidRPr="00F83E0D" w:rsidRDefault="00076AAE" w:rsidP="000737B2">
            <w:pPr>
              <w:ind w:left="175" w:hanging="175"/>
              <w:rPr>
                <w:sz w:val="20"/>
                <w:szCs w:val="20"/>
              </w:rPr>
            </w:pPr>
            <w:r w:rsidRPr="00F83E0D">
              <w:rPr>
                <w:sz w:val="20"/>
                <w:szCs w:val="20"/>
              </w:rPr>
              <w:t>Materiál legislatívnej povahy</w:t>
            </w:r>
          </w:p>
        </w:tc>
      </w:tr>
      <w:tr w:rsidR="00076AAE" w:rsidRPr="00F83E0D" w14:paraId="1A1E830A" w14:textId="77777777" w:rsidTr="6F03B451">
        <w:tc>
          <w:tcPr>
            <w:tcW w:w="1610" w:type="dxa"/>
            <w:vMerge/>
          </w:tcPr>
          <w:p w14:paraId="543D58A3" w14:textId="77777777" w:rsidR="00076AAE" w:rsidRPr="00F83E0D" w:rsidRDefault="00076AAE" w:rsidP="000737B2">
            <w:pPr>
              <w:rPr>
                <w:sz w:val="20"/>
                <w:szCs w:val="20"/>
              </w:rPr>
            </w:pPr>
          </w:p>
        </w:tc>
        <w:sdt>
          <w:sdtPr>
            <w:rPr>
              <w:sz w:val="20"/>
              <w:szCs w:val="20"/>
            </w:rPr>
            <w:id w:val="-1821804044"/>
            <w14:checkbox>
              <w14:checked w14:val="1"/>
              <w14:checkedState w14:val="2612" w14:font="MS Gothic"/>
              <w14:uncheckedState w14:val="2610" w14:font="MS Gothic"/>
            </w14:checkbox>
          </w:sdtPr>
          <w:sdtEndPr/>
          <w:sdtContent>
            <w:tc>
              <w:tcPr>
                <w:tcW w:w="1610" w:type="dxa"/>
                <w:tcBorders>
                  <w:top w:val="single" w:sz="4" w:space="0" w:color="auto"/>
                  <w:left w:val="single" w:sz="4" w:space="0" w:color="auto"/>
                  <w:bottom w:val="single" w:sz="4" w:space="0" w:color="auto"/>
                  <w:right w:val="nil"/>
                </w:tcBorders>
                <w:shd w:val="clear" w:color="auto" w:fill="FFFFFF" w:themeFill="background1"/>
              </w:tcPr>
              <w:p w14:paraId="507E58FA" w14:textId="77777777" w:rsidR="00076AAE" w:rsidRPr="00F83E0D" w:rsidRDefault="00076AAE" w:rsidP="000737B2">
                <w:pPr>
                  <w:jc w:val="center"/>
                  <w:rPr>
                    <w:sz w:val="20"/>
                    <w:szCs w:val="20"/>
                  </w:rPr>
                </w:pPr>
                <w:r w:rsidRPr="00F83E0D">
                  <w:rPr>
                    <w:rFonts w:eastAsia="MS Gothic" w:hint="eastAsia"/>
                    <w:sz w:val="20"/>
                    <w:szCs w:val="20"/>
                  </w:rPr>
                  <w:t>☒</w:t>
                </w:r>
              </w:p>
            </w:tc>
          </w:sdtContent>
        </w:sdt>
        <w:tc>
          <w:tcPr>
            <w:tcW w:w="5635" w:type="dxa"/>
            <w:gridSpan w:val="4"/>
            <w:tcBorders>
              <w:top w:val="single" w:sz="4" w:space="0" w:color="auto"/>
              <w:left w:val="nil"/>
              <w:bottom w:val="single" w:sz="4" w:space="0" w:color="auto"/>
            </w:tcBorders>
            <w:shd w:val="clear" w:color="auto" w:fill="FFFFFF" w:themeFill="background1"/>
          </w:tcPr>
          <w:p w14:paraId="1A286103" w14:textId="77777777" w:rsidR="00076AAE" w:rsidRPr="00F83E0D" w:rsidRDefault="00076AAE" w:rsidP="000737B2">
            <w:pPr>
              <w:rPr>
                <w:sz w:val="20"/>
                <w:szCs w:val="20"/>
              </w:rPr>
            </w:pPr>
            <w:r w:rsidRPr="00F83E0D">
              <w:rPr>
                <w:sz w:val="20"/>
                <w:szCs w:val="20"/>
              </w:rPr>
              <w:t>Transpozícia/ implementácia práva EÚ</w:t>
            </w:r>
          </w:p>
        </w:tc>
      </w:tr>
      <w:tr w:rsidR="00076AAE" w:rsidRPr="00F83E0D" w14:paraId="0BA98227" w14:textId="77777777" w:rsidTr="6F03B451">
        <w:tc>
          <w:tcPr>
            <w:tcW w:w="8855" w:type="dxa"/>
            <w:gridSpan w:val="6"/>
            <w:tcBorders>
              <w:top w:val="single" w:sz="4" w:space="0" w:color="auto"/>
              <w:left w:val="single" w:sz="4" w:space="0" w:color="auto"/>
              <w:bottom w:val="single" w:sz="4" w:space="0" w:color="FFFFFF" w:themeColor="background1"/>
            </w:tcBorders>
            <w:shd w:val="clear" w:color="auto" w:fill="FFFFFF" w:themeFill="background1"/>
          </w:tcPr>
          <w:p w14:paraId="1F95CD08" w14:textId="77777777" w:rsidR="00076AAE" w:rsidRPr="00F83E0D" w:rsidRDefault="00076AAE" w:rsidP="000737B2">
            <w:pPr>
              <w:rPr>
                <w:i/>
                <w:sz w:val="20"/>
                <w:szCs w:val="20"/>
              </w:rPr>
            </w:pPr>
            <w:r w:rsidRPr="00F83E0D">
              <w:rPr>
                <w:i/>
                <w:sz w:val="20"/>
                <w:szCs w:val="20"/>
              </w:rPr>
              <w:t>V prípade transpozície/implementácie uveďte zoznam transponovaných/implementovaných predpisov:</w:t>
            </w:r>
          </w:p>
          <w:p w14:paraId="50E780CD" w14:textId="77777777" w:rsidR="00076AAE" w:rsidRPr="00F83E0D" w:rsidRDefault="00076AAE" w:rsidP="000737B2">
            <w:pPr>
              <w:jc w:val="both"/>
              <w:rPr>
                <w:i/>
                <w:sz w:val="20"/>
                <w:szCs w:val="20"/>
              </w:rPr>
            </w:pPr>
          </w:p>
          <w:p w14:paraId="5C450A98" w14:textId="0E53D705" w:rsidR="00076AAE" w:rsidRPr="00F83E0D" w:rsidRDefault="00076AAE" w:rsidP="00076AAE">
            <w:pPr>
              <w:numPr>
                <w:ilvl w:val="0"/>
                <w:numId w:val="5"/>
              </w:numPr>
              <w:contextualSpacing/>
              <w:jc w:val="both"/>
              <w:rPr>
                <w:sz w:val="20"/>
                <w:szCs w:val="20"/>
              </w:rPr>
            </w:pPr>
            <w:r w:rsidRPr="00F83E0D">
              <w:rPr>
                <w:rFonts w:ascii="Times" w:eastAsiaTheme="minorHAnsi" w:hAnsi="Times" w:cs="Times"/>
                <w:sz w:val="22"/>
                <w:szCs w:val="22"/>
                <w:lang w:eastAsia="en-US"/>
              </w:rPr>
              <w:t>smernica Európskeho parlamentu a Rady (EÚ) 2023/2413 z 18. októbra 2023, ktorou sa mení smernica (EÚ) 2018/2001, nariadenie (EÚ) 2018/1999 a smernica 98/70/ES, pokiaľ ide o podporu energie z obnoviteľných zdrojov, a ktorou sa zrušuje smernica Rady (EÚ) 2015/652</w:t>
            </w:r>
            <w:r>
              <w:rPr>
                <w:rFonts w:ascii="Times" w:eastAsiaTheme="minorHAnsi" w:hAnsi="Times" w:cs="Times"/>
                <w:sz w:val="22"/>
                <w:szCs w:val="22"/>
                <w:lang w:eastAsia="en-US"/>
              </w:rPr>
              <w:t>,</w:t>
            </w:r>
          </w:p>
          <w:p w14:paraId="5FB4460E" w14:textId="77777777" w:rsidR="00076AAE" w:rsidRPr="00F83E0D" w:rsidRDefault="00076AAE" w:rsidP="00076AAE">
            <w:pPr>
              <w:numPr>
                <w:ilvl w:val="0"/>
                <w:numId w:val="5"/>
              </w:numPr>
              <w:contextualSpacing/>
              <w:jc w:val="both"/>
              <w:rPr>
                <w:sz w:val="20"/>
                <w:szCs w:val="20"/>
              </w:rPr>
            </w:pPr>
            <w:r w:rsidRPr="00F83E0D">
              <w:rPr>
                <w:rFonts w:ascii="Times" w:eastAsiaTheme="minorHAnsi" w:hAnsi="Times" w:cs="Times"/>
                <w:sz w:val="22"/>
                <w:szCs w:val="22"/>
                <w:lang w:eastAsia="en-US"/>
              </w:rPr>
              <w:t xml:space="preserve">nariadenie Európskeho parlamentu a Rady </w:t>
            </w:r>
            <w:r w:rsidRPr="00F83E0D">
              <w:rPr>
                <w:rFonts w:ascii="Times" w:eastAsiaTheme="minorHAnsi" w:hAnsi="Times" w:cs="Times"/>
                <w:sz w:val="22"/>
                <w:szCs w:val="22"/>
                <w:lang w:val="pl-PL" w:eastAsia="en-US"/>
              </w:rPr>
              <w:t>2024/1747 z 13. júna 2024</w:t>
            </w:r>
            <w:r w:rsidRPr="00F83E0D">
              <w:rPr>
                <w:rFonts w:ascii="Times" w:eastAsiaTheme="minorHAnsi" w:hAnsi="Times" w:cs="Times"/>
                <w:sz w:val="22"/>
                <w:szCs w:val="22"/>
                <w:lang w:eastAsia="en-US"/>
              </w:rPr>
              <w:t>, ktorým sa menia nariadenia (EÚ) 2019/943 a (EÚ) 2019/942, pokiaľ ide o zlepšenie koncepcie trhu s elektrinou v</w:t>
            </w:r>
            <w:r>
              <w:rPr>
                <w:rFonts w:ascii="Times" w:eastAsiaTheme="minorHAnsi" w:hAnsi="Times" w:cs="Times"/>
                <w:sz w:val="22"/>
                <w:szCs w:val="22"/>
                <w:lang w:eastAsia="en-US"/>
              </w:rPr>
              <w:t> </w:t>
            </w:r>
            <w:r w:rsidRPr="00F83E0D">
              <w:rPr>
                <w:rFonts w:ascii="Times" w:eastAsiaTheme="minorHAnsi" w:hAnsi="Times" w:cs="Times"/>
                <w:sz w:val="22"/>
                <w:szCs w:val="22"/>
                <w:lang w:eastAsia="en-US"/>
              </w:rPr>
              <w:t>Únii</w:t>
            </w:r>
            <w:r>
              <w:rPr>
                <w:rFonts w:ascii="Times" w:eastAsiaTheme="minorHAnsi" w:hAnsi="Times" w:cs="Times"/>
                <w:sz w:val="22"/>
                <w:szCs w:val="22"/>
                <w:lang w:eastAsia="en-US"/>
              </w:rPr>
              <w:t>,</w:t>
            </w:r>
          </w:p>
          <w:p w14:paraId="21F062F3" w14:textId="77777777" w:rsidR="00076AAE" w:rsidRPr="00F83E0D" w:rsidRDefault="00076AAE" w:rsidP="00076AAE">
            <w:pPr>
              <w:numPr>
                <w:ilvl w:val="0"/>
                <w:numId w:val="5"/>
              </w:numPr>
              <w:contextualSpacing/>
              <w:jc w:val="both"/>
              <w:rPr>
                <w:sz w:val="20"/>
                <w:szCs w:val="20"/>
              </w:rPr>
            </w:pPr>
            <w:r w:rsidRPr="00F83E0D">
              <w:rPr>
                <w:rFonts w:ascii="Times" w:eastAsiaTheme="minorHAnsi" w:hAnsi="Times" w:cs="Times"/>
                <w:sz w:val="22"/>
                <w:szCs w:val="22"/>
                <w:lang w:eastAsia="en-US"/>
              </w:rPr>
              <w:t xml:space="preserve">smernica Európskeho parlamentu a Rady (EÚ) </w:t>
            </w:r>
            <w:r w:rsidRPr="00F83E0D">
              <w:rPr>
                <w:rFonts w:ascii="Times" w:eastAsiaTheme="minorHAnsi" w:hAnsi="Times" w:cs="Times"/>
                <w:sz w:val="22"/>
                <w:szCs w:val="22"/>
                <w:lang w:val="pl-PL" w:eastAsia="en-US"/>
              </w:rPr>
              <w:t>2024/1711 z 13. júna 2024</w:t>
            </w:r>
            <w:r w:rsidRPr="00F83E0D">
              <w:rPr>
                <w:rFonts w:ascii="Times" w:eastAsiaTheme="minorHAnsi" w:hAnsi="Times" w:cs="Times"/>
                <w:sz w:val="22"/>
                <w:szCs w:val="22"/>
                <w:lang w:eastAsia="en-US"/>
              </w:rPr>
              <w:t>, ktorou sa menia smernice (EÚ) 2018/2001 a (EÚ) 2019/944, pokiaľ ide o zlepšenie koncepcie trhu s elektrinou v</w:t>
            </w:r>
            <w:r>
              <w:rPr>
                <w:rFonts w:ascii="Times" w:eastAsiaTheme="minorHAnsi" w:hAnsi="Times" w:cs="Times"/>
                <w:sz w:val="22"/>
                <w:szCs w:val="22"/>
                <w:lang w:eastAsia="en-US"/>
              </w:rPr>
              <w:t> </w:t>
            </w:r>
            <w:r w:rsidRPr="00F83E0D">
              <w:rPr>
                <w:rFonts w:ascii="Times" w:eastAsiaTheme="minorHAnsi" w:hAnsi="Times" w:cs="Times"/>
                <w:sz w:val="22"/>
                <w:szCs w:val="22"/>
                <w:lang w:eastAsia="en-US"/>
              </w:rPr>
              <w:t>Únii</w:t>
            </w:r>
            <w:r>
              <w:rPr>
                <w:rFonts w:ascii="Times" w:eastAsiaTheme="minorHAnsi" w:hAnsi="Times" w:cs="Times"/>
                <w:sz w:val="22"/>
                <w:szCs w:val="22"/>
                <w:lang w:eastAsia="en-US"/>
              </w:rPr>
              <w:t>,</w:t>
            </w:r>
          </w:p>
          <w:p w14:paraId="1E10D248" w14:textId="77777777" w:rsidR="00076AAE" w:rsidRDefault="00076AAE" w:rsidP="00076AAE">
            <w:pPr>
              <w:numPr>
                <w:ilvl w:val="0"/>
                <w:numId w:val="5"/>
              </w:numPr>
              <w:contextualSpacing/>
              <w:jc w:val="both"/>
              <w:rPr>
                <w:sz w:val="22"/>
                <w:szCs w:val="22"/>
              </w:rPr>
            </w:pPr>
            <w:r w:rsidRPr="00F54AFF">
              <w:rPr>
                <w:sz w:val="22"/>
                <w:szCs w:val="22"/>
              </w:rPr>
              <w:t>nariadenie Európskeho parlamentu a Rady (EÚ) 2024/1787 z 13. júna 2024 o znižovaní emisií metánu v odvetví energetiky a o zmene nariadenia (EÚ) 2019/942</w:t>
            </w:r>
            <w:r>
              <w:rPr>
                <w:sz w:val="22"/>
                <w:szCs w:val="22"/>
              </w:rPr>
              <w:t>,</w:t>
            </w:r>
          </w:p>
          <w:p w14:paraId="065FCB02" w14:textId="77777777" w:rsidR="00076AAE" w:rsidRPr="00F83E0D" w:rsidRDefault="39FF4B7B" w:rsidP="00076AAE">
            <w:pPr>
              <w:numPr>
                <w:ilvl w:val="0"/>
                <w:numId w:val="5"/>
              </w:numPr>
              <w:contextualSpacing/>
              <w:jc w:val="both"/>
              <w:rPr>
                <w:sz w:val="22"/>
                <w:szCs w:val="22"/>
              </w:rPr>
            </w:pPr>
            <w:r w:rsidRPr="001B4FEA">
              <w:rPr>
                <w:color w:val="000000" w:themeColor="text1"/>
                <w:sz w:val="22"/>
                <w:szCs w:val="22"/>
              </w:rPr>
              <w:t>smernica Európskeho parlamentu a Rady (EÚ) 2024/1788 z 13. júna 2024 o spoločných pravidlách pre vnútorné trhy s obnoviteľným plynom, so zemným plynom a s vodíkom, ktorou sa mení smernica (EÚ) 2023/1791 a zrušuje smernica 2009/73/ES</w:t>
            </w:r>
            <w:r w:rsidR="00A7CDE5" w:rsidRPr="7DAAAE04">
              <w:rPr>
                <w:color w:val="000000" w:themeColor="text1"/>
                <w:sz w:val="22"/>
                <w:szCs w:val="22"/>
              </w:rPr>
              <w:t>,</w:t>
            </w:r>
          </w:p>
          <w:p w14:paraId="23FBBDB5" w14:textId="77777777" w:rsidR="00076AAE" w:rsidRPr="00F83E0D" w:rsidRDefault="256D6949" w:rsidP="00076AAE">
            <w:pPr>
              <w:numPr>
                <w:ilvl w:val="0"/>
                <w:numId w:val="5"/>
              </w:numPr>
              <w:contextualSpacing/>
              <w:jc w:val="both"/>
              <w:rPr>
                <w:sz w:val="22"/>
                <w:szCs w:val="22"/>
              </w:rPr>
            </w:pPr>
            <w:r w:rsidRPr="7DAAAE04">
              <w:rPr>
                <w:sz w:val="22"/>
                <w:szCs w:val="22"/>
              </w:rPr>
              <w:t xml:space="preserve">delegovaná smernica Komisie (EÚ) 2024/1405 zo 14. marca 2024, ktorou sa mení príloha IX k smernici Európskeho parlamentu a Rady (EÚ) 2018/2001, pokiaľ ide o doplnenie surovín na výrobu </w:t>
            </w:r>
            <w:proofErr w:type="spellStart"/>
            <w:r w:rsidRPr="7DAAAE04">
              <w:rPr>
                <w:sz w:val="22"/>
                <w:szCs w:val="22"/>
              </w:rPr>
              <w:t>biopalív</w:t>
            </w:r>
            <w:proofErr w:type="spellEnd"/>
            <w:r w:rsidRPr="7DAAAE04">
              <w:rPr>
                <w:sz w:val="22"/>
                <w:szCs w:val="22"/>
              </w:rPr>
              <w:t xml:space="preserve"> a bioplynu.</w:t>
            </w:r>
          </w:p>
        </w:tc>
      </w:tr>
      <w:tr w:rsidR="00076AAE" w:rsidRPr="00F83E0D" w14:paraId="26B880C6" w14:textId="77777777" w:rsidTr="6F03B451">
        <w:tc>
          <w:tcPr>
            <w:tcW w:w="4830" w:type="dxa"/>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00F2CAE5" w14:textId="77777777" w:rsidR="00076AAE" w:rsidRPr="00F83E0D" w:rsidRDefault="00076AAE" w:rsidP="000737B2">
            <w:pPr>
              <w:spacing w:after="200" w:line="276" w:lineRule="auto"/>
              <w:ind w:left="142"/>
              <w:contextualSpacing/>
              <w:rPr>
                <w:rFonts w:eastAsia="Calibri"/>
                <w:b/>
                <w:sz w:val="22"/>
                <w:szCs w:val="22"/>
                <w:lang w:eastAsia="en-US"/>
              </w:rPr>
            </w:pPr>
            <w:r w:rsidRPr="00F83E0D">
              <w:rPr>
                <w:rFonts w:eastAsia="Calibri"/>
                <w:b/>
                <w:sz w:val="22"/>
                <w:szCs w:val="22"/>
                <w:lang w:eastAsia="en-US"/>
              </w:rPr>
              <w:t>Termín začiatku a ukončenia PPK</w:t>
            </w:r>
          </w:p>
        </w:tc>
        <w:tc>
          <w:tcPr>
            <w:tcW w:w="4025" w:type="dxa"/>
            <w:gridSpan w:val="3"/>
            <w:tcBorders>
              <w:top w:val="single" w:sz="4" w:space="0" w:color="000000" w:themeColor="text1"/>
              <w:left w:val="single" w:sz="4" w:space="0" w:color="auto"/>
              <w:bottom w:val="single" w:sz="4" w:space="0" w:color="auto"/>
              <w:right w:val="single" w:sz="4" w:space="0" w:color="auto"/>
            </w:tcBorders>
          </w:tcPr>
          <w:p w14:paraId="7D5E538F" w14:textId="77777777" w:rsidR="00076AAE" w:rsidRPr="00F83E0D" w:rsidRDefault="00076AAE" w:rsidP="000737B2">
            <w:pPr>
              <w:rPr>
                <w:i/>
                <w:sz w:val="20"/>
                <w:szCs w:val="20"/>
              </w:rPr>
            </w:pPr>
            <w:r>
              <w:rPr>
                <w:i/>
                <w:sz w:val="20"/>
                <w:szCs w:val="20"/>
              </w:rPr>
              <w:t>Február 2025</w:t>
            </w:r>
          </w:p>
        </w:tc>
      </w:tr>
      <w:tr w:rsidR="00076AAE" w:rsidRPr="00F83E0D" w14:paraId="53008343" w14:textId="77777777" w:rsidTr="6F03B451">
        <w:tc>
          <w:tcPr>
            <w:tcW w:w="4830"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0F30F9A2" w14:textId="77777777" w:rsidR="00076AAE" w:rsidRPr="00F83E0D" w:rsidRDefault="00076AAE" w:rsidP="000737B2">
            <w:pPr>
              <w:spacing w:after="200" w:line="276" w:lineRule="auto"/>
              <w:ind w:left="142"/>
              <w:contextualSpacing/>
              <w:rPr>
                <w:rFonts w:eastAsia="Calibri"/>
                <w:b/>
                <w:sz w:val="22"/>
                <w:szCs w:val="22"/>
                <w:lang w:eastAsia="en-US"/>
              </w:rPr>
            </w:pPr>
            <w:r w:rsidRPr="00F83E0D">
              <w:rPr>
                <w:rFonts w:eastAsia="Calibri"/>
                <w:b/>
                <w:sz w:val="22"/>
                <w:szCs w:val="22"/>
                <w:lang w:eastAsia="en-US"/>
              </w:rPr>
              <w:t>Predpokladaný termín predloženia na pripomienkové konanie</w:t>
            </w:r>
          </w:p>
        </w:tc>
        <w:tc>
          <w:tcPr>
            <w:tcW w:w="4025" w:type="dxa"/>
            <w:gridSpan w:val="3"/>
            <w:tcBorders>
              <w:top w:val="single" w:sz="4" w:space="0" w:color="auto"/>
              <w:left w:val="single" w:sz="4" w:space="0" w:color="auto"/>
              <w:bottom w:val="single" w:sz="4" w:space="0" w:color="auto"/>
              <w:right w:val="single" w:sz="4" w:space="0" w:color="auto"/>
            </w:tcBorders>
          </w:tcPr>
          <w:p w14:paraId="64E57D30" w14:textId="77777777" w:rsidR="00076AAE" w:rsidRPr="00312406" w:rsidRDefault="001B4FEA" w:rsidP="000737B2">
            <w:pPr>
              <w:rPr>
                <w:i/>
                <w:sz w:val="20"/>
                <w:szCs w:val="20"/>
              </w:rPr>
            </w:pPr>
            <w:r>
              <w:rPr>
                <w:i/>
                <w:sz w:val="20"/>
                <w:szCs w:val="20"/>
              </w:rPr>
              <w:t>Marec</w:t>
            </w:r>
            <w:r w:rsidRPr="00312406">
              <w:rPr>
                <w:i/>
                <w:sz w:val="20"/>
                <w:szCs w:val="20"/>
              </w:rPr>
              <w:t xml:space="preserve"> </w:t>
            </w:r>
            <w:r w:rsidR="00076AAE" w:rsidRPr="00312406">
              <w:rPr>
                <w:i/>
                <w:sz w:val="20"/>
                <w:szCs w:val="20"/>
              </w:rPr>
              <w:t>2025</w:t>
            </w:r>
          </w:p>
        </w:tc>
      </w:tr>
      <w:tr w:rsidR="00076AAE" w:rsidRPr="00F83E0D" w14:paraId="0E2AA18B" w14:textId="77777777" w:rsidTr="6F03B451">
        <w:trPr>
          <w:trHeight w:val="320"/>
        </w:trPr>
        <w:tc>
          <w:tcPr>
            <w:tcW w:w="4830"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55B87F99" w14:textId="77777777" w:rsidR="00076AAE" w:rsidRPr="00F83E0D" w:rsidRDefault="00076AAE" w:rsidP="000737B2">
            <w:pPr>
              <w:spacing w:line="276" w:lineRule="auto"/>
              <w:ind w:left="142"/>
              <w:contextualSpacing/>
              <w:rPr>
                <w:rFonts w:ascii="Calibri" w:eastAsia="Calibri" w:hAnsi="Calibri"/>
                <w:b/>
                <w:sz w:val="22"/>
                <w:szCs w:val="22"/>
                <w:lang w:eastAsia="en-US"/>
              </w:rPr>
            </w:pPr>
            <w:r w:rsidRPr="00F83E0D">
              <w:rPr>
                <w:rFonts w:eastAsia="Calibri"/>
                <w:b/>
                <w:sz w:val="22"/>
                <w:szCs w:val="22"/>
                <w:lang w:eastAsia="en-US"/>
              </w:rPr>
              <w:t>Predpokladaný termín začiatku a ukončenia ZP**</w:t>
            </w:r>
            <w:r w:rsidRPr="00F83E0D">
              <w:rPr>
                <w:rFonts w:ascii="Calibri" w:eastAsia="Calibri" w:hAnsi="Calibri"/>
                <w:b/>
                <w:sz w:val="22"/>
                <w:szCs w:val="22"/>
                <w:lang w:eastAsia="en-US"/>
              </w:rPr>
              <w:t xml:space="preserve"> </w:t>
            </w:r>
          </w:p>
        </w:tc>
        <w:tc>
          <w:tcPr>
            <w:tcW w:w="4025" w:type="dxa"/>
            <w:gridSpan w:val="3"/>
            <w:tcBorders>
              <w:top w:val="single" w:sz="4" w:space="0" w:color="auto"/>
              <w:left w:val="single" w:sz="4" w:space="0" w:color="auto"/>
              <w:bottom w:val="single" w:sz="4" w:space="0" w:color="auto"/>
              <w:right w:val="single" w:sz="4" w:space="0" w:color="auto"/>
            </w:tcBorders>
          </w:tcPr>
          <w:p w14:paraId="2203FDC1" w14:textId="77777777" w:rsidR="00076AAE" w:rsidRPr="00312406" w:rsidRDefault="00076AAE" w:rsidP="000737B2">
            <w:pPr>
              <w:rPr>
                <w:i/>
                <w:sz w:val="20"/>
                <w:szCs w:val="20"/>
              </w:rPr>
            </w:pPr>
          </w:p>
        </w:tc>
      </w:tr>
      <w:tr w:rsidR="00076AAE" w:rsidRPr="00F83E0D" w14:paraId="4A713212" w14:textId="77777777" w:rsidTr="6F03B451">
        <w:tc>
          <w:tcPr>
            <w:tcW w:w="4830"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14840F77" w14:textId="77777777" w:rsidR="00076AAE" w:rsidRPr="00F83E0D" w:rsidRDefault="00076AAE" w:rsidP="000737B2">
            <w:pPr>
              <w:spacing w:after="200" w:line="276" w:lineRule="auto"/>
              <w:ind w:left="142"/>
              <w:contextualSpacing/>
              <w:jc w:val="both"/>
              <w:rPr>
                <w:rFonts w:eastAsia="Calibri"/>
                <w:b/>
                <w:sz w:val="22"/>
                <w:szCs w:val="22"/>
                <w:lang w:eastAsia="en-US"/>
              </w:rPr>
            </w:pPr>
            <w:r w:rsidRPr="00F83E0D">
              <w:rPr>
                <w:rFonts w:eastAsia="Calibri"/>
                <w:b/>
                <w:sz w:val="22"/>
                <w:szCs w:val="22"/>
                <w:lang w:eastAsia="en-US"/>
              </w:rPr>
              <w:t>Predpokladaný termín predloženia na rokovanie vlády SR*</w:t>
            </w:r>
          </w:p>
        </w:tc>
        <w:tc>
          <w:tcPr>
            <w:tcW w:w="4025" w:type="dxa"/>
            <w:gridSpan w:val="3"/>
            <w:tcBorders>
              <w:top w:val="single" w:sz="4" w:space="0" w:color="auto"/>
              <w:left w:val="single" w:sz="4" w:space="0" w:color="auto"/>
              <w:bottom w:val="single" w:sz="4" w:space="0" w:color="auto"/>
              <w:right w:val="single" w:sz="4" w:space="0" w:color="auto"/>
            </w:tcBorders>
          </w:tcPr>
          <w:p w14:paraId="29520406" w14:textId="77777777" w:rsidR="00076AAE" w:rsidRPr="00312406" w:rsidRDefault="00076AAE" w:rsidP="000737B2">
            <w:pPr>
              <w:rPr>
                <w:i/>
                <w:sz w:val="20"/>
                <w:szCs w:val="20"/>
              </w:rPr>
            </w:pPr>
            <w:r w:rsidRPr="00312406">
              <w:rPr>
                <w:i/>
                <w:sz w:val="20"/>
                <w:szCs w:val="20"/>
              </w:rPr>
              <w:t>Máj 2025</w:t>
            </w:r>
          </w:p>
        </w:tc>
      </w:tr>
      <w:tr w:rsidR="00076AAE" w:rsidRPr="00F83E0D" w14:paraId="11B254A5" w14:textId="77777777" w:rsidTr="6F03B451">
        <w:tc>
          <w:tcPr>
            <w:tcW w:w="8855" w:type="dxa"/>
            <w:gridSpan w:val="6"/>
            <w:tcBorders>
              <w:top w:val="single" w:sz="4" w:space="0" w:color="auto"/>
              <w:left w:val="nil"/>
              <w:bottom w:val="single" w:sz="4" w:space="0" w:color="auto"/>
              <w:right w:val="nil"/>
            </w:tcBorders>
            <w:shd w:val="clear" w:color="auto" w:fill="FFFFFF" w:themeFill="background1"/>
          </w:tcPr>
          <w:p w14:paraId="739AB8D9" w14:textId="77777777" w:rsidR="00076AAE" w:rsidRPr="00F83E0D" w:rsidRDefault="00076AAE" w:rsidP="000737B2">
            <w:pPr>
              <w:rPr>
                <w:sz w:val="20"/>
                <w:szCs w:val="20"/>
              </w:rPr>
            </w:pPr>
          </w:p>
        </w:tc>
      </w:tr>
      <w:tr w:rsidR="00076AAE" w:rsidRPr="00F83E0D" w14:paraId="417ACA0F" w14:textId="77777777" w:rsidTr="6F03B451">
        <w:tc>
          <w:tcPr>
            <w:tcW w:w="8855"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01660281"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Definovanie problému</w:t>
            </w:r>
          </w:p>
        </w:tc>
      </w:tr>
      <w:tr w:rsidR="00076AAE" w:rsidRPr="00F83E0D" w14:paraId="263EB1F3" w14:textId="77777777" w:rsidTr="6F03B451">
        <w:trPr>
          <w:trHeight w:val="718"/>
        </w:trPr>
        <w:tc>
          <w:tcPr>
            <w:tcW w:w="8855"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EA667F6" w14:textId="77777777" w:rsidR="00076AAE" w:rsidRPr="00F83E0D" w:rsidRDefault="00076AAE" w:rsidP="000737B2">
            <w:pPr>
              <w:spacing w:before="120" w:after="120"/>
              <w:jc w:val="both"/>
              <w:rPr>
                <w:rFonts w:ascii="Times" w:eastAsiaTheme="minorHAnsi" w:hAnsi="Times" w:cs="Times"/>
                <w:sz w:val="22"/>
                <w:szCs w:val="22"/>
                <w:lang w:eastAsia="en-US"/>
              </w:rPr>
            </w:pPr>
            <w:r w:rsidRPr="00F83E0D">
              <w:rPr>
                <w:rFonts w:ascii="Times" w:eastAsiaTheme="minorHAnsi" w:hAnsi="Times" w:cs="Times"/>
                <w:sz w:val="22"/>
                <w:szCs w:val="22"/>
                <w:lang w:eastAsia="en-US"/>
              </w:rPr>
              <w:t>Európska únia (ďalej len „EÚ“) prijala v roku  2019 balík opatrení pre vnútorný trh s elektrinou pod názvom „Čistá energia pre všetkých Európanov“ (</w:t>
            </w:r>
            <w:proofErr w:type="spellStart"/>
            <w:r w:rsidRPr="00F83E0D">
              <w:rPr>
                <w:rFonts w:ascii="Times" w:eastAsiaTheme="minorHAnsi" w:hAnsi="Times" w:cs="Times"/>
                <w:sz w:val="22"/>
                <w:szCs w:val="22"/>
                <w:lang w:eastAsia="en-US"/>
              </w:rPr>
              <w:t>Clean</w:t>
            </w:r>
            <w:proofErr w:type="spellEnd"/>
            <w:r w:rsidRPr="00F83E0D">
              <w:rPr>
                <w:rFonts w:ascii="Times" w:eastAsiaTheme="minorHAnsi" w:hAnsi="Times" w:cs="Times"/>
                <w:sz w:val="22"/>
                <w:szCs w:val="22"/>
                <w:lang w:eastAsia="en-US"/>
              </w:rPr>
              <w:t xml:space="preserve"> Energy </w:t>
            </w:r>
            <w:proofErr w:type="spellStart"/>
            <w:r w:rsidRPr="00F83E0D">
              <w:rPr>
                <w:rFonts w:ascii="Times" w:eastAsiaTheme="minorHAnsi" w:hAnsi="Times" w:cs="Times"/>
                <w:sz w:val="22"/>
                <w:szCs w:val="22"/>
                <w:lang w:eastAsia="en-US"/>
              </w:rPr>
              <w:t>for</w:t>
            </w:r>
            <w:proofErr w:type="spellEnd"/>
            <w:r w:rsidRPr="00F83E0D">
              <w:rPr>
                <w:rFonts w:ascii="Times" w:eastAsiaTheme="minorHAnsi" w:hAnsi="Times" w:cs="Times"/>
                <w:sz w:val="22"/>
                <w:szCs w:val="22"/>
                <w:lang w:eastAsia="en-US"/>
              </w:rPr>
              <w:t xml:space="preserve"> </w:t>
            </w:r>
            <w:proofErr w:type="spellStart"/>
            <w:r w:rsidRPr="00F83E0D">
              <w:rPr>
                <w:rFonts w:ascii="Times" w:eastAsiaTheme="minorHAnsi" w:hAnsi="Times" w:cs="Times"/>
                <w:sz w:val="22"/>
                <w:szCs w:val="22"/>
                <w:lang w:eastAsia="en-US"/>
              </w:rPr>
              <w:t>all</w:t>
            </w:r>
            <w:proofErr w:type="spellEnd"/>
            <w:r w:rsidRPr="00F83E0D">
              <w:rPr>
                <w:rFonts w:ascii="Times" w:eastAsiaTheme="minorHAnsi" w:hAnsi="Times" w:cs="Times"/>
                <w:sz w:val="22"/>
                <w:szCs w:val="22"/>
                <w:lang w:eastAsia="en-US"/>
              </w:rPr>
              <w:t xml:space="preserve"> </w:t>
            </w:r>
            <w:proofErr w:type="spellStart"/>
            <w:r w:rsidRPr="00F83E0D">
              <w:rPr>
                <w:rFonts w:ascii="Times" w:eastAsiaTheme="minorHAnsi" w:hAnsi="Times" w:cs="Times"/>
                <w:sz w:val="22"/>
                <w:szCs w:val="22"/>
                <w:lang w:eastAsia="en-US"/>
              </w:rPr>
              <w:t>Europeans</w:t>
            </w:r>
            <w:proofErr w:type="spellEnd"/>
            <w:r w:rsidRPr="00F83E0D">
              <w:rPr>
                <w:rFonts w:ascii="Times" w:eastAsiaTheme="minorHAnsi" w:hAnsi="Times" w:cs="Times"/>
                <w:sz w:val="22"/>
                <w:szCs w:val="22"/>
                <w:lang w:eastAsia="en-US"/>
              </w:rPr>
              <w:t xml:space="preserve"> </w:t>
            </w:r>
            <w:proofErr w:type="spellStart"/>
            <w:r w:rsidRPr="00F83E0D">
              <w:rPr>
                <w:rFonts w:ascii="Times" w:eastAsiaTheme="minorHAnsi" w:hAnsi="Times" w:cs="Times"/>
                <w:sz w:val="22"/>
                <w:szCs w:val="22"/>
                <w:lang w:eastAsia="en-US"/>
              </w:rPr>
              <w:t>Package</w:t>
            </w:r>
            <w:proofErr w:type="spellEnd"/>
            <w:r w:rsidRPr="00F83E0D">
              <w:rPr>
                <w:rFonts w:ascii="Times" w:eastAsiaTheme="minorHAnsi" w:hAnsi="Times" w:cs="Times"/>
                <w:sz w:val="22"/>
                <w:szCs w:val="22"/>
                <w:lang w:eastAsia="en-US"/>
              </w:rPr>
              <w:t xml:space="preserve"> – „CEP“). CEP obsahoval opatrenia v oblasti energetickej efektívnosti, využívania obnoviteľných zdrojov energie (ďalej len „OZE“), vnútorného trhu s elektrinou, bezpečnosti dodávok elektriny a pravidiel pre riadenie energetickej únie. Európska komisia (ďalej len „EK“) okrem toho navrhla aj stratégiu pre prepojenú a automatizovanú mobilitu. Súčasťou balíka CEP boli aj snahy o urýchlenie inovácií v oblasti čistej energie a na energeticky efektívnu obnovu budov v Európe. CEP nadväzoval na predchádzajúce ciele EÚ a implementoval politickú dohodu ku klimatickým cieľom pre rok 2030 z roku 2014. Tri hlavné ciele CEP v tom čase boli uprednostňovanie energetickej efektívnosti,  dosiahnutie celosvetovo vedúceho postavenia v oblasti energie z OZE a zabezpečenie </w:t>
            </w:r>
            <w:r w:rsidRPr="00F83E0D">
              <w:rPr>
                <w:rFonts w:ascii="Times" w:eastAsiaTheme="minorHAnsi" w:hAnsi="Times" w:cs="Times"/>
                <w:sz w:val="22"/>
                <w:szCs w:val="22"/>
                <w:lang w:eastAsia="en-US"/>
              </w:rPr>
              <w:lastRenderedPageBreak/>
              <w:t>spravodlivých podmienok pre spotrebiteľov. Nová legislatíva EÚ vychádzala z predpokladu, že vývoj na energetickom trhu bude smerovať k väčšiemu zapojeniu subjektov z decentralizovanej energetiky, a pre taký model trhu neboli vtedajšie princípy verejnoprávnej regulácie aplikovateľné. Hlavným dôvodom bola najmä potreba upraviť role jednotlivých subjektov, ktoré sa po novom môžu dynamicky meniť v závislosti na aktuálnej situácii na trhu, činnosti subjektov nemusia byť dlhodobé v čase, a účasť niektorých nových aktérov na trhu tak nemusí byť ich hlavnou ekonomickou alebo podnikateľskou činnosťou.</w:t>
            </w:r>
          </w:p>
          <w:p w14:paraId="70EF0462" w14:textId="77777777" w:rsidR="00076AAE" w:rsidRPr="00F83E0D" w:rsidRDefault="00076AAE" w:rsidP="000737B2">
            <w:pPr>
              <w:spacing w:before="120" w:after="120"/>
              <w:jc w:val="both"/>
              <w:rPr>
                <w:rFonts w:ascii="Times" w:eastAsiaTheme="minorHAnsi" w:hAnsi="Times" w:cs="Times"/>
                <w:sz w:val="22"/>
                <w:szCs w:val="22"/>
                <w:lang w:eastAsia="en-US"/>
              </w:rPr>
            </w:pPr>
            <w:r w:rsidRPr="00F83E0D">
              <w:rPr>
                <w:rFonts w:ascii="Times" w:eastAsiaTheme="minorHAnsi" w:hAnsi="Times" w:cs="Times"/>
                <w:sz w:val="22"/>
                <w:szCs w:val="22"/>
                <w:lang w:eastAsia="en-US"/>
              </w:rPr>
              <w:t xml:space="preserve">Slovensko úspešne transponovalo CEP do primárnej aj do sekundárnej legislatívy. Vývoj na energetických trhoch však prešiel turbulentným obdobím, kedy najskôr pandémia COVID-19 a následne ruská vojenská invázia na Ukrajinu spôsobili jednak prudké nárasty a výkyvy cien elektriny a plynu a obavy o bezpečnosť dodávok energií. Na trhu s elektrinou a plynom pretrváva vysoká miera </w:t>
            </w:r>
            <w:proofErr w:type="spellStart"/>
            <w:r w:rsidRPr="00F83E0D">
              <w:rPr>
                <w:rFonts w:ascii="Times" w:eastAsiaTheme="minorHAnsi" w:hAnsi="Times" w:cs="Times"/>
                <w:sz w:val="22"/>
                <w:szCs w:val="22"/>
                <w:lang w:eastAsia="en-US"/>
              </w:rPr>
              <w:t>volatility</w:t>
            </w:r>
            <w:proofErr w:type="spellEnd"/>
            <w:r w:rsidRPr="00F83E0D">
              <w:rPr>
                <w:rFonts w:ascii="Times" w:eastAsiaTheme="minorHAnsi" w:hAnsi="Times" w:cs="Times"/>
                <w:sz w:val="22"/>
                <w:szCs w:val="22"/>
                <w:lang w:eastAsia="en-US"/>
              </w:rPr>
              <w:t xml:space="preserve"> a neistoty z budúceho zabezpečenia dostatočných zdrojov energií.</w:t>
            </w:r>
          </w:p>
          <w:p w14:paraId="1C881066" w14:textId="77777777" w:rsidR="00076AAE" w:rsidRPr="00F83E0D" w:rsidRDefault="00076AAE" w:rsidP="000737B2">
            <w:pPr>
              <w:spacing w:before="120" w:after="120"/>
              <w:jc w:val="both"/>
              <w:rPr>
                <w:rFonts w:ascii="Times" w:eastAsiaTheme="minorHAnsi" w:hAnsi="Times" w:cs="Times"/>
                <w:sz w:val="22"/>
                <w:szCs w:val="22"/>
                <w:lang w:eastAsia="en-US"/>
              </w:rPr>
            </w:pPr>
            <w:r w:rsidRPr="00F83E0D">
              <w:rPr>
                <w:rFonts w:ascii="Times" w:eastAsiaTheme="minorHAnsi" w:hAnsi="Times" w:cs="Times"/>
                <w:sz w:val="22"/>
                <w:szCs w:val="22"/>
                <w:lang w:eastAsia="en-US"/>
              </w:rPr>
              <w:t xml:space="preserve">Okrem toho sa v Európskej zelenej dohode stanovuje cieľ dosiahnuť v roku 2050 klimatickú neutralitu spôsobom, ktorý prispieva k európskej konkurencieschopnosti, rastu a pracovným miestam. Tento cieľ si vyžaduje dosiahnuť do roku 2030 cieľ zníženia emisií o 55 %, ako potvrdila Európska rada v decembri 2020, čo si vyžaduje výrazne vyšší podiel obnoviteľných zdrojov energie v integrovanom energetickom systéme. Súčasný cieľ EÚ aspoň 32 % podielu energie z obnoviteľných zdrojov do roku 2030 stanovený v smernici (EÚ) č. 2018/2001 o podpore využívania energie z obnoviteľných zdrojov (REDII) bol vyhodnotený ako nedostatočný a podľa plánu cieľov v oblasti klímy sa musí zvýšiť na 38 – 40 % v spojení s novými sprievodnými opatreniami v rôznych sektoroch. </w:t>
            </w:r>
          </w:p>
          <w:p w14:paraId="2AE9E901" w14:textId="77777777" w:rsidR="00076AAE" w:rsidRPr="00F83E0D" w:rsidRDefault="00076AAE" w:rsidP="000737B2">
            <w:pPr>
              <w:spacing w:before="120" w:after="120"/>
              <w:jc w:val="both"/>
              <w:rPr>
                <w:rFonts w:ascii="Times" w:eastAsiaTheme="minorHAnsi" w:hAnsi="Times" w:cs="Times"/>
                <w:sz w:val="22"/>
                <w:szCs w:val="22"/>
                <w:lang w:eastAsia="en-US"/>
              </w:rPr>
            </w:pPr>
            <w:r w:rsidRPr="00F83E0D">
              <w:rPr>
                <w:rFonts w:ascii="Times" w:eastAsiaTheme="minorHAnsi" w:hAnsi="Times" w:cs="Times"/>
                <w:sz w:val="22"/>
                <w:szCs w:val="22"/>
                <w:lang w:eastAsia="en-US"/>
              </w:rPr>
              <w:t xml:space="preserve">Európska komisia preto nadviazala na reformu trhu z roku 2019 ďalšou legislatívnou činnosťou a pripravila revíziu existujúcich právnych aktov upravujúcich fungovanie jednotného trhu s elektrinou. V roku 2023 najskôr Európsky parlament prijal smernicu Európskeho parlamentu a Rady (EÚ) 2023/2413 z 18. októbra 2023, ktorou sa mení smernica (EÚ) 2018/2001, nariadenie (EÚ) 2018/1999 a smernica 98/70/ES, pokiaľ ide o podporu energie z obnoviteľných zdrojov, a ktorou sa zrušuje smernica Rady (EÚ) 2015/652 a následne o rok na to,11. apríla 2024 Európsky parlament schválil finálne znenie reformy dizajnu trhu s elektrinou v EÚ, ktorú následne 21. mája 2024 schválila aj Rada. V zásade </w:t>
            </w:r>
            <w:r>
              <w:rPr>
                <w:rFonts w:ascii="Times" w:eastAsiaTheme="minorHAnsi" w:hAnsi="Times" w:cs="Times"/>
                <w:sz w:val="22"/>
                <w:szCs w:val="22"/>
                <w:lang w:eastAsia="en-US"/>
              </w:rPr>
              <w:t>ide</w:t>
            </w:r>
            <w:r w:rsidRPr="00F83E0D">
              <w:rPr>
                <w:rFonts w:ascii="Times" w:eastAsiaTheme="minorHAnsi" w:hAnsi="Times" w:cs="Times"/>
                <w:sz w:val="22"/>
                <w:szCs w:val="22"/>
                <w:lang w:eastAsia="en-US"/>
              </w:rPr>
              <w:t xml:space="preserve"> o nariadenie Európskeho parlamentu a Rady </w:t>
            </w:r>
            <w:r w:rsidRPr="00F83E0D">
              <w:rPr>
                <w:rFonts w:ascii="Times" w:eastAsiaTheme="minorHAnsi" w:hAnsi="Times" w:cs="Times"/>
                <w:sz w:val="22"/>
                <w:szCs w:val="22"/>
                <w:lang w:val="pl-PL" w:eastAsia="en-US"/>
              </w:rPr>
              <w:t>2024/1747 z 13. júna 2024</w:t>
            </w:r>
            <w:r w:rsidRPr="00F83E0D">
              <w:rPr>
                <w:rFonts w:ascii="Times" w:eastAsiaTheme="minorHAnsi" w:hAnsi="Times" w:cs="Times"/>
                <w:sz w:val="22"/>
                <w:szCs w:val="22"/>
                <w:lang w:eastAsia="en-US"/>
              </w:rPr>
              <w:t xml:space="preserve">, ktorým sa menia nariadenia (EÚ) 2019/943 a (EÚ) 2019/942, pokiaľ ide o zlepšenie koncepcie trhu s elektrinou v Únii a smernicu Európskeho parlamentu a Rady (EÚ) </w:t>
            </w:r>
            <w:r w:rsidRPr="00F83E0D">
              <w:rPr>
                <w:rFonts w:ascii="Times" w:eastAsiaTheme="minorHAnsi" w:hAnsi="Times" w:cs="Times"/>
                <w:sz w:val="22"/>
                <w:szCs w:val="22"/>
                <w:lang w:val="pl-PL" w:eastAsia="en-US"/>
              </w:rPr>
              <w:t>2024/1711 z 13. júna 2024</w:t>
            </w:r>
            <w:r w:rsidRPr="00F83E0D">
              <w:rPr>
                <w:rFonts w:ascii="Times" w:eastAsiaTheme="minorHAnsi" w:hAnsi="Times" w:cs="Times"/>
                <w:sz w:val="22"/>
                <w:szCs w:val="22"/>
                <w:lang w:eastAsia="en-US"/>
              </w:rPr>
              <w:t xml:space="preserve">, ktorou sa menia smernice (EÚ) 2018/2001 a (EÚ) 2019/944, pokiaľ ide o zlepšenie koncepcie trhu s elektrinou v Únii. Cieľom aktuálnej reformy je predovšetkým zabezpečiť, aby boli ceny elektriny menej závislé na </w:t>
            </w:r>
            <w:proofErr w:type="spellStart"/>
            <w:r w:rsidRPr="00F83E0D">
              <w:rPr>
                <w:rFonts w:ascii="Times" w:eastAsiaTheme="minorHAnsi" w:hAnsi="Times" w:cs="Times"/>
                <w:sz w:val="22"/>
                <w:szCs w:val="22"/>
                <w:lang w:eastAsia="en-US"/>
              </w:rPr>
              <w:t>volatilných</w:t>
            </w:r>
            <w:proofErr w:type="spellEnd"/>
            <w:r w:rsidRPr="00F83E0D">
              <w:rPr>
                <w:rFonts w:ascii="Times" w:eastAsiaTheme="minorHAnsi" w:hAnsi="Times" w:cs="Times"/>
                <w:sz w:val="22"/>
                <w:szCs w:val="22"/>
                <w:lang w:eastAsia="en-US"/>
              </w:rPr>
              <w:t xml:space="preserve"> cenách fosílnych palív, chrániť spotrebiteľov pred prudkými výkyvmi cien energií, urýchliť zavádzanie energie z obnoviteľných zdrojov a tým zvýšiť bezpečnosť a dostupnosť dodávok energií a zlepšiť ochranu spotrebiteľa. Zároveň táto reforma dopĺňa a špecifikuje niektoré oblasti už zavedené v CEP v roku 2019 o poznatky z praxe. </w:t>
            </w:r>
          </w:p>
          <w:p w14:paraId="6A9C9DEF" w14:textId="77777777" w:rsidR="00076AAE" w:rsidRDefault="00076AAE" w:rsidP="000737B2">
            <w:pPr>
              <w:spacing w:before="120" w:after="120"/>
              <w:jc w:val="both"/>
              <w:rPr>
                <w:rFonts w:ascii="Times" w:eastAsiaTheme="minorHAnsi" w:hAnsi="Times" w:cs="Times"/>
                <w:sz w:val="22"/>
                <w:szCs w:val="22"/>
                <w:lang w:eastAsia="en-US"/>
              </w:rPr>
            </w:pPr>
            <w:r w:rsidRPr="00F83E0D">
              <w:rPr>
                <w:rFonts w:ascii="Times" w:eastAsiaTheme="minorHAnsi" w:hAnsi="Times" w:cs="Times"/>
                <w:sz w:val="22"/>
                <w:szCs w:val="22"/>
                <w:lang w:eastAsia="en-US"/>
              </w:rPr>
              <w:t>Vzhľadom na to, že vývoj slovenského trhu s energiami je veľmi úzko previazaný a podmienený cieľmi a vývojom v rámci EÚ je nevyhnutné reflektovať aktuálnu reformu trhu s elektrinou aj do slovenského právneho prostredia. Súčasné znenia zákona č. 251/2012 Z. z. o energetike a o zmene a doplnení niektorých zákonov (ďalej len „zákon o energetike“), zákona č. 250/2012 Z. z. o regulácii v sieťových odvetviach (ďalej len „zákon o regulácii“) ako ani zákona č. 309/2009 Z. z. o podpore obnoviteľných zdrojov energie a vysoko účinnej kombinovanej výroby a o zmene a doplnení niektorých zákonov (ďalej len „zákon o podpore OZE“), zákona č. 657/2004 Z. z. o tepelnej energetike už nevyhovujú trendom a požiadavkám vyplývajúcim z </w:t>
            </w:r>
            <w:proofErr w:type="spellStart"/>
            <w:r w:rsidRPr="00F83E0D">
              <w:rPr>
                <w:rFonts w:ascii="Times" w:eastAsiaTheme="minorHAnsi" w:hAnsi="Times" w:cs="Times"/>
                <w:sz w:val="22"/>
                <w:szCs w:val="22"/>
                <w:lang w:eastAsia="en-US"/>
              </w:rPr>
              <w:t>únijnej</w:t>
            </w:r>
            <w:proofErr w:type="spellEnd"/>
            <w:r w:rsidRPr="00F83E0D">
              <w:rPr>
                <w:rFonts w:ascii="Times" w:eastAsiaTheme="minorHAnsi" w:hAnsi="Times" w:cs="Times"/>
                <w:sz w:val="22"/>
                <w:szCs w:val="22"/>
                <w:lang w:eastAsia="en-US"/>
              </w:rPr>
              <w:t xml:space="preserve"> legislatívy, čo má za cieľ zmeniť predkladaný legislatívny návrh. </w:t>
            </w:r>
          </w:p>
          <w:p w14:paraId="1563BA1C" w14:textId="77777777" w:rsidR="00090512" w:rsidRDefault="00090512" w:rsidP="000737B2">
            <w:pPr>
              <w:spacing w:before="120" w:after="120"/>
              <w:jc w:val="both"/>
              <w:rPr>
                <w:rFonts w:ascii="Times" w:eastAsiaTheme="minorHAnsi" w:hAnsi="Times" w:cs="Times"/>
                <w:sz w:val="22"/>
                <w:szCs w:val="22"/>
                <w:lang w:eastAsia="en-US"/>
              </w:rPr>
            </w:pPr>
            <w:r>
              <w:rPr>
                <w:rFonts w:ascii="Times" w:eastAsiaTheme="minorHAnsi" w:hAnsi="Times" w:cs="Times"/>
                <w:sz w:val="22"/>
                <w:szCs w:val="22"/>
                <w:lang w:eastAsia="en-US"/>
              </w:rPr>
              <w:t>V</w:t>
            </w:r>
            <w:r w:rsidRPr="00090512">
              <w:rPr>
                <w:rFonts w:ascii="Times" w:eastAsiaTheme="minorHAnsi" w:hAnsi="Times" w:cs="Times"/>
                <w:sz w:val="22"/>
                <w:szCs w:val="22"/>
                <w:lang w:eastAsia="en-US"/>
              </w:rPr>
              <w:t xml:space="preserve"> oblasti podpory energie z obnoviteľných zdrojov, v oblasti vnútorného trhu so zemným plynom, obnoviteľnými plynmi a vodíkom a v oblasti </w:t>
            </w:r>
            <w:proofErr w:type="spellStart"/>
            <w:r w:rsidRPr="00090512">
              <w:rPr>
                <w:rFonts w:ascii="Times" w:eastAsiaTheme="minorHAnsi" w:hAnsi="Times" w:cs="Times"/>
                <w:sz w:val="22"/>
                <w:szCs w:val="22"/>
                <w:lang w:eastAsia="en-US"/>
              </w:rPr>
              <w:t>metánových</w:t>
            </w:r>
            <w:proofErr w:type="spellEnd"/>
            <w:r w:rsidRPr="00090512">
              <w:rPr>
                <w:rFonts w:ascii="Times" w:eastAsiaTheme="minorHAnsi" w:hAnsi="Times" w:cs="Times"/>
                <w:sz w:val="22"/>
                <w:szCs w:val="22"/>
                <w:lang w:eastAsia="en-US"/>
              </w:rPr>
              <w:t xml:space="preserve"> emisií</w:t>
            </w:r>
            <w:r>
              <w:rPr>
                <w:rFonts w:ascii="Times" w:eastAsiaTheme="minorHAnsi" w:hAnsi="Times" w:cs="Times"/>
                <w:sz w:val="22"/>
                <w:szCs w:val="22"/>
                <w:lang w:eastAsia="en-US"/>
              </w:rPr>
              <w:t xml:space="preserve"> predkladaná novela čiastočne transponuje </w:t>
            </w:r>
            <w:r w:rsidRPr="00090512">
              <w:rPr>
                <w:rFonts w:ascii="Times" w:eastAsiaTheme="minorHAnsi" w:hAnsi="Times" w:cs="Times"/>
                <w:sz w:val="22"/>
                <w:szCs w:val="22"/>
                <w:lang w:eastAsia="en-US"/>
              </w:rPr>
              <w:t>smernic</w:t>
            </w:r>
            <w:r>
              <w:rPr>
                <w:rFonts w:ascii="Times" w:eastAsiaTheme="minorHAnsi" w:hAnsi="Times" w:cs="Times"/>
                <w:sz w:val="22"/>
                <w:szCs w:val="22"/>
                <w:lang w:eastAsia="en-US"/>
              </w:rPr>
              <w:t>u</w:t>
            </w:r>
            <w:r w:rsidRPr="00090512">
              <w:rPr>
                <w:rFonts w:ascii="Times" w:eastAsiaTheme="minorHAnsi" w:hAnsi="Times" w:cs="Times"/>
                <w:sz w:val="22"/>
                <w:szCs w:val="22"/>
                <w:lang w:eastAsia="en-US"/>
              </w:rPr>
              <w:t xml:space="preserve"> Európskeho parlamentu a Rady (EÚ) 2023/2413 z 18. októbra 2023, ktorou sa mení smernica (EÚ) 2018/2001, nariadenie (EÚ) 2018/1999 a smernica 98/70/ES, pokiaľ ide o podporu energie z obnoviteľných zdrojov</w:t>
            </w:r>
            <w:r>
              <w:rPr>
                <w:rFonts w:ascii="Times" w:eastAsiaTheme="minorHAnsi" w:hAnsi="Times" w:cs="Times"/>
                <w:sz w:val="22"/>
                <w:szCs w:val="22"/>
                <w:lang w:eastAsia="en-US"/>
              </w:rPr>
              <w:t xml:space="preserve"> a </w:t>
            </w:r>
            <w:r w:rsidRPr="00090512">
              <w:rPr>
                <w:rFonts w:ascii="Times" w:eastAsiaTheme="minorHAnsi" w:hAnsi="Times" w:cs="Times"/>
                <w:sz w:val="22"/>
                <w:szCs w:val="22"/>
                <w:lang w:eastAsia="en-US"/>
              </w:rPr>
              <w:t xml:space="preserve">smernice Európskeho parlamentu a Rady (EÚ) 2024/1788 z 13. júna 2024 o spoločných pravidlách pre vnútorné trhy s obnoviteľným plynom, so </w:t>
            </w:r>
            <w:r w:rsidRPr="00090512">
              <w:rPr>
                <w:rFonts w:ascii="Times" w:eastAsiaTheme="minorHAnsi" w:hAnsi="Times" w:cs="Times"/>
                <w:sz w:val="22"/>
                <w:szCs w:val="22"/>
                <w:lang w:eastAsia="en-US"/>
              </w:rPr>
              <w:lastRenderedPageBreak/>
              <w:t>zemným plynom a s vodíkom, ktorou sa mení smernica (EÚ) 2023/1791 a zrušuje smernica 2009/73/ES. Čiastočná transpozícia je zameraná najmä na úpravu certifikácie prevádzkovateľa vodíkovej prepravnej siete a úpravu pravidiel fungovania vnútorného trhu s vodíkom. Dôvodom pre čiastočnú transpozíciu je potreba skoršej transpozície ustanovení smernice týkajúcich sa procesu certifikácie.</w:t>
            </w:r>
          </w:p>
          <w:p w14:paraId="2DE7874F" w14:textId="77777777" w:rsidR="00076AAE" w:rsidRPr="00F83E0D" w:rsidRDefault="00090512" w:rsidP="00393BA7">
            <w:pPr>
              <w:spacing w:before="120" w:after="120"/>
              <w:jc w:val="both"/>
              <w:rPr>
                <w:b/>
                <w:sz w:val="20"/>
                <w:szCs w:val="20"/>
              </w:rPr>
            </w:pPr>
            <w:r w:rsidRPr="00090512">
              <w:rPr>
                <w:rFonts w:ascii="Times" w:eastAsiaTheme="minorHAnsi" w:hAnsi="Times" w:cs="Times"/>
                <w:sz w:val="22"/>
                <w:szCs w:val="22"/>
                <w:lang w:eastAsia="en-US"/>
              </w:rPr>
              <w:t>V nadväznosti na záväzky Slovenskej republiky, ktoré jej vyplývajú zo smernice č. 2003/87/ES v platnom znení vo vzťahu k využívaniu prostriedkov modernizačného fondu sa zavádza osobitný proces poskytovania finančných prostriedkov z modernizačného fondu v prostredí ministerstva hospodárstva, a to na právnom základe poskytovania dotácií podľa zákona</w:t>
            </w:r>
            <w:r>
              <w:rPr>
                <w:rFonts w:ascii="Times" w:eastAsiaTheme="minorHAnsi" w:hAnsi="Times" w:cs="Times"/>
                <w:sz w:val="22"/>
                <w:szCs w:val="22"/>
                <w:lang w:eastAsia="en-US"/>
              </w:rPr>
              <w:t xml:space="preserve"> </w:t>
            </w:r>
            <w:r w:rsidRPr="00090512">
              <w:rPr>
                <w:rFonts w:ascii="Times" w:eastAsiaTheme="minorHAnsi" w:hAnsi="Times" w:cs="Times"/>
                <w:sz w:val="22"/>
                <w:szCs w:val="22"/>
                <w:lang w:eastAsia="en-US"/>
              </w:rPr>
              <w:t>č. 71/2013 Z. z. o poskytovaní dotácií v pôsobnosti Ministerstva hospodárstva Slovenskej republiky</w:t>
            </w:r>
            <w:r>
              <w:rPr>
                <w:rFonts w:ascii="Times" w:eastAsiaTheme="minorHAnsi" w:hAnsi="Times" w:cs="Times"/>
                <w:sz w:val="22"/>
                <w:szCs w:val="22"/>
                <w:lang w:eastAsia="en-US"/>
              </w:rPr>
              <w:t xml:space="preserve"> </w:t>
            </w:r>
            <w:r w:rsidRPr="00090512">
              <w:rPr>
                <w:rFonts w:ascii="Times" w:eastAsiaTheme="minorHAnsi" w:hAnsi="Times" w:cs="Times"/>
                <w:sz w:val="22"/>
                <w:szCs w:val="22"/>
                <w:lang w:eastAsia="en-US"/>
              </w:rPr>
              <w:t>.</w:t>
            </w:r>
          </w:p>
        </w:tc>
      </w:tr>
      <w:tr w:rsidR="00076AAE" w:rsidRPr="00F83E0D" w14:paraId="284BBC39" w14:textId="77777777" w:rsidTr="6F03B451">
        <w:tc>
          <w:tcPr>
            <w:tcW w:w="8855" w:type="dxa"/>
            <w:gridSpan w:val="6"/>
            <w:tcBorders>
              <w:top w:val="single" w:sz="4" w:space="0" w:color="auto"/>
              <w:left w:val="single" w:sz="4" w:space="0" w:color="auto"/>
              <w:bottom w:val="nil"/>
              <w:right w:val="single" w:sz="4" w:space="0" w:color="auto"/>
            </w:tcBorders>
            <w:shd w:val="clear" w:color="auto" w:fill="E2E2E2"/>
          </w:tcPr>
          <w:p w14:paraId="4E3D7F5C"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lastRenderedPageBreak/>
              <w:t>Ciele a výsledný stav</w:t>
            </w:r>
          </w:p>
        </w:tc>
      </w:tr>
      <w:tr w:rsidR="00076AAE" w:rsidRPr="00F83E0D" w14:paraId="08FA4563" w14:textId="77777777" w:rsidTr="6F03B451">
        <w:trPr>
          <w:trHeight w:val="741"/>
        </w:trPr>
        <w:tc>
          <w:tcPr>
            <w:tcW w:w="8855" w:type="dxa"/>
            <w:gridSpan w:val="6"/>
            <w:tcBorders>
              <w:top w:val="nil"/>
              <w:left w:val="single" w:sz="4" w:space="0" w:color="auto"/>
              <w:bottom w:val="single" w:sz="4" w:space="0" w:color="auto"/>
              <w:right w:val="single" w:sz="4" w:space="0" w:color="auto"/>
            </w:tcBorders>
            <w:shd w:val="clear" w:color="auto" w:fill="FFFFFF" w:themeFill="background1"/>
          </w:tcPr>
          <w:p w14:paraId="7C809B57" w14:textId="77777777" w:rsidR="00076AAE" w:rsidRPr="00F54AFF" w:rsidRDefault="00076AAE" w:rsidP="000737B2">
            <w:pPr>
              <w:rPr>
                <w:rFonts w:ascii="Times" w:eastAsiaTheme="minorHAnsi" w:hAnsi="Times" w:cs="Times"/>
                <w:b/>
                <w:bCs/>
                <w:sz w:val="22"/>
                <w:szCs w:val="22"/>
                <w:lang w:eastAsia="en-US"/>
              </w:rPr>
            </w:pPr>
            <w:r w:rsidRPr="00F54AFF">
              <w:rPr>
                <w:rFonts w:ascii="Times" w:eastAsiaTheme="minorHAnsi" w:hAnsi="Times" w:cs="Times"/>
                <w:b/>
                <w:bCs/>
                <w:sz w:val="22"/>
                <w:szCs w:val="22"/>
                <w:lang w:eastAsia="en-US"/>
              </w:rPr>
              <w:t>Ciele novej právnej úpravy zahŕňajú:</w:t>
            </w:r>
          </w:p>
          <w:p w14:paraId="6CD44121" w14:textId="77777777" w:rsidR="00076AAE" w:rsidRPr="00F54AFF" w:rsidRDefault="00076AAE" w:rsidP="00076AAE">
            <w:pPr>
              <w:numPr>
                <w:ilvl w:val="0"/>
                <w:numId w:val="2"/>
              </w:numPr>
              <w:contextualSpacing/>
              <w:jc w:val="both"/>
              <w:rPr>
                <w:sz w:val="20"/>
                <w:szCs w:val="20"/>
              </w:rPr>
            </w:pPr>
            <w:r w:rsidRPr="00F54AFF">
              <w:rPr>
                <w:rFonts w:ascii="Times" w:hAnsi="Times" w:cs="Times"/>
                <w:sz w:val="22"/>
                <w:szCs w:val="22"/>
              </w:rPr>
              <w:t>transpozíciu vybraných ustanovení smernice Európskeho parlamentu a Rady (EÚ) 2023/2413 z 18. októbra 2023, ktorou sa mení smernica (EÚ) 2018/2001, nariadenie (EÚ) 2018/1999 a smernica 98/70/ES, pokiaľ ide o podporu energie z obnoviteľných zdrojov, a ktorou sa zrušuje smernica Rady (EÚ) 2015/652</w:t>
            </w:r>
            <w:r>
              <w:rPr>
                <w:rFonts w:ascii="Times" w:hAnsi="Times" w:cs="Times"/>
                <w:sz w:val="22"/>
                <w:szCs w:val="22"/>
              </w:rPr>
              <w:t>,</w:t>
            </w:r>
          </w:p>
          <w:p w14:paraId="25D377D1" w14:textId="77777777" w:rsidR="00076AAE" w:rsidRPr="00F54AFF" w:rsidRDefault="00076AAE" w:rsidP="00076AAE">
            <w:pPr>
              <w:numPr>
                <w:ilvl w:val="0"/>
                <w:numId w:val="2"/>
              </w:numPr>
              <w:contextualSpacing/>
              <w:jc w:val="both"/>
              <w:rPr>
                <w:sz w:val="20"/>
                <w:szCs w:val="20"/>
              </w:rPr>
            </w:pPr>
            <w:r w:rsidRPr="00F54AFF">
              <w:rPr>
                <w:rFonts w:ascii="Times" w:hAnsi="Times" w:cs="Times"/>
                <w:sz w:val="22"/>
                <w:szCs w:val="22"/>
              </w:rPr>
              <w:t>transpozíciu smernice Európskeho parlamentu a Rady (EÚ) 2024/1711 z 13. júna 2024, ktorou sa menia smernice (EÚ) 2018/2001 a (EÚ) 2019/944, pokiaľ ide o zlepšenie koncepcie trhu s elektrinou v</w:t>
            </w:r>
            <w:r>
              <w:rPr>
                <w:rFonts w:ascii="Times" w:hAnsi="Times" w:cs="Times"/>
                <w:sz w:val="22"/>
                <w:szCs w:val="22"/>
              </w:rPr>
              <w:t> </w:t>
            </w:r>
            <w:r w:rsidRPr="00F54AFF">
              <w:rPr>
                <w:rFonts w:ascii="Times" w:hAnsi="Times" w:cs="Times"/>
                <w:sz w:val="22"/>
                <w:szCs w:val="22"/>
              </w:rPr>
              <w:t>Únii</w:t>
            </w:r>
            <w:r>
              <w:rPr>
                <w:rFonts w:ascii="Times" w:hAnsi="Times" w:cs="Times"/>
                <w:sz w:val="22"/>
                <w:szCs w:val="22"/>
              </w:rPr>
              <w:t>,</w:t>
            </w:r>
          </w:p>
          <w:p w14:paraId="3CA844E6" w14:textId="77777777" w:rsidR="00076AAE" w:rsidRPr="00431A90"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zosúladenie súčasnej právnej úpravy SR so súvisiacimi ustanoveniami nariadenia Európskeho parlamentu a Rady (EÚ) 2024/1747</w:t>
            </w:r>
            <w:r>
              <w:rPr>
                <w:rFonts w:ascii="Times" w:hAnsi="Times" w:cs="Times"/>
                <w:sz w:val="22"/>
                <w:szCs w:val="22"/>
              </w:rPr>
              <w:t>,</w:t>
            </w:r>
          </w:p>
          <w:p w14:paraId="1E67F955" w14:textId="77777777" w:rsidR="00076AAE" w:rsidRPr="00F54AFF"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úpravu a dodefinovanie práv a povinností nových subjektov, ktorých zaviedol legislatívny balík EÚ z roku 2019 na trh s elektrinou, úpravu nastavenia ich vzájomných vzťahov a interakcií, ako aj zabezpečenie účasti spotrebiteľov na energetickom systéme a prínos vlastnej výroby elektrickej energie a nových technológií;</w:t>
            </w:r>
          </w:p>
          <w:p w14:paraId="15D4FA30" w14:textId="77777777" w:rsidR="00076AAE" w:rsidRPr="00F54AFF"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väčšie využívanie energie z obnoviteľných zdrojov do roku 2030, podporenie dekarbonizácie v oblasti dopravy, lepšiu integrácia energetického systému spolu s ochranou biodiverzity a cieľmi v oblasti klímy</w:t>
            </w:r>
            <w:r>
              <w:rPr>
                <w:rFonts w:ascii="Times" w:hAnsi="Times" w:cs="Times"/>
                <w:sz w:val="22"/>
                <w:szCs w:val="22"/>
              </w:rPr>
              <w:t>,</w:t>
            </w:r>
          </w:p>
          <w:p w14:paraId="268EC1C8" w14:textId="77777777" w:rsidR="00076AAE" w:rsidRPr="00F54AFF"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definovanie právneho a regulačného rámca pre budúcu podporu rozvoja obnoviteľných zdrojov energie, ktorý by mal podporiť plnenie národných cieľov v oblasti klímy a dekarbonizácie, oblasti  súvisiace  s obmedzením štátnych  zásahov  do  stanovovania  cien  dodávok  elektriny;</w:t>
            </w:r>
          </w:p>
          <w:p w14:paraId="4DACCDED" w14:textId="77777777" w:rsidR="00076AAE" w:rsidRPr="00F54AFF"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 xml:space="preserve">úpravu regulačného a legislatívneho rámca pre rozvoj trhu s flexibilitou, zdieľaním a integráciu distribuovaných zdrojov flexibility v nadväznosti na ciele stanovené v Integrovanom národnom energetickom a klimatickom pláne na roky 2021–2030; </w:t>
            </w:r>
          </w:p>
          <w:p w14:paraId="7964E6BE" w14:textId="77777777" w:rsidR="00076AAE" w:rsidRPr="00431A90" w:rsidRDefault="00076AAE" w:rsidP="00076AAE">
            <w:pPr>
              <w:numPr>
                <w:ilvl w:val="0"/>
                <w:numId w:val="2"/>
              </w:numPr>
              <w:contextualSpacing/>
              <w:jc w:val="both"/>
              <w:rPr>
                <w:rFonts w:ascii="Times" w:hAnsi="Times" w:cs="Times"/>
                <w:sz w:val="22"/>
                <w:szCs w:val="22"/>
              </w:rPr>
            </w:pPr>
            <w:r w:rsidRPr="00F54AFF">
              <w:rPr>
                <w:rFonts w:ascii="Times" w:hAnsi="Times" w:cs="Times"/>
                <w:sz w:val="22"/>
                <w:szCs w:val="22"/>
              </w:rPr>
              <w:t>prípravu a adaptáciu na výzvy v oblasti energetiky vyplývajúce zo zmien na európskom trhu s</w:t>
            </w:r>
            <w:r>
              <w:rPr>
                <w:rFonts w:ascii="Times" w:hAnsi="Times" w:cs="Times"/>
                <w:sz w:val="22"/>
                <w:szCs w:val="22"/>
              </w:rPr>
              <w:t> </w:t>
            </w:r>
            <w:r w:rsidRPr="00F54AFF">
              <w:rPr>
                <w:rFonts w:ascii="Times" w:hAnsi="Times" w:cs="Times"/>
                <w:sz w:val="22"/>
                <w:szCs w:val="22"/>
              </w:rPr>
              <w:t>energiami</w:t>
            </w:r>
            <w:r>
              <w:rPr>
                <w:rFonts w:ascii="Times" w:hAnsi="Times" w:cs="Times"/>
                <w:sz w:val="22"/>
                <w:szCs w:val="22"/>
              </w:rPr>
              <w:t>,</w:t>
            </w:r>
          </w:p>
          <w:p w14:paraId="2EF50B93" w14:textId="77777777" w:rsidR="00076AAE" w:rsidRPr="006F33E2" w:rsidRDefault="00076AAE" w:rsidP="00076AAE">
            <w:pPr>
              <w:numPr>
                <w:ilvl w:val="0"/>
                <w:numId w:val="2"/>
              </w:numPr>
              <w:contextualSpacing/>
              <w:jc w:val="both"/>
              <w:rPr>
                <w:sz w:val="22"/>
                <w:szCs w:val="22"/>
              </w:rPr>
            </w:pPr>
            <w:r>
              <w:rPr>
                <w:rFonts w:ascii="Times" w:hAnsi="Times" w:cs="Times"/>
                <w:sz w:val="22"/>
                <w:szCs w:val="22"/>
              </w:rPr>
              <w:t>i</w:t>
            </w:r>
            <w:r w:rsidRPr="00431A90">
              <w:rPr>
                <w:rFonts w:ascii="Times" w:hAnsi="Times" w:cs="Times"/>
                <w:sz w:val="22"/>
                <w:szCs w:val="22"/>
              </w:rPr>
              <w:t>mplementáciu vybraných ustanovení Nariadenia Európskeho parlamentu a Rady (EÚ) 2024/1787 z 13. júna 2024 o znižovaní emisií metánu v odvetví energetiky a o zmene nariadenia (EÚ) 2019/942</w:t>
            </w:r>
            <w:r>
              <w:rPr>
                <w:rFonts w:ascii="Times" w:hAnsi="Times" w:cs="Times"/>
                <w:sz w:val="22"/>
                <w:szCs w:val="22"/>
              </w:rPr>
              <w:t>,</w:t>
            </w:r>
          </w:p>
          <w:p w14:paraId="09C9C652" w14:textId="77777777" w:rsidR="00076AAE" w:rsidRPr="00F54AFF" w:rsidRDefault="6ED8DDD6" w:rsidP="00076AAE">
            <w:pPr>
              <w:numPr>
                <w:ilvl w:val="0"/>
                <w:numId w:val="2"/>
              </w:numPr>
              <w:contextualSpacing/>
              <w:jc w:val="both"/>
              <w:rPr>
                <w:sz w:val="22"/>
                <w:szCs w:val="22"/>
              </w:rPr>
            </w:pPr>
            <w:r w:rsidRPr="7DAAAE04">
              <w:rPr>
                <w:rFonts w:ascii="Times" w:hAnsi="Times" w:cs="Times"/>
                <w:sz w:val="22"/>
                <w:szCs w:val="22"/>
              </w:rPr>
              <w:t>transpozíciu vybraných ustanovení s</w:t>
            </w:r>
            <w:r w:rsidRPr="001B4FEA">
              <w:rPr>
                <w:color w:val="000000" w:themeColor="text1"/>
                <w:sz w:val="22"/>
                <w:szCs w:val="22"/>
              </w:rPr>
              <w:t>mernice Európskeho parlamentu a Rady (EÚ) 2024/1788 z 13. júna 2024 o spoločných pravidlách pre vnútorné trhy s obnoviteľným plynom, so zemným plynom a s vodíkom, ktorou sa mení smernica (EÚ) 2023/1791 a zrušuje smernica 2009/73/ES</w:t>
            </w:r>
            <w:r w:rsidR="42531810" w:rsidRPr="7DAAAE04">
              <w:rPr>
                <w:color w:val="000000" w:themeColor="text1"/>
                <w:sz w:val="22"/>
                <w:szCs w:val="22"/>
              </w:rPr>
              <w:t>,</w:t>
            </w:r>
          </w:p>
          <w:p w14:paraId="1CC9E8F2" w14:textId="77777777" w:rsidR="00076AAE" w:rsidRPr="00F54AFF" w:rsidRDefault="42531810" w:rsidP="00076AAE">
            <w:pPr>
              <w:numPr>
                <w:ilvl w:val="0"/>
                <w:numId w:val="2"/>
              </w:numPr>
              <w:contextualSpacing/>
              <w:jc w:val="both"/>
              <w:rPr>
                <w:sz w:val="22"/>
                <w:szCs w:val="22"/>
              </w:rPr>
            </w:pPr>
            <w:r w:rsidRPr="7DAAAE04">
              <w:rPr>
                <w:rFonts w:ascii="Times" w:hAnsi="Times" w:cs="Times"/>
                <w:sz w:val="22"/>
                <w:szCs w:val="22"/>
              </w:rPr>
              <w:t xml:space="preserve">transpozíciu delegovanej smernice Komisie (EÚ) 2024/1405 zo 14. marca 2024, ktorou sa mení príloha IX k smernici Európskeho parlamentu a Rady (EÚ) 2018/2001, pokiaľ ide o doplnenie surovín na výrobu </w:t>
            </w:r>
            <w:proofErr w:type="spellStart"/>
            <w:r w:rsidRPr="7DAAAE04">
              <w:rPr>
                <w:rFonts w:ascii="Times" w:hAnsi="Times" w:cs="Times"/>
                <w:sz w:val="22"/>
                <w:szCs w:val="22"/>
              </w:rPr>
              <w:t>biopalív</w:t>
            </w:r>
            <w:proofErr w:type="spellEnd"/>
            <w:r w:rsidRPr="7DAAAE04">
              <w:rPr>
                <w:rFonts w:ascii="Times" w:hAnsi="Times" w:cs="Times"/>
                <w:sz w:val="22"/>
                <w:szCs w:val="22"/>
              </w:rPr>
              <w:t xml:space="preserve"> a bioplynu</w:t>
            </w:r>
            <w:r w:rsidR="00076AAE" w:rsidRPr="7DAAAE04">
              <w:rPr>
                <w:rFonts w:ascii="Times" w:hAnsi="Times" w:cs="Times"/>
                <w:sz w:val="22"/>
                <w:szCs w:val="22"/>
              </w:rPr>
              <w:t xml:space="preserve">. </w:t>
            </w:r>
          </w:p>
        </w:tc>
      </w:tr>
      <w:tr w:rsidR="00076AAE" w:rsidRPr="00F83E0D" w14:paraId="58BA3DA4" w14:textId="77777777" w:rsidTr="6F03B451">
        <w:tc>
          <w:tcPr>
            <w:tcW w:w="8855" w:type="dxa"/>
            <w:gridSpan w:val="6"/>
            <w:tcBorders>
              <w:top w:val="single" w:sz="4" w:space="0" w:color="auto"/>
              <w:left w:val="single" w:sz="4" w:space="0" w:color="auto"/>
              <w:bottom w:val="nil"/>
              <w:right w:val="single" w:sz="4" w:space="0" w:color="auto"/>
            </w:tcBorders>
            <w:shd w:val="clear" w:color="auto" w:fill="E2E2E2"/>
          </w:tcPr>
          <w:p w14:paraId="0444A6A8" w14:textId="77777777" w:rsidR="00076AAE" w:rsidRPr="00F54AFF" w:rsidRDefault="00076AAE" w:rsidP="00076AAE">
            <w:pPr>
              <w:numPr>
                <w:ilvl w:val="0"/>
                <w:numId w:val="1"/>
              </w:numPr>
              <w:ind w:left="426"/>
              <w:contextualSpacing/>
              <w:rPr>
                <w:rFonts w:eastAsia="Calibri"/>
                <w:b/>
                <w:sz w:val="22"/>
                <w:szCs w:val="22"/>
                <w:lang w:eastAsia="en-US"/>
              </w:rPr>
            </w:pPr>
            <w:r w:rsidRPr="00F54AFF">
              <w:rPr>
                <w:rFonts w:eastAsia="Calibri"/>
                <w:b/>
                <w:sz w:val="22"/>
                <w:szCs w:val="22"/>
                <w:lang w:eastAsia="en-US"/>
              </w:rPr>
              <w:t>Dotknuté subjekty</w:t>
            </w:r>
          </w:p>
        </w:tc>
      </w:tr>
      <w:tr w:rsidR="00076AAE" w:rsidRPr="00F83E0D" w14:paraId="34E698DC" w14:textId="77777777" w:rsidTr="6F03B451">
        <w:tc>
          <w:tcPr>
            <w:tcW w:w="8855" w:type="dxa"/>
            <w:gridSpan w:val="6"/>
            <w:tcBorders>
              <w:top w:val="nil"/>
              <w:left w:val="single" w:sz="4" w:space="0" w:color="auto"/>
              <w:bottom w:val="single" w:sz="4" w:space="0" w:color="auto"/>
              <w:right w:val="single" w:sz="4" w:space="0" w:color="auto"/>
            </w:tcBorders>
            <w:shd w:val="clear" w:color="auto" w:fill="FFFFFF" w:themeFill="background1"/>
          </w:tcPr>
          <w:p w14:paraId="7BDBA8C5" w14:textId="77777777" w:rsidR="00076AAE" w:rsidRPr="00F54AFF" w:rsidRDefault="00076AAE" w:rsidP="6F03B451">
            <w:pPr>
              <w:jc w:val="both"/>
              <w:rPr>
                <w:i/>
                <w:iCs/>
                <w:sz w:val="20"/>
                <w:szCs w:val="20"/>
              </w:rPr>
            </w:pPr>
            <w:r w:rsidRPr="6F03B451">
              <w:rPr>
                <w:rFonts w:ascii="Times" w:eastAsiaTheme="minorEastAsia" w:hAnsi="Times" w:cs="Times"/>
                <w:sz w:val="22"/>
                <w:szCs w:val="22"/>
                <w:lang w:eastAsia="en-US"/>
              </w:rPr>
              <w:t xml:space="preserve">Dotknutými subjektmi sú odberatelia elektriny, výrobcovia elektriny, dodávatelia elektriny, prevádzkovatelia distribučných sústav (ďalej len „PDS“), prevádzkovateľ prenosovej sústavy (ďalej len „PPS“), organizátor krátkodobého trhu s elektrinou – OKTE, a.s. (ďalej len „OKTE“), Úrad pre reguláciu sieťových odvetví (ďalej len „ÚRSO“), prevádzkovatelia nabíjacích staníc, </w:t>
            </w:r>
            <w:r w:rsidRPr="6F03B451">
              <w:rPr>
                <w:rFonts w:ascii="Times" w:eastAsiaTheme="minorEastAsia" w:hAnsi="Times" w:cs="Times"/>
                <w:sz w:val="22"/>
                <w:szCs w:val="22"/>
                <w:lang w:eastAsia="en-US"/>
              </w:rPr>
              <w:lastRenderedPageBreak/>
              <w:t>dodávatelia palív, prevádzkovateľ prepravnej siete, prevádzkovatelia distribučných sietí, prevádzkovatelia zásobníkov, Hlavný banský úrad, prevádzkovatelia baní.</w:t>
            </w:r>
          </w:p>
        </w:tc>
      </w:tr>
      <w:tr w:rsidR="00076AAE" w:rsidRPr="00F83E0D" w14:paraId="7537653C" w14:textId="77777777" w:rsidTr="6F03B451">
        <w:tc>
          <w:tcPr>
            <w:tcW w:w="8855" w:type="dxa"/>
            <w:gridSpan w:val="6"/>
            <w:tcBorders>
              <w:top w:val="single" w:sz="4" w:space="0" w:color="auto"/>
              <w:left w:val="single" w:sz="4" w:space="0" w:color="auto"/>
              <w:bottom w:val="nil"/>
              <w:right w:val="single" w:sz="4" w:space="0" w:color="auto"/>
            </w:tcBorders>
            <w:shd w:val="clear" w:color="auto" w:fill="E2E2E2"/>
          </w:tcPr>
          <w:p w14:paraId="0D82FD2D"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lastRenderedPageBreak/>
              <w:t>Alternatívne riešenia</w:t>
            </w:r>
          </w:p>
        </w:tc>
      </w:tr>
      <w:tr w:rsidR="00076AAE" w:rsidRPr="00F83E0D" w14:paraId="305D712D" w14:textId="77777777" w:rsidTr="6F03B451">
        <w:trPr>
          <w:trHeight w:val="1524"/>
        </w:trPr>
        <w:tc>
          <w:tcPr>
            <w:tcW w:w="8855" w:type="dxa"/>
            <w:gridSpan w:val="6"/>
            <w:tcBorders>
              <w:top w:val="nil"/>
              <w:left w:val="single" w:sz="4" w:space="0" w:color="auto"/>
              <w:bottom w:val="single" w:sz="4" w:space="0" w:color="auto"/>
              <w:right w:val="single" w:sz="4" w:space="0" w:color="auto"/>
            </w:tcBorders>
            <w:shd w:val="clear" w:color="auto" w:fill="FFFFFF" w:themeFill="background1"/>
          </w:tcPr>
          <w:p w14:paraId="6933B059" w14:textId="77777777" w:rsidR="00076AAE" w:rsidRPr="00F83E0D" w:rsidRDefault="00076AAE" w:rsidP="000737B2">
            <w:pPr>
              <w:jc w:val="both"/>
              <w:rPr>
                <w:i/>
                <w:sz w:val="20"/>
                <w:szCs w:val="20"/>
              </w:rPr>
            </w:pPr>
            <w:r w:rsidRPr="00F83E0D">
              <w:rPr>
                <w:i/>
                <w:sz w:val="20"/>
                <w:szCs w:val="20"/>
              </w:rPr>
              <w:t>Aké alternatívne riešenia vedúce k stanovenému cieľu boli identifikované a posudzované pre riešenie definovaného problému?</w:t>
            </w:r>
          </w:p>
          <w:p w14:paraId="7F01226A" w14:textId="77777777" w:rsidR="00076AAE" w:rsidRPr="00F83E0D" w:rsidRDefault="00076AAE" w:rsidP="000737B2">
            <w:pPr>
              <w:jc w:val="both"/>
              <w:rPr>
                <w:i/>
                <w:sz w:val="20"/>
                <w:szCs w:val="20"/>
              </w:rPr>
            </w:pPr>
          </w:p>
          <w:p w14:paraId="699245C6" w14:textId="77777777" w:rsidR="00076AAE" w:rsidRPr="00F83E0D" w:rsidRDefault="00076AAE" w:rsidP="000737B2">
            <w:pPr>
              <w:rPr>
                <w:iCs/>
                <w:sz w:val="20"/>
                <w:szCs w:val="20"/>
              </w:rPr>
            </w:pPr>
            <w:r w:rsidRPr="00F83E0D">
              <w:rPr>
                <w:iCs/>
                <w:sz w:val="20"/>
                <w:szCs w:val="20"/>
              </w:rPr>
              <w:t>Nie sú žiadne alternatívne riešenia, úprava musí byť urobená v dotknutej legislatíve tak, aby boli dodržané požiadavky uvedené v európskej legislatíve.</w:t>
            </w:r>
          </w:p>
          <w:p w14:paraId="2B8BB424" w14:textId="77777777" w:rsidR="00076AAE" w:rsidRPr="00F83E0D" w:rsidRDefault="00076AAE" w:rsidP="000737B2">
            <w:pPr>
              <w:rPr>
                <w:iCs/>
                <w:sz w:val="20"/>
                <w:szCs w:val="20"/>
              </w:rPr>
            </w:pPr>
          </w:p>
          <w:p w14:paraId="298AA28B" w14:textId="77777777" w:rsidR="00076AAE" w:rsidRPr="00F83E0D" w:rsidRDefault="00076AAE" w:rsidP="000737B2">
            <w:pPr>
              <w:jc w:val="both"/>
              <w:rPr>
                <w:i/>
                <w:sz w:val="20"/>
                <w:szCs w:val="20"/>
              </w:rPr>
            </w:pPr>
            <w:r w:rsidRPr="00F83E0D">
              <w:rPr>
                <w:i/>
                <w:sz w:val="20"/>
                <w:szCs w:val="20"/>
              </w:rPr>
              <w:t>Nulový variant - uveďte dôsledky, ku ktorým by došlo v prípade nevykonania úprav v predkladanom materiáli a alternatívne riešenia/spôsoby dosiahnutia cieľov uvedených v bode 3.</w:t>
            </w:r>
          </w:p>
          <w:p w14:paraId="468A83B1" w14:textId="77777777" w:rsidR="00076AAE" w:rsidRPr="00F83E0D" w:rsidRDefault="00076AAE" w:rsidP="000737B2">
            <w:pPr>
              <w:jc w:val="both"/>
              <w:rPr>
                <w:i/>
                <w:sz w:val="20"/>
                <w:szCs w:val="20"/>
              </w:rPr>
            </w:pPr>
          </w:p>
          <w:p w14:paraId="4AEAE4EF" w14:textId="77777777" w:rsidR="00076AAE" w:rsidRPr="00F83E0D" w:rsidRDefault="00076AAE" w:rsidP="000737B2">
            <w:pPr>
              <w:jc w:val="both"/>
              <w:rPr>
                <w:rFonts w:eastAsiaTheme="minorHAnsi"/>
                <w:sz w:val="20"/>
                <w:szCs w:val="20"/>
                <w:lang w:eastAsia="en-US"/>
              </w:rPr>
            </w:pPr>
            <w:r w:rsidRPr="00F83E0D">
              <w:rPr>
                <w:rFonts w:eastAsiaTheme="minorHAnsi"/>
                <w:sz w:val="20"/>
                <w:szCs w:val="20"/>
                <w:lang w:eastAsia="en-US"/>
              </w:rPr>
              <w:t>V prípade, že by požiadavky náležitej transpozície smernice neboli splnené, vystavuje sa členský štát nebezpečenstvu začatia konania podľa článku 258 ZFEÚ pre nesplnenie zmluvných povinností.</w:t>
            </w:r>
          </w:p>
        </w:tc>
      </w:tr>
      <w:tr w:rsidR="00076AAE" w:rsidRPr="00F83E0D" w14:paraId="1F140E09" w14:textId="77777777" w:rsidTr="6F03B451">
        <w:tc>
          <w:tcPr>
            <w:tcW w:w="8855"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0BCBA8B6"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Vykonávacie predpisy</w:t>
            </w:r>
          </w:p>
        </w:tc>
      </w:tr>
      <w:tr w:rsidR="00076AAE" w:rsidRPr="00F83E0D" w14:paraId="17996B0C" w14:textId="77777777" w:rsidTr="6F03B451">
        <w:tc>
          <w:tcPr>
            <w:tcW w:w="5635" w:type="dxa"/>
            <w:gridSpan w:val="4"/>
            <w:tcBorders>
              <w:top w:val="single" w:sz="4" w:space="0" w:color="FFFFFF" w:themeColor="background1"/>
              <w:left w:val="single" w:sz="4" w:space="0" w:color="auto"/>
              <w:bottom w:val="nil"/>
              <w:right w:val="nil"/>
            </w:tcBorders>
            <w:shd w:val="clear" w:color="auto" w:fill="FFFFFF" w:themeFill="background1"/>
          </w:tcPr>
          <w:p w14:paraId="5F6B206C" w14:textId="77777777" w:rsidR="00076AAE" w:rsidRPr="00F83E0D" w:rsidRDefault="00076AAE" w:rsidP="000737B2">
            <w:pPr>
              <w:rPr>
                <w:i/>
                <w:sz w:val="20"/>
                <w:szCs w:val="20"/>
              </w:rPr>
            </w:pPr>
            <w:r w:rsidRPr="00F83E0D">
              <w:rPr>
                <w:i/>
                <w:sz w:val="20"/>
                <w:szCs w:val="20"/>
              </w:rPr>
              <w:t>Predpokladá sa prijatie/zmena  vykonávacích predpisov?</w:t>
            </w:r>
          </w:p>
        </w:tc>
        <w:tc>
          <w:tcPr>
            <w:tcW w:w="1610" w:type="dxa"/>
            <w:tcBorders>
              <w:top w:val="single" w:sz="4" w:space="0" w:color="FFFFFF" w:themeColor="background1"/>
              <w:left w:val="nil"/>
              <w:bottom w:val="nil"/>
              <w:right w:val="nil"/>
            </w:tcBorders>
            <w:shd w:val="clear" w:color="auto" w:fill="FFFFFF" w:themeFill="background1"/>
          </w:tcPr>
          <w:p w14:paraId="2BC7AF12" w14:textId="77777777" w:rsidR="00076AAE" w:rsidRPr="00F83E0D" w:rsidRDefault="002529B5" w:rsidP="000737B2">
            <w:pPr>
              <w:jc w:val="center"/>
              <w:rPr>
                <w:b/>
                <w:sz w:val="20"/>
                <w:szCs w:val="20"/>
              </w:rPr>
            </w:pPr>
            <w:sdt>
              <w:sdtPr>
                <w:rPr>
                  <w:b/>
                  <w:sz w:val="20"/>
                  <w:szCs w:val="20"/>
                </w:rPr>
                <w:id w:val="1929613764"/>
                <w14:checkbox>
                  <w14:checked w14:val="1"/>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Áno</w:t>
            </w:r>
          </w:p>
        </w:tc>
        <w:tc>
          <w:tcPr>
            <w:tcW w:w="1610" w:type="dxa"/>
            <w:tcBorders>
              <w:top w:val="single" w:sz="4" w:space="0" w:color="FFFFFF" w:themeColor="background1"/>
              <w:left w:val="nil"/>
              <w:bottom w:val="nil"/>
              <w:right w:val="single" w:sz="4" w:space="0" w:color="auto"/>
            </w:tcBorders>
            <w:shd w:val="clear" w:color="auto" w:fill="FFFFFF" w:themeFill="background1"/>
          </w:tcPr>
          <w:p w14:paraId="2694053B" w14:textId="77777777" w:rsidR="00076AAE" w:rsidRPr="00F83E0D" w:rsidRDefault="002529B5" w:rsidP="000737B2">
            <w:pPr>
              <w:jc w:val="center"/>
              <w:rPr>
                <w:b/>
                <w:sz w:val="20"/>
                <w:szCs w:val="20"/>
              </w:rPr>
            </w:pPr>
            <w:sdt>
              <w:sdtPr>
                <w:rPr>
                  <w:b/>
                  <w:sz w:val="20"/>
                  <w:szCs w:val="20"/>
                </w:rPr>
                <w:id w:val="-1594626508"/>
                <w14:checkbox>
                  <w14:checked w14:val="0"/>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Nie</w:t>
            </w:r>
          </w:p>
        </w:tc>
      </w:tr>
      <w:tr w:rsidR="00076AAE" w:rsidRPr="00F83E0D" w14:paraId="09F108E4" w14:textId="77777777" w:rsidTr="6F03B451">
        <w:tc>
          <w:tcPr>
            <w:tcW w:w="8855" w:type="dxa"/>
            <w:gridSpan w:val="6"/>
            <w:tcBorders>
              <w:top w:val="nil"/>
              <w:left w:val="single" w:sz="4" w:space="0" w:color="auto"/>
              <w:bottom w:val="single" w:sz="4" w:space="0" w:color="auto"/>
              <w:right w:val="single" w:sz="4" w:space="0" w:color="auto"/>
            </w:tcBorders>
            <w:shd w:val="clear" w:color="auto" w:fill="FFFFFF" w:themeFill="background1"/>
          </w:tcPr>
          <w:p w14:paraId="73AC7131" w14:textId="77777777" w:rsidR="00076AAE" w:rsidRPr="00F83E0D" w:rsidRDefault="00076AAE" w:rsidP="000737B2">
            <w:pPr>
              <w:rPr>
                <w:i/>
                <w:sz w:val="20"/>
                <w:szCs w:val="20"/>
              </w:rPr>
            </w:pPr>
            <w:r w:rsidRPr="00F83E0D">
              <w:rPr>
                <w:i/>
                <w:sz w:val="20"/>
                <w:szCs w:val="20"/>
              </w:rPr>
              <w:t>Ak áno, uveďte ktoré oblasti budú nimi upravené, resp. ktorých vykonávacích predpisov sa zmena dotkne:</w:t>
            </w:r>
          </w:p>
          <w:p w14:paraId="397F49BB" w14:textId="77777777" w:rsidR="00076AAE" w:rsidRPr="00F83E0D" w:rsidRDefault="00076AAE" w:rsidP="000737B2">
            <w:pPr>
              <w:rPr>
                <w:sz w:val="20"/>
                <w:szCs w:val="20"/>
              </w:rPr>
            </w:pPr>
          </w:p>
          <w:p w14:paraId="633C582F" w14:textId="77777777" w:rsidR="00076AAE" w:rsidRPr="00D60E4D" w:rsidRDefault="00076AAE" w:rsidP="000737B2">
            <w:pPr>
              <w:jc w:val="both"/>
              <w:rPr>
                <w:sz w:val="22"/>
                <w:szCs w:val="22"/>
              </w:rPr>
            </w:pPr>
            <w:r w:rsidRPr="00D60E4D">
              <w:rPr>
                <w:sz w:val="22"/>
                <w:szCs w:val="22"/>
              </w:rPr>
              <w:t>Upravené budú nasledovné oblasti:</w:t>
            </w:r>
          </w:p>
          <w:p w14:paraId="1D0FE755" w14:textId="77777777" w:rsidR="00076AAE" w:rsidRPr="00D60E4D" w:rsidRDefault="00076AAE" w:rsidP="00076AAE">
            <w:pPr>
              <w:numPr>
                <w:ilvl w:val="0"/>
                <w:numId w:val="3"/>
              </w:numPr>
              <w:jc w:val="both"/>
              <w:rPr>
                <w:sz w:val="22"/>
                <w:szCs w:val="22"/>
              </w:rPr>
            </w:pPr>
            <w:r w:rsidRPr="622CFF1C">
              <w:rPr>
                <w:sz w:val="22"/>
                <w:szCs w:val="22"/>
              </w:rPr>
              <w:t>pravidlá pre fungovanie vnútorného trhu s elektrinou a pravidlá pre fungovanie vnútorného trhu s plynom,</w:t>
            </w:r>
          </w:p>
          <w:p w14:paraId="062A5CB5" w14:textId="77777777" w:rsidR="00076AAE" w:rsidRPr="00D60E4D" w:rsidRDefault="00076AAE" w:rsidP="00076AAE">
            <w:pPr>
              <w:numPr>
                <w:ilvl w:val="0"/>
                <w:numId w:val="3"/>
              </w:numPr>
              <w:jc w:val="both"/>
              <w:rPr>
                <w:sz w:val="22"/>
                <w:szCs w:val="22"/>
              </w:rPr>
            </w:pPr>
            <w:r w:rsidRPr="00D60E4D">
              <w:rPr>
                <w:sz w:val="22"/>
                <w:szCs w:val="22"/>
              </w:rPr>
              <w:t>cenová regulácia v </w:t>
            </w:r>
            <w:proofErr w:type="spellStart"/>
            <w:r w:rsidRPr="00D60E4D">
              <w:rPr>
                <w:sz w:val="22"/>
                <w:szCs w:val="22"/>
              </w:rPr>
              <w:t>elektroenergetike</w:t>
            </w:r>
            <w:proofErr w:type="spellEnd"/>
            <w:r w:rsidRPr="00D60E4D">
              <w:rPr>
                <w:sz w:val="22"/>
                <w:szCs w:val="22"/>
              </w:rPr>
              <w:t xml:space="preserve"> a niektoré podmienky vykonávania regulovaných činností v </w:t>
            </w:r>
            <w:proofErr w:type="spellStart"/>
            <w:r w:rsidRPr="00D60E4D">
              <w:rPr>
                <w:sz w:val="22"/>
                <w:szCs w:val="22"/>
              </w:rPr>
              <w:t>elektroenergetike</w:t>
            </w:r>
            <w:proofErr w:type="spellEnd"/>
            <w:r w:rsidRPr="00D60E4D">
              <w:rPr>
                <w:sz w:val="22"/>
                <w:szCs w:val="22"/>
              </w:rPr>
              <w:t>,</w:t>
            </w:r>
          </w:p>
          <w:p w14:paraId="22334168" w14:textId="77777777" w:rsidR="00076AAE" w:rsidRPr="00D60E4D" w:rsidRDefault="00076AAE" w:rsidP="00076AAE">
            <w:pPr>
              <w:numPr>
                <w:ilvl w:val="0"/>
                <w:numId w:val="3"/>
              </w:numPr>
              <w:jc w:val="both"/>
              <w:rPr>
                <w:sz w:val="22"/>
                <w:szCs w:val="22"/>
              </w:rPr>
            </w:pPr>
            <w:r w:rsidRPr="00D60E4D">
              <w:rPr>
                <w:sz w:val="22"/>
                <w:szCs w:val="22"/>
              </w:rPr>
              <w:t xml:space="preserve">doplnenie a úprava podmienok pre činnosť zdieľania elektriny, poskytovania údajov potrebných na vykonanie zmeny dodávateľa elektriny alebo </w:t>
            </w:r>
            <w:proofErr w:type="spellStart"/>
            <w:r w:rsidRPr="00D60E4D">
              <w:rPr>
                <w:sz w:val="22"/>
                <w:szCs w:val="22"/>
              </w:rPr>
              <w:t>agregátora</w:t>
            </w:r>
            <w:proofErr w:type="spellEnd"/>
            <w:r w:rsidRPr="00D60E4D">
              <w:rPr>
                <w:sz w:val="22"/>
                <w:szCs w:val="22"/>
              </w:rPr>
              <w:t>, údajov potrebných na poskytovanie flexibility,</w:t>
            </w:r>
          </w:p>
          <w:p w14:paraId="2360E85B" w14:textId="77777777" w:rsidR="00076AAE" w:rsidRPr="00D60E4D" w:rsidRDefault="00076AAE" w:rsidP="00076AAE">
            <w:pPr>
              <w:numPr>
                <w:ilvl w:val="0"/>
                <w:numId w:val="3"/>
              </w:numPr>
              <w:jc w:val="both"/>
              <w:rPr>
                <w:sz w:val="22"/>
                <w:szCs w:val="22"/>
              </w:rPr>
            </w:pPr>
            <w:r w:rsidRPr="00D60E4D">
              <w:rPr>
                <w:sz w:val="22"/>
                <w:szCs w:val="22"/>
              </w:rPr>
              <w:t>doplnenie postupov o spôsob, rozsah a štruktúru poskytovania údajov prevádzkovateľom zariadenia na uskladňovanie elektriny, aktívnym odberateľom, energetickým spoločenstvom,</w:t>
            </w:r>
          </w:p>
          <w:p w14:paraId="57BEC007" w14:textId="77777777" w:rsidR="00076AAE" w:rsidRPr="00D60E4D" w:rsidRDefault="00076AAE" w:rsidP="00076AAE">
            <w:pPr>
              <w:numPr>
                <w:ilvl w:val="0"/>
                <w:numId w:val="3"/>
              </w:numPr>
              <w:jc w:val="both"/>
              <w:rPr>
                <w:sz w:val="22"/>
                <w:szCs w:val="22"/>
              </w:rPr>
            </w:pPr>
            <w:r w:rsidRPr="00D60E4D">
              <w:rPr>
                <w:sz w:val="22"/>
                <w:szCs w:val="22"/>
              </w:rPr>
              <w:t>stanovenie spôsobu evidencie, vydávania a administrovania mechanizmu kreditov na množstvo elektriny z OZE pre prevádzkovateľov nabíjacích staníc</w:t>
            </w:r>
            <w:r>
              <w:rPr>
                <w:sz w:val="22"/>
                <w:szCs w:val="22"/>
              </w:rPr>
              <w:t>,</w:t>
            </w:r>
          </w:p>
          <w:p w14:paraId="4BD9A5A2" w14:textId="77777777" w:rsidR="00076AAE" w:rsidRPr="003E0555" w:rsidRDefault="00076AAE" w:rsidP="00076AAE">
            <w:pPr>
              <w:numPr>
                <w:ilvl w:val="0"/>
                <w:numId w:val="3"/>
              </w:numPr>
              <w:jc w:val="both"/>
              <w:rPr>
                <w:sz w:val="20"/>
                <w:szCs w:val="20"/>
              </w:rPr>
            </w:pPr>
            <w:r w:rsidRPr="00D60E4D">
              <w:rPr>
                <w:sz w:val="22"/>
                <w:szCs w:val="22"/>
              </w:rPr>
              <w:t>vecná regulácia pripojenia zariadenia na výrobu elektriny z obnoviteľných zdrojov do sústavy v prípade flexibilného pripojenia.</w:t>
            </w:r>
          </w:p>
          <w:p w14:paraId="77B41090" w14:textId="77777777" w:rsidR="00090512" w:rsidRPr="003E0555" w:rsidRDefault="003E0555" w:rsidP="003E0555">
            <w:pPr>
              <w:numPr>
                <w:ilvl w:val="0"/>
                <w:numId w:val="3"/>
              </w:numPr>
              <w:jc w:val="both"/>
              <w:rPr>
                <w:sz w:val="22"/>
                <w:szCs w:val="22"/>
              </w:rPr>
            </w:pPr>
            <w:r w:rsidRPr="003E0555">
              <w:rPr>
                <w:sz w:val="22"/>
                <w:szCs w:val="22"/>
              </w:rPr>
              <w:t>Zavádza sa mechanizmus kreditov vydávaných na elektrinu z OZE využívanú v doprave.</w:t>
            </w:r>
          </w:p>
          <w:p w14:paraId="51EC66E9" w14:textId="77777777" w:rsidR="003E0555" w:rsidRPr="003E0555" w:rsidRDefault="003E0555" w:rsidP="003E0555">
            <w:pPr>
              <w:numPr>
                <w:ilvl w:val="0"/>
                <w:numId w:val="3"/>
              </w:numPr>
              <w:jc w:val="both"/>
              <w:rPr>
                <w:sz w:val="22"/>
                <w:szCs w:val="22"/>
              </w:rPr>
            </w:pPr>
            <w:r w:rsidRPr="003E0555">
              <w:rPr>
                <w:sz w:val="22"/>
                <w:szCs w:val="22"/>
              </w:rPr>
              <w:t>Zavádza sa priama podpora formou zmluvy o vyrovnávacom režime, ktorá sa vzťahuje na podporu výroby elektriny z veternej, slnečnej, geotermálnej, vodnej energie a jadrovej energie</w:t>
            </w:r>
          </w:p>
          <w:p w14:paraId="7534E98F" w14:textId="77777777" w:rsidR="003E0555" w:rsidRPr="00F83E0D" w:rsidRDefault="003E0555" w:rsidP="003E0555">
            <w:pPr>
              <w:numPr>
                <w:ilvl w:val="0"/>
                <w:numId w:val="3"/>
              </w:numPr>
              <w:jc w:val="both"/>
              <w:rPr>
                <w:sz w:val="20"/>
                <w:szCs w:val="20"/>
              </w:rPr>
            </w:pPr>
            <w:r w:rsidRPr="003E0555">
              <w:rPr>
                <w:sz w:val="22"/>
                <w:szCs w:val="22"/>
              </w:rPr>
              <w:t>Navrhuje sa aj úprava základných ustanovení potrebných pre účely činnosti distribúcie vodíka v kontexte prípravných krokov pre vytvorenie podmienok pre rozvoj vodíkového hospodárstva v Slovenskej republike</w:t>
            </w:r>
          </w:p>
        </w:tc>
      </w:tr>
      <w:tr w:rsidR="00076AAE" w:rsidRPr="00F83E0D" w14:paraId="28B07638" w14:textId="77777777" w:rsidTr="6F03B451">
        <w:tc>
          <w:tcPr>
            <w:tcW w:w="8855"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7EEEC2B4"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 xml:space="preserve">Transpozícia/implementácia práva EÚ </w:t>
            </w:r>
          </w:p>
        </w:tc>
      </w:tr>
      <w:tr w:rsidR="00076AAE" w:rsidRPr="00F83E0D" w14:paraId="78B8CBCF" w14:textId="77777777" w:rsidTr="6F03B451">
        <w:trPr>
          <w:trHeight w:val="157"/>
        </w:trPr>
        <w:tc>
          <w:tcPr>
            <w:tcW w:w="8855" w:type="dxa"/>
            <w:gridSpan w:val="6"/>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76AAE" w:rsidRPr="00F83E0D" w14:paraId="57C4C122" w14:textId="77777777" w:rsidTr="000737B2">
              <w:trPr>
                <w:trHeight w:val="90"/>
              </w:trPr>
              <w:tc>
                <w:tcPr>
                  <w:tcW w:w="8643" w:type="dxa"/>
                </w:tcPr>
                <w:p w14:paraId="14B3FB84" w14:textId="77777777" w:rsidR="00076AAE" w:rsidRPr="00F83E0D" w:rsidRDefault="00076AAE" w:rsidP="000737B2">
                  <w:pPr>
                    <w:autoSpaceDE w:val="0"/>
                    <w:autoSpaceDN w:val="0"/>
                    <w:adjustRightInd w:val="0"/>
                    <w:rPr>
                      <w:rFonts w:eastAsiaTheme="minorHAnsi"/>
                      <w:sz w:val="20"/>
                      <w:szCs w:val="20"/>
                      <w:lang w:eastAsia="en-US"/>
                    </w:rPr>
                  </w:pPr>
                  <w:r w:rsidRPr="00F83E0D">
                    <w:rPr>
                      <w:rFonts w:eastAsiaTheme="minorHAnsi"/>
                      <w:i/>
                      <w:iCs/>
                      <w:sz w:val="20"/>
                      <w:szCs w:val="20"/>
                      <w:lang w:eastAsia="en-US"/>
                    </w:rPr>
                    <w:t xml:space="preserve">Uveďte, či v predkladanom návrhu právneho predpisu dochádza ku </w:t>
                  </w:r>
                  <w:proofErr w:type="spellStart"/>
                  <w:r w:rsidRPr="00F83E0D">
                    <w:rPr>
                      <w:rFonts w:eastAsiaTheme="minorHAnsi"/>
                      <w:i/>
                      <w:iCs/>
                      <w:sz w:val="20"/>
                      <w:szCs w:val="20"/>
                      <w:lang w:eastAsia="en-US"/>
                    </w:rPr>
                    <w:t>goldplatingu</w:t>
                  </w:r>
                  <w:proofErr w:type="spellEnd"/>
                  <w:r w:rsidRPr="00F83E0D">
                    <w:rPr>
                      <w:rFonts w:eastAsiaTheme="minorHAnsi"/>
                      <w:i/>
                      <w:iCs/>
                      <w:sz w:val="20"/>
                      <w:szCs w:val="20"/>
                      <w:lang w:eastAsia="en-US"/>
                    </w:rPr>
                    <w:t xml:space="preserve"> podľa tabuľky zhody, resp. či ku </w:t>
                  </w:r>
                  <w:proofErr w:type="spellStart"/>
                  <w:r w:rsidRPr="00F83E0D">
                    <w:rPr>
                      <w:rFonts w:eastAsiaTheme="minorHAnsi"/>
                      <w:i/>
                      <w:iCs/>
                      <w:sz w:val="20"/>
                      <w:szCs w:val="20"/>
                      <w:lang w:eastAsia="en-US"/>
                    </w:rPr>
                    <w:t>goldplatingu</w:t>
                  </w:r>
                  <w:proofErr w:type="spellEnd"/>
                  <w:r w:rsidRPr="00F83E0D">
                    <w:rPr>
                      <w:rFonts w:eastAsiaTheme="minorHAnsi"/>
                      <w:i/>
                      <w:iCs/>
                      <w:sz w:val="20"/>
                      <w:szCs w:val="20"/>
                      <w:lang w:eastAsia="en-US"/>
                    </w:rPr>
                    <w:t xml:space="preserve"> dochádza pri implementácii práva EÚ. </w:t>
                  </w:r>
                </w:p>
              </w:tc>
            </w:tr>
            <w:tr w:rsidR="00076AAE" w:rsidRPr="00F83E0D" w14:paraId="15949D50" w14:textId="77777777" w:rsidTr="000737B2">
              <w:trPr>
                <w:trHeight w:val="296"/>
              </w:trPr>
              <w:tc>
                <w:tcPr>
                  <w:tcW w:w="8643" w:type="dxa"/>
                </w:tcPr>
                <w:p w14:paraId="32320873" w14:textId="77777777" w:rsidR="00076AAE" w:rsidRPr="00F83E0D" w:rsidRDefault="00076AAE" w:rsidP="000737B2">
                  <w:pPr>
                    <w:autoSpaceDE w:val="0"/>
                    <w:autoSpaceDN w:val="0"/>
                    <w:adjustRightInd w:val="0"/>
                    <w:rPr>
                      <w:rFonts w:eastAsiaTheme="minorHAnsi"/>
                      <w:b/>
                      <w:iCs/>
                      <w:sz w:val="20"/>
                      <w:szCs w:val="20"/>
                      <w:lang w:eastAsia="en-US"/>
                    </w:rPr>
                  </w:pPr>
                  <w:r w:rsidRPr="00F83E0D">
                    <w:rPr>
                      <w:rFonts w:eastAsiaTheme="minorHAnsi"/>
                      <w:b/>
                      <w:iCs/>
                      <w:sz w:val="20"/>
                      <w:szCs w:val="20"/>
                      <w:lang w:eastAsia="en-US"/>
                    </w:rPr>
                    <w:t xml:space="preserve">                                                                                                                               </w:t>
                  </w:r>
                  <w:sdt>
                    <w:sdtPr>
                      <w:rPr>
                        <w:rFonts w:eastAsiaTheme="minorHAnsi"/>
                        <w:b/>
                        <w:iCs/>
                        <w:sz w:val="20"/>
                        <w:szCs w:val="20"/>
                        <w:lang w:eastAsia="en-US"/>
                      </w:rPr>
                      <w:id w:val="1614706761"/>
                      <w14:checkbox>
                        <w14:checked w14:val="0"/>
                        <w14:checkedState w14:val="2612" w14:font="MS Gothic"/>
                        <w14:uncheckedState w14:val="2610" w14:font="MS Gothic"/>
                      </w14:checkbox>
                    </w:sdtPr>
                    <w:sdtEndPr/>
                    <w:sdtContent>
                      <w:r w:rsidRPr="00F83E0D">
                        <w:rPr>
                          <w:rFonts w:ascii="Segoe UI Symbol" w:eastAsiaTheme="minorHAnsi" w:hAnsi="Segoe UI Symbol" w:cs="Segoe UI Symbol"/>
                          <w:b/>
                          <w:iCs/>
                          <w:sz w:val="20"/>
                          <w:szCs w:val="20"/>
                          <w:lang w:eastAsia="en-US"/>
                        </w:rPr>
                        <w:t>☐</w:t>
                      </w:r>
                    </w:sdtContent>
                  </w:sdt>
                  <w:r w:rsidRPr="00F83E0D">
                    <w:rPr>
                      <w:rFonts w:eastAsiaTheme="minorHAnsi"/>
                      <w:b/>
                      <w:iCs/>
                      <w:sz w:val="20"/>
                      <w:szCs w:val="20"/>
                      <w:lang w:eastAsia="en-US"/>
                    </w:rPr>
                    <w:t xml:space="preserve"> Áno                  </w:t>
                  </w:r>
                  <w:sdt>
                    <w:sdtPr>
                      <w:rPr>
                        <w:rFonts w:eastAsiaTheme="minorHAnsi"/>
                        <w:b/>
                        <w:iCs/>
                        <w:sz w:val="20"/>
                        <w:szCs w:val="20"/>
                        <w:lang w:eastAsia="en-US"/>
                      </w:rPr>
                      <w:id w:val="-155225922"/>
                      <w14:checkbox>
                        <w14:checked w14:val="1"/>
                        <w14:checkedState w14:val="2612" w14:font="MS Gothic"/>
                        <w14:uncheckedState w14:val="2610" w14:font="MS Gothic"/>
                      </w14:checkbox>
                    </w:sdtPr>
                    <w:sdtEndPr/>
                    <w:sdtContent>
                      <w:r w:rsidRPr="00F83E0D">
                        <w:rPr>
                          <w:rFonts w:ascii="Segoe UI Symbol" w:eastAsiaTheme="minorHAnsi" w:hAnsi="Segoe UI Symbol" w:cs="Segoe UI Symbol"/>
                          <w:b/>
                          <w:iCs/>
                          <w:sz w:val="20"/>
                          <w:szCs w:val="20"/>
                          <w:lang w:eastAsia="en-US"/>
                        </w:rPr>
                        <w:t>☒</w:t>
                      </w:r>
                    </w:sdtContent>
                  </w:sdt>
                  <w:r w:rsidRPr="00F83E0D">
                    <w:rPr>
                      <w:rFonts w:eastAsiaTheme="minorHAnsi"/>
                      <w:b/>
                      <w:iCs/>
                      <w:sz w:val="20"/>
                      <w:szCs w:val="20"/>
                      <w:lang w:eastAsia="en-US"/>
                    </w:rPr>
                    <w:t xml:space="preserve"> Nie</w:t>
                  </w:r>
                </w:p>
                <w:p w14:paraId="447AE81D" w14:textId="77777777" w:rsidR="00076AAE" w:rsidRPr="00F83E0D" w:rsidRDefault="00076AAE" w:rsidP="000737B2">
                  <w:pPr>
                    <w:autoSpaceDE w:val="0"/>
                    <w:autoSpaceDN w:val="0"/>
                    <w:adjustRightInd w:val="0"/>
                    <w:rPr>
                      <w:rFonts w:eastAsiaTheme="minorHAnsi"/>
                      <w:i/>
                      <w:iCs/>
                      <w:sz w:val="20"/>
                      <w:szCs w:val="20"/>
                      <w:lang w:eastAsia="en-US"/>
                    </w:rPr>
                  </w:pPr>
                </w:p>
                <w:p w14:paraId="3A276D30" w14:textId="77777777" w:rsidR="00076AAE" w:rsidRPr="00F83E0D" w:rsidRDefault="00076AAE" w:rsidP="000737B2">
                  <w:pPr>
                    <w:autoSpaceDE w:val="0"/>
                    <w:autoSpaceDN w:val="0"/>
                    <w:adjustRightInd w:val="0"/>
                    <w:rPr>
                      <w:rFonts w:eastAsiaTheme="minorHAnsi"/>
                      <w:sz w:val="20"/>
                      <w:szCs w:val="20"/>
                      <w:lang w:eastAsia="en-US"/>
                    </w:rPr>
                  </w:pPr>
                  <w:r w:rsidRPr="00F83E0D">
                    <w:rPr>
                      <w:rFonts w:eastAsiaTheme="minorHAnsi"/>
                      <w:i/>
                      <w:iCs/>
                      <w:sz w:val="20"/>
                      <w:szCs w:val="20"/>
                      <w:lang w:eastAsia="en-US"/>
                    </w:rPr>
                    <w:t xml:space="preserve">Ak áno, uveďte, ktorých vplyvov podľa bodu 9 sa </w:t>
                  </w:r>
                  <w:proofErr w:type="spellStart"/>
                  <w:r w:rsidRPr="00F83E0D">
                    <w:rPr>
                      <w:rFonts w:eastAsiaTheme="minorHAnsi"/>
                      <w:i/>
                      <w:iCs/>
                      <w:sz w:val="20"/>
                      <w:szCs w:val="20"/>
                      <w:lang w:eastAsia="en-US"/>
                    </w:rPr>
                    <w:t>goldplating</w:t>
                  </w:r>
                  <w:proofErr w:type="spellEnd"/>
                  <w:r w:rsidRPr="00F83E0D">
                    <w:rPr>
                      <w:rFonts w:eastAsiaTheme="minorHAnsi"/>
                      <w:i/>
                      <w:iCs/>
                      <w:sz w:val="20"/>
                      <w:szCs w:val="20"/>
                      <w:lang w:eastAsia="en-US"/>
                    </w:rPr>
                    <w:t xml:space="preserve"> týka: </w:t>
                  </w:r>
                </w:p>
              </w:tc>
            </w:tr>
            <w:tr w:rsidR="00076AAE" w:rsidRPr="00F83E0D" w14:paraId="69367BC9" w14:textId="77777777" w:rsidTr="000737B2">
              <w:trPr>
                <w:trHeight w:val="296"/>
              </w:trPr>
              <w:tc>
                <w:tcPr>
                  <w:tcW w:w="8643" w:type="dxa"/>
                </w:tcPr>
                <w:p w14:paraId="0163B57F" w14:textId="77777777" w:rsidR="00076AAE" w:rsidRPr="00F83E0D" w:rsidRDefault="00076AAE" w:rsidP="000737B2">
                  <w:pPr>
                    <w:autoSpaceDE w:val="0"/>
                    <w:autoSpaceDN w:val="0"/>
                    <w:adjustRightInd w:val="0"/>
                    <w:rPr>
                      <w:rFonts w:ascii="Segoe UI Symbol" w:eastAsiaTheme="minorHAnsi" w:hAnsi="Segoe UI Symbol" w:cs="Segoe UI Symbol"/>
                      <w:sz w:val="20"/>
                      <w:szCs w:val="20"/>
                      <w:lang w:eastAsia="en-US"/>
                    </w:rPr>
                  </w:pPr>
                </w:p>
              </w:tc>
            </w:tr>
          </w:tbl>
          <w:p w14:paraId="6A37C621" w14:textId="77777777" w:rsidR="00076AAE" w:rsidRPr="00F83E0D" w:rsidRDefault="00076AAE" w:rsidP="000737B2">
            <w:pPr>
              <w:jc w:val="both"/>
              <w:rPr>
                <w:i/>
                <w:sz w:val="20"/>
                <w:szCs w:val="20"/>
              </w:rPr>
            </w:pPr>
          </w:p>
        </w:tc>
      </w:tr>
      <w:tr w:rsidR="00076AAE" w:rsidRPr="00F83E0D" w14:paraId="2B3F3E3D" w14:textId="77777777" w:rsidTr="6F03B451">
        <w:trPr>
          <w:trHeight w:val="248"/>
        </w:trPr>
        <w:tc>
          <w:tcPr>
            <w:tcW w:w="8855" w:type="dxa"/>
            <w:gridSpan w:val="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46FACA6" w14:textId="77777777" w:rsidR="00076AAE" w:rsidRPr="00F83E0D" w:rsidRDefault="00076AAE" w:rsidP="000737B2">
            <w:pPr>
              <w:jc w:val="center"/>
              <w:rPr>
                <w:sz w:val="20"/>
                <w:szCs w:val="20"/>
              </w:rPr>
            </w:pPr>
          </w:p>
        </w:tc>
      </w:tr>
      <w:tr w:rsidR="00076AAE" w:rsidRPr="00F83E0D" w14:paraId="19BF0D1E" w14:textId="77777777" w:rsidTr="6F03B451">
        <w:tc>
          <w:tcPr>
            <w:tcW w:w="8855"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34436D26"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Preskúmanie účelnosti</w:t>
            </w:r>
          </w:p>
        </w:tc>
      </w:tr>
      <w:tr w:rsidR="00076AAE" w:rsidRPr="00F83E0D" w14:paraId="27CBA07E" w14:textId="77777777" w:rsidTr="6F03B451">
        <w:tc>
          <w:tcPr>
            <w:tcW w:w="8855"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1670839" w14:textId="77777777" w:rsidR="00076AAE" w:rsidRPr="00F83E0D" w:rsidRDefault="00076AAE" w:rsidP="000737B2">
            <w:pPr>
              <w:rPr>
                <w:i/>
                <w:sz w:val="20"/>
                <w:szCs w:val="20"/>
              </w:rPr>
            </w:pPr>
            <w:r w:rsidRPr="00F83E0D">
              <w:rPr>
                <w:i/>
                <w:sz w:val="20"/>
                <w:szCs w:val="20"/>
              </w:rPr>
              <w:t>Uveďte termín, kedy by malo dôjsť k preskúmaniu účinnosti a účelnosti predkladaného materiálu.</w:t>
            </w:r>
          </w:p>
          <w:p w14:paraId="78B341C1" w14:textId="77777777" w:rsidR="00076AAE" w:rsidRPr="00F83E0D" w:rsidRDefault="00076AAE" w:rsidP="000737B2">
            <w:pPr>
              <w:rPr>
                <w:i/>
                <w:sz w:val="20"/>
                <w:szCs w:val="20"/>
              </w:rPr>
            </w:pPr>
            <w:r w:rsidRPr="00F83E0D">
              <w:rPr>
                <w:i/>
                <w:sz w:val="20"/>
                <w:szCs w:val="20"/>
              </w:rPr>
              <w:t>Uveďte kritériá, na základe ktorých bude preskúmanie vykonané.</w:t>
            </w:r>
          </w:p>
          <w:p w14:paraId="0FEE7B28" w14:textId="77777777" w:rsidR="00076AAE" w:rsidRPr="00F83E0D" w:rsidRDefault="00076AAE" w:rsidP="000737B2">
            <w:pPr>
              <w:rPr>
                <w:i/>
                <w:sz w:val="20"/>
                <w:szCs w:val="20"/>
              </w:rPr>
            </w:pPr>
          </w:p>
          <w:p w14:paraId="4AF772B1" w14:textId="77777777" w:rsidR="00076AAE" w:rsidRPr="00D60E4D" w:rsidRDefault="00076AAE" w:rsidP="000737B2">
            <w:pPr>
              <w:jc w:val="both"/>
              <w:rPr>
                <w:iCs/>
                <w:sz w:val="22"/>
                <w:szCs w:val="22"/>
              </w:rPr>
            </w:pPr>
            <w:r w:rsidRPr="00D60E4D">
              <w:rPr>
                <w:iCs/>
                <w:sz w:val="22"/>
                <w:szCs w:val="22"/>
              </w:rPr>
              <w:t>Komisia do 31. decembra 2025 preskúma vykonávanie Smernice (EÚ) 2024/1711 a predloží správu Európskemu parlamentu a Rade. Komisia v prípade potreby predloží spolu so správou alebo po jej predložení aj legislatívny návrh.</w:t>
            </w:r>
          </w:p>
          <w:p w14:paraId="11F7BCE1" w14:textId="77777777" w:rsidR="00076AAE" w:rsidRPr="00D60E4D" w:rsidRDefault="00076AAE" w:rsidP="000737B2">
            <w:pPr>
              <w:jc w:val="both"/>
              <w:rPr>
                <w:iCs/>
                <w:sz w:val="22"/>
                <w:szCs w:val="22"/>
              </w:rPr>
            </w:pPr>
            <w:r w:rsidRPr="00D60E4D">
              <w:rPr>
                <w:iCs/>
                <w:sz w:val="22"/>
                <w:szCs w:val="22"/>
              </w:rPr>
              <w:lastRenderedPageBreak/>
              <w:t>V preskúmaní Komisie sa posúdi najmä kvalita služieb ponúkaných koncovým odberateľom a to, či sú odberatelia, predovšetkým zraniteľní odberatelia a odberatelia postihnutí energetickou chudobou, primerane chránení podľa tejto smernice.</w:t>
            </w:r>
          </w:p>
          <w:p w14:paraId="6815CFA3" w14:textId="77777777" w:rsidR="00076AAE" w:rsidRPr="00F83E0D" w:rsidRDefault="00076AAE" w:rsidP="000737B2">
            <w:pPr>
              <w:jc w:val="both"/>
              <w:rPr>
                <w:i/>
                <w:sz w:val="20"/>
                <w:szCs w:val="20"/>
              </w:rPr>
            </w:pPr>
            <w:r w:rsidRPr="00D60E4D">
              <w:rPr>
                <w:iCs/>
                <w:sz w:val="22"/>
                <w:szCs w:val="22"/>
              </w:rPr>
              <w:t>Preskúmanie účelnosti národnej úpravy bude prebiehať paralelne s preskúmavaním účelnosti regulácie EÚ, príp. v nadväznosti na jej závery.</w:t>
            </w:r>
            <w:r w:rsidRPr="00800889" w:rsidDel="00800889">
              <w:rPr>
                <w:iCs/>
                <w:sz w:val="20"/>
                <w:szCs w:val="20"/>
              </w:rPr>
              <w:t xml:space="preserve"> </w:t>
            </w:r>
          </w:p>
        </w:tc>
      </w:tr>
      <w:tr w:rsidR="00076AAE" w:rsidRPr="00F83E0D" w14:paraId="17B862DA" w14:textId="77777777" w:rsidTr="6F03B451">
        <w:tc>
          <w:tcPr>
            <w:tcW w:w="8855" w:type="dxa"/>
            <w:gridSpan w:val="6"/>
            <w:tcBorders>
              <w:top w:val="nil"/>
              <w:left w:val="nil"/>
              <w:bottom w:val="single" w:sz="4" w:space="0" w:color="auto"/>
              <w:right w:val="nil"/>
            </w:tcBorders>
            <w:shd w:val="clear" w:color="auto" w:fill="FFFFFF" w:themeFill="background1"/>
          </w:tcPr>
          <w:p w14:paraId="49D8DA6A" w14:textId="77777777" w:rsidR="00076AAE" w:rsidRPr="00F54AFF" w:rsidRDefault="00076AAE" w:rsidP="000737B2">
            <w:pPr>
              <w:jc w:val="both"/>
              <w:rPr>
                <w:b/>
                <w:sz w:val="20"/>
                <w:szCs w:val="20"/>
              </w:rPr>
            </w:pPr>
          </w:p>
          <w:p w14:paraId="1F3FE9C7" w14:textId="77777777" w:rsidR="00076AAE" w:rsidRPr="00F54AFF" w:rsidRDefault="00076AAE" w:rsidP="000737B2">
            <w:pPr>
              <w:ind w:left="142" w:hanging="142"/>
              <w:jc w:val="both"/>
              <w:rPr>
                <w:sz w:val="20"/>
                <w:szCs w:val="20"/>
              </w:rPr>
            </w:pPr>
            <w:r w:rsidRPr="00F54AFF">
              <w:rPr>
                <w:sz w:val="20"/>
                <w:szCs w:val="20"/>
              </w:rPr>
              <w:t xml:space="preserve">* vyplniť iba v prípade, ak materiál nie je zahrnutý do Plánu práce vlády Slovenskej republiky alebo Plánu        legislatívnych úloh vlády Slovenskej republiky. </w:t>
            </w:r>
          </w:p>
          <w:p w14:paraId="71F845E4" w14:textId="77777777" w:rsidR="00076AAE" w:rsidRPr="00F54AFF" w:rsidRDefault="00076AAE" w:rsidP="000737B2">
            <w:pPr>
              <w:jc w:val="both"/>
              <w:rPr>
                <w:sz w:val="20"/>
                <w:szCs w:val="20"/>
              </w:rPr>
            </w:pPr>
            <w:r w:rsidRPr="00F54AFF">
              <w:rPr>
                <w:sz w:val="20"/>
                <w:szCs w:val="20"/>
              </w:rPr>
              <w:t>** vyplniť iba v prípade, ak sa záverečné posúdenie vybraných vplyvov uskutočnilo v zmysle bodu 9.1. jednotnej metodiky.</w:t>
            </w:r>
          </w:p>
          <w:p w14:paraId="5C9E2A6C" w14:textId="77777777" w:rsidR="00076AAE" w:rsidRPr="00F54AFF" w:rsidRDefault="00076AAE" w:rsidP="000737B2">
            <w:pPr>
              <w:jc w:val="both"/>
              <w:rPr>
                <w:sz w:val="20"/>
                <w:szCs w:val="20"/>
              </w:rPr>
            </w:pPr>
            <w:r w:rsidRPr="00F54AFF">
              <w:rPr>
                <w:sz w:val="20"/>
                <w:szCs w:val="20"/>
              </w:rPr>
              <w:t>*** posudzovanie sa týka len zmien v I. a II. pilieri univerzálneho systému dôchodkového zabezpečenia s identifikovaným dopadom od 0,1 % HDP (vrátane) na dlhodobom horizonte.</w:t>
            </w:r>
          </w:p>
          <w:p w14:paraId="3ACE4EF8" w14:textId="77777777" w:rsidR="00076AAE" w:rsidRPr="00F54AFF" w:rsidRDefault="00076AAE" w:rsidP="000737B2">
            <w:pPr>
              <w:jc w:val="both"/>
              <w:rPr>
                <w:b/>
                <w:sz w:val="20"/>
                <w:szCs w:val="20"/>
              </w:rPr>
            </w:pPr>
          </w:p>
        </w:tc>
      </w:tr>
    </w:tbl>
    <w:tbl>
      <w:tblPr>
        <w:tblW w:w="9299" w:type="dxa"/>
        <w:tblLayout w:type="fixed"/>
        <w:tblLook w:val="04A0" w:firstRow="1" w:lastRow="0" w:firstColumn="1" w:lastColumn="0" w:noHBand="0" w:noVBand="1"/>
      </w:tblPr>
      <w:tblGrid>
        <w:gridCol w:w="3861"/>
        <w:gridCol w:w="548"/>
        <w:gridCol w:w="1297"/>
        <w:gridCol w:w="32"/>
        <w:gridCol w:w="287"/>
        <w:gridCol w:w="258"/>
        <w:gridCol w:w="1147"/>
        <w:gridCol w:w="554"/>
        <w:gridCol w:w="1315"/>
      </w:tblGrid>
      <w:tr w:rsidR="001B4FEA" w:rsidRPr="001B4FEA" w14:paraId="1704D585" w14:textId="77777777" w:rsidTr="00627D66">
        <w:trPr>
          <w:trHeight w:val="283"/>
        </w:trPr>
        <w:tc>
          <w:tcPr>
            <w:tcW w:w="9299"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17B5081C" w14:textId="77777777" w:rsidR="001B4FEA" w:rsidRPr="001B4FEA" w:rsidRDefault="001B4FEA" w:rsidP="001B4FEA">
            <w:pPr>
              <w:numPr>
                <w:ilvl w:val="0"/>
                <w:numId w:val="1"/>
              </w:numPr>
              <w:ind w:right="141"/>
              <w:rPr>
                <w:b/>
                <w:sz w:val="20"/>
                <w:szCs w:val="20"/>
              </w:rPr>
            </w:pPr>
            <w:r w:rsidRPr="001B4FEA">
              <w:rPr>
                <w:b/>
                <w:sz w:val="20"/>
                <w:szCs w:val="20"/>
              </w:rPr>
              <w:t>Vybrané vplyvy  materiálu</w:t>
            </w:r>
          </w:p>
        </w:tc>
      </w:tr>
      <w:tr w:rsidR="001B4FEA" w:rsidRPr="001B4FEA" w14:paraId="0C646AAC" w14:textId="77777777" w:rsidTr="00627D66">
        <w:trPr>
          <w:trHeight w:val="255"/>
        </w:trPr>
        <w:tc>
          <w:tcPr>
            <w:tcW w:w="3861" w:type="dxa"/>
            <w:tcBorders>
              <w:top w:val="single" w:sz="4" w:space="0" w:color="auto"/>
              <w:left w:val="single" w:sz="4" w:space="0" w:color="auto"/>
              <w:bottom w:val="nil"/>
              <w:right w:val="single" w:sz="4" w:space="0" w:color="auto"/>
            </w:tcBorders>
            <w:shd w:val="clear" w:color="auto" w:fill="E2E2E2"/>
          </w:tcPr>
          <w:p w14:paraId="2F7FFD66" w14:textId="77777777" w:rsidR="001B4FEA" w:rsidRPr="001B4FEA" w:rsidRDefault="001B4FEA" w:rsidP="001B4FEA">
            <w:pPr>
              <w:ind w:right="141"/>
              <w:rPr>
                <w:b/>
                <w:sz w:val="20"/>
                <w:szCs w:val="20"/>
              </w:rPr>
            </w:pPr>
            <w:r w:rsidRPr="001B4FEA">
              <w:rPr>
                <w:b/>
                <w:sz w:val="20"/>
                <w:szCs w:val="20"/>
              </w:rPr>
              <w:t>Vplyvy na rozpočet verejnej správy</w:t>
            </w:r>
          </w:p>
        </w:tc>
        <w:sdt>
          <w:sdtPr>
            <w:rPr>
              <w:b/>
              <w:sz w:val="20"/>
              <w:szCs w:val="20"/>
            </w:rPr>
            <w:id w:val="-1548215238"/>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dotted" w:sz="4" w:space="0" w:color="auto"/>
                  <w:right w:val="nil"/>
                </w:tcBorders>
              </w:tcPr>
              <w:p w14:paraId="5C2900BA"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dotted" w:sz="4" w:space="0" w:color="auto"/>
              <w:right w:val="nil"/>
            </w:tcBorders>
          </w:tcPr>
          <w:p w14:paraId="2C0DD522"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647325551"/>
            <w14:checkbox>
              <w14:checked w14:val="1"/>
              <w14:checkedState w14:val="2612" w14:font="MS Gothic"/>
              <w14:uncheckedState w14:val="2610" w14:font="MS Gothic"/>
            </w14:checkbox>
          </w:sdtPr>
          <w:sdtEndPr/>
          <w:sdtContent>
            <w:tc>
              <w:tcPr>
                <w:tcW w:w="545" w:type="dxa"/>
                <w:gridSpan w:val="2"/>
                <w:tcBorders>
                  <w:top w:val="single" w:sz="4" w:space="0" w:color="auto"/>
                  <w:left w:val="nil"/>
                  <w:bottom w:val="dotted" w:sz="4" w:space="0" w:color="auto"/>
                  <w:right w:val="nil"/>
                </w:tcBorders>
              </w:tcPr>
              <w:p w14:paraId="29B652F8" w14:textId="77777777" w:rsidR="001B4FEA" w:rsidRPr="001B4FEA" w:rsidRDefault="009A10A2" w:rsidP="001B4FEA">
                <w:pPr>
                  <w:ind w:right="141"/>
                  <w:rPr>
                    <w:b/>
                    <w:sz w:val="20"/>
                    <w:szCs w:val="20"/>
                  </w:rPr>
                </w:pPr>
                <w:r>
                  <w:rPr>
                    <w:rFonts w:ascii="MS Gothic" w:eastAsia="MS Gothic" w:hAnsi="MS Gothic" w:hint="eastAsia"/>
                    <w:b/>
                    <w:sz w:val="20"/>
                    <w:szCs w:val="20"/>
                  </w:rPr>
                  <w:t>☒</w:t>
                </w:r>
              </w:p>
            </w:tc>
          </w:sdtContent>
        </w:sdt>
        <w:tc>
          <w:tcPr>
            <w:tcW w:w="1147" w:type="dxa"/>
            <w:tcBorders>
              <w:top w:val="single" w:sz="4" w:space="0" w:color="auto"/>
              <w:left w:val="nil"/>
              <w:bottom w:val="dotted" w:sz="4" w:space="0" w:color="auto"/>
              <w:right w:val="nil"/>
            </w:tcBorders>
          </w:tcPr>
          <w:p w14:paraId="5299B0DC"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498689944"/>
            <w14:checkbox>
              <w14:checked w14:val="0"/>
              <w14:checkedState w14:val="2612" w14:font="MS Gothic"/>
              <w14:uncheckedState w14:val="2610" w14:font="MS Gothic"/>
            </w14:checkbox>
          </w:sdtPr>
          <w:sdtEndPr/>
          <w:sdtContent>
            <w:tc>
              <w:tcPr>
                <w:tcW w:w="554" w:type="dxa"/>
                <w:tcBorders>
                  <w:top w:val="single" w:sz="4" w:space="0" w:color="auto"/>
                  <w:left w:val="nil"/>
                  <w:bottom w:val="dotted" w:sz="4" w:space="0" w:color="auto"/>
                  <w:right w:val="nil"/>
                </w:tcBorders>
              </w:tcPr>
              <w:p w14:paraId="6D22CDAC" w14:textId="77777777" w:rsidR="001B4FEA" w:rsidRPr="001B4FEA" w:rsidRDefault="009A10A2" w:rsidP="001B4FEA">
                <w:pPr>
                  <w:ind w:right="141"/>
                  <w:rPr>
                    <w:b/>
                    <w:sz w:val="20"/>
                    <w:szCs w:val="20"/>
                  </w:rPr>
                </w:pPr>
                <w:r>
                  <w:rPr>
                    <w:rFonts w:ascii="MS Gothic" w:eastAsia="MS Gothic" w:hAnsi="MS Gothic" w:hint="eastAsia"/>
                    <w:b/>
                    <w:sz w:val="20"/>
                    <w:szCs w:val="20"/>
                  </w:rPr>
                  <w:t>☐</w:t>
                </w:r>
              </w:p>
            </w:tc>
          </w:sdtContent>
        </w:sdt>
        <w:tc>
          <w:tcPr>
            <w:tcW w:w="1313" w:type="dxa"/>
            <w:tcBorders>
              <w:top w:val="single" w:sz="4" w:space="0" w:color="auto"/>
              <w:left w:val="nil"/>
              <w:bottom w:val="dotted" w:sz="4" w:space="0" w:color="auto"/>
              <w:right w:val="single" w:sz="4" w:space="0" w:color="auto"/>
            </w:tcBorders>
          </w:tcPr>
          <w:p w14:paraId="6B3932F2"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32CCBD56" w14:textId="77777777" w:rsidTr="00627D66">
        <w:trPr>
          <w:trHeight w:val="1141"/>
        </w:trPr>
        <w:tc>
          <w:tcPr>
            <w:tcW w:w="3861" w:type="dxa"/>
            <w:tcBorders>
              <w:top w:val="nil"/>
              <w:left w:val="single" w:sz="4" w:space="0" w:color="auto"/>
              <w:bottom w:val="nil"/>
              <w:right w:val="single" w:sz="4" w:space="0" w:color="auto"/>
            </w:tcBorders>
            <w:shd w:val="clear" w:color="auto" w:fill="E2E2E2"/>
          </w:tcPr>
          <w:p w14:paraId="035D0C99" w14:textId="77777777" w:rsidR="001B4FEA" w:rsidRPr="001B4FEA" w:rsidRDefault="001B4FEA" w:rsidP="001B4FEA">
            <w:pPr>
              <w:ind w:right="141"/>
              <w:rPr>
                <w:b/>
                <w:sz w:val="20"/>
                <w:szCs w:val="20"/>
              </w:rPr>
            </w:pPr>
            <w:r w:rsidRPr="001B4FEA">
              <w:rPr>
                <w:b/>
                <w:sz w:val="20"/>
                <w:szCs w:val="20"/>
              </w:rPr>
              <w:t xml:space="preserve">    z toho rozpočtovo zabezpečené vplyvy,         </w:t>
            </w:r>
          </w:p>
          <w:p w14:paraId="23B90155" w14:textId="77777777" w:rsidR="001B4FEA" w:rsidRPr="001B4FEA" w:rsidRDefault="001B4FEA" w:rsidP="001B4FEA">
            <w:pPr>
              <w:ind w:right="141"/>
              <w:rPr>
                <w:b/>
                <w:sz w:val="20"/>
                <w:szCs w:val="20"/>
              </w:rPr>
            </w:pPr>
            <w:r w:rsidRPr="001B4FEA">
              <w:rPr>
                <w:b/>
                <w:sz w:val="20"/>
                <w:szCs w:val="20"/>
              </w:rPr>
              <w:t xml:space="preserve">    v prípade identifikovaného negatívneho </w:t>
            </w:r>
          </w:p>
          <w:p w14:paraId="0B74D2C1" w14:textId="77777777" w:rsidR="001B4FEA" w:rsidRPr="001B4FEA" w:rsidRDefault="001B4FEA" w:rsidP="001B4FEA">
            <w:pPr>
              <w:ind w:right="141"/>
              <w:rPr>
                <w:b/>
                <w:sz w:val="20"/>
                <w:szCs w:val="20"/>
              </w:rPr>
            </w:pPr>
            <w:r w:rsidRPr="001B4FEA">
              <w:rPr>
                <w:b/>
                <w:sz w:val="20"/>
                <w:szCs w:val="20"/>
              </w:rPr>
              <w:t xml:space="preserve">    vplyvu</w:t>
            </w:r>
          </w:p>
        </w:tc>
        <w:sdt>
          <w:sdtPr>
            <w:rPr>
              <w:b/>
              <w:sz w:val="20"/>
              <w:szCs w:val="20"/>
            </w:rPr>
            <w:id w:val="-352879486"/>
            <w14:checkbox>
              <w14:checked w14:val="0"/>
              <w14:checkedState w14:val="2612" w14:font="MS Gothic"/>
              <w14:uncheckedState w14:val="2610" w14:font="MS Gothic"/>
            </w14:checkbox>
          </w:sdtPr>
          <w:sdtEndPr/>
          <w:sdtContent>
            <w:tc>
              <w:tcPr>
                <w:tcW w:w="548" w:type="dxa"/>
                <w:tcBorders>
                  <w:top w:val="dotted" w:sz="4" w:space="0" w:color="auto"/>
                  <w:left w:val="single" w:sz="4" w:space="0" w:color="auto"/>
                  <w:bottom w:val="dotted" w:sz="4" w:space="0" w:color="auto"/>
                  <w:right w:val="nil"/>
                </w:tcBorders>
                <w:vAlign w:val="center"/>
              </w:tcPr>
              <w:p w14:paraId="1BC5E46C"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dotted" w:sz="4" w:space="0" w:color="auto"/>
              <w:left w:val="nil"/>
              <w:bottom w:val="dotted" w:sz="4" w:space="0" w:color="auto"/>
              <w:right w:val="nil"/>
            </w:tcBorders>
            <w:vAlign w:val="center"/>
          </w:tcPr>
          <w:p w14:paraId="11D8C074" w14:textId="77777777" w:rsidR="001B4FEA" w:rsidRPr="001B4FEA" w:rsidRDefault="001B4FEA" w:rsidP="001B4FEA">
            <w:pPr>
              <w:ind w:right="141"/>
              <w:rPr>
                <w:b/>
                <w:sz w:val="20"/>
                <w:szCs w:val="20"/>
              </w:rPr>
            </w:pPr>
            <w:r w:rsidRPr="001B4FEA">
              <w:rPr>
                <w:b/>
                <w:sz w:val="20"/>
                <w:szCs w:val="20"/>
              </w:rPr>
              <w:t>Áno</w:t>
            </w:r>
          </w:p>
        </w:tc>
        <w:sdt>
          <w:sdtPr>
            <w:rPr>
              <w:b/>
              <w:sz w:val="20"/>
              <w:szCs w:val="20"/>
            </w:rPr>
            <w:id w:val="-685445096"/>
            <w14:checkbox>
              <w14:checked w14:val="0"/>
              <w14:checkedState w14:val="2612" w14:font="MS Gothic"/>
              <w14:uncheckedState w14:val="2610" w14:font="MS Gothic"/>
            </w14:checkbox>
          </w:sdtPr>
          <w:sdtEndPr/>
          <w:sdtContent>
            <w:tc>
              <w:tcPr>
                <w:tcW w:w="545" w:type="dxa"/>
                <w:gridSpan w:val="2"/>
                <w:tcBorders>
                  <w:top w:val="dotted" w:sz="4" w:space="0" w:color="auto"/>
                  <w:left w:val="nil"/>
                  <w:bottom w:val="dotted" w:sz="4" w:space="0" w:color="auto"/>
                  <w:right w:val="nil"/>
                </w:tcBorders>
                <w:vAlign w:val="center"/>
              </w:tcPr>
              <w:p w14:paraId="435BE4FA" w14:textId="77777777" w:rsidR="001B4FEA" w:rsidRPr="001B4FEA" w:rsidRDefault="009A10A2" w:rsidP="001B4FEA">
                <w:pPr>
                  <w:ind w:right="141"/>
                  <w:rPr>
                    <w:b/>
                    <w:sz w:val="20"/>
                    <w:szCs w:val="20"/>
                  </w:rPr>
                </w:pPr>
                <w:r>
                  <w:rPr>
                    <w:rFonts w:ascii="MS Gothic" w:eastAsia="MS Gothic" w:hAnsi="MS Gothic" w:hint="eastAsia"/>
                    <w:b/>
                    <w:sz w:val="20"/>
                    <w:szCs w:val="20"/>
                  </w:rPr>
                  <w:t>☐</w:t>
                </w:r>
              </w:p>
            </w:tc>
          </w:sdtContent>
        </w:sdt>
        <w:tc>
          <w:tcPr>
            <w:tcW w:w="1147" w:type="dxa"/>
            <w:tcBorders>
              <w:top w:val="dotted" w:sz="4" w:space="0" w:color="auto"/>
              <w:left w:val="nil"/>
              <w:bottom w:val="dotted" w:sz="4" w:space="0" w:color="auto"/>
              <w:right w:val="nil"/>
            </w:tcBorders>
            <w:vAlign w:val="center"/>
          </w:tcPr>
          <w:p w14:paraId="376C258F" w14:textId="77777777" w:rsidR="001B4FEA" w:rsidRPr="001B4FEA" w:rsidRDefault="001B4FEA" w:rsidP="001B4FEA">
            <w:pPr>
              <w:ind w:right="141"/>
              <w:rPr>
                <w:b/>
                <w:sz w:val="20"/>
                <w:szCs w:val="20"/>
              </w:rPr>
            </w:pPr>
            <w:r w:rsidRPr="001B4FEA">
              <w:rPr>
                <w:b/>
                <w:sz w:val="20"/>
                <w:szCs w:val="20"/>
              </w:rPr>
              <w:t>Nie</w:t>
            </w:r>
          </w:p>
        </w:tc>
        <w:sdt>
          <w:sdtPr>
            <w:rPr>
              <w:b/>
              <w:sz w:val="20"/>
              <w:szCs w:val="20"/>
            </w:rPr>
            <w:id w:val="780154475"/>
            <w14:checkbox>
              <w14:checked w14:val="0"/>
              <w14:checkedState w14:val="2612" w14:font="MS Gothic"/>
              <w14:uncheckedState w14:val="2610" w14:font="MS Gothic"/>
            </w14:checkbox>
          </w:sdtPr>
          <w:sdtEndPr/>
          <w:sdtContent>
            <w:tc>
              <w:tcPr>
                <w:tcW w:w="554" w:type="dxa"/>
                <w:tcBorders>
                  <w:top w:val="dotted" w:sz="4" w:space="0" w:color="auto"/>
                  <w:left w:val="nil"/>
                  <w:bottom w:val="dotted" w:sz="4" w:space="0" w:color="auto"/>
                  <w:right w:val="nil"/>
                </w:tcBorders>
                <w:vAlign w:val="center"/>
              </w:tcPr>
              <w:p w14:paraId="4AE9B784"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dotted" w:sz="4" w:space="0" w:color="auto"/>
              <w:right w:val="single" w:sz="4" w:space="0" w:color="auto"/>
            </w:tcBorders>
            <w:vAlign w:val="center"/>
          </w:tcPr>
          <w:p w14:paraId="03321142" w14:textId="77777777" w:rsidR="001B4FEA" w:rsidRPr="001B4FEA" w:rsidRDefault="001B4FEA" w:rsidP="001B4FEA">
            <w:pPr>
              <w:ind w:right="141"/>
              <w:rPr>
                <w:b/>
                <w:sz w:val="20"/>
                <w:szCs w:val="20"/>
              </w:rPr>
            </w:pPr>
            <w:r w:rsidRPr="001B4FEA">
              <w:rPr>
                <w:b/>
                <w:sz w:val="20"/>
                <w:szCs w:val="20"/>
              </w:rPr>
              <w:t>Čiastočne</w:t>
            </w:r>
          </w:p>
        </w:tc>
      </w:tr>
      <w:tr w:rsidR="001B4FEA" w:rsidRPr="001B4FEA" w14:paraId="44FE06CD" w14:textId="77777777" w:rsidTr="00627D66">
        <w:trPr>
          <w:trHeight w:val="450"/>
        </w:trPr>
        <w:tc>
          <w:tcPr>
            <w:tcW w:w="3861" w:type="dxa"/>
            <w:tcBorders>
              <w:top w:val="nil"/>
              <w:left w:val="single" w:sz="4" w:space="0" w:color="auto"/>
              <w:bottom w:val="nil"/>
              <w:right w:val="single" w:sz="4" w:space="0" w:color="auto"/>
            </w:tcBorders>
            <w:shd w:val="clear" w:color="auto" w:fill="E2E2E2"/>
          </w:tcPr>
          <w:p w14:paraId="73885419" w14:textId="77777777" w:rsidR="001B4FEA" w:rsidRPr="001B4FEA" w:rsidRDefault="001B4FEA" w:rsidP="001B4FEA">
            <w:pPr>
              <w:ind w:right="141"/>
              <w:rPr>
                <w:b/>
                <w:sz w:val="20"/>
                <w:szCs w:val="20"/>
              </w:rPr>
            </w:pPr>
            <w:r w:rsidRPr="001B4FEA">
              <w:rPr>
                <w:b/>
                <w:sz w:val="20"/>
                <w:szCs w:val="20"/>
              </w:rPr>
              <w:t>v tom vplyvy na rozpočty obcí a vyšších územných celkov</w:t>
            </w:r>
          </w:p>
        </w:tc>
        <w:sdt>
          <w:sdtPr>
            <w:rPr>
              <w:b/>
              <w:sz w:val="20"/>
              <w:szCs w:val="20"/>
            </w:rPr>
            <w:id w:val="-281348294"/>
            <w14:checkbox>
              <w14:checked w14:val="0"/>
              <w14:checkedState w14:val="2612" w14:font="MS Gothic"/>
              <w14:uncheckedState w14:val="2610" w14:font="MS Gothic"/>
            </w14:checkbox>
          </w:sdtPr>
          <w:sdtEndPr/>
          <w:sdtContent>
            <w:tc>
              <w:tcPr>
                <w:tcW w:w="548" w:type="dxa"/>
                <w:tcBorders>
                  <w:top w:val="dotted" w:sz="4" w:space="0" w:color="auto"/>
                  <w:left w:val="single" w:sz="4" w:space="0" w:color="auto"/>
                  <w:bottom w:val="dotted" w:sz="4" w:space="0" w:color="auto"/>
                  <w:right w:val="nil"/>
                </w:tcBorders>
              </w:tcPr>
              <w:p w14:paraId="500F3B57"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dotted" w:sz="4" w:space="0" w:color="auto"/>
              <w:left w:val="nil"/>
              <w:bottom w:val="dotted" w:sz="4" w:space="0" w:color="auto"/>
              <w:right w:val="nil"/>
            </w:tcBorders>
          </w:tcPr>
          <w:p w14:paraId="736466F9"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832376175"/>
            <w14:checkbox>
              <w14:checked w14:val="1"/>
              <w14:checkedState w14:val="2612" w14:font="MS Gothic"/>
              <w14:uncheckedState w14:val="2610" w14:font="MS Gothic"/>
            </w14:checkbox>
          </w:sdtPr>
          <w:sdtEndPr/>
          <w:sdtContent>
            <w:tc>
              <w:tcPr>
                <w:tcW w:w="545" w:type="dxa"/>
                <w:gridSpan w:val="2"/>
                <w:tcBorders>
                  <w:top w:val="dotted" w:sz="4" w:space="0" w:color="auto"/>
                  <w:left w:val="nil"/>
                  <w:bottom w:val="dotted" w:sz="4" w:space="0" w:color="auto"/>
                  <w:right w:val="nil"/>
                </w:tcBorders>
              </w:tcPr>
              <w:p w14:paraId="6DCF4DA6"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dotted" w:sz="4" w:space="0" w:color="auto"/>
              <w:left w:val="nil"/>
              <w:bottom w:val="dotted" w:sz="4" w:space="0" w:color="auto"/>
              <w:right w:val="nil"/>
            </w:tcBorders>
          </w:tcPr>
          <w:p w14:paraId="44E2C86C"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304129009"/>
            <w14:checkbox>
              <w14:checked w14:val="0"/>
              <w14:checkedState w14:val="2612" w14:font="MS Gothic"/>
              <w14:uncheckedState w14:val="2610" w14:font="MS Gothic"/>
            </w14:checkbox>
          </w:sdtPr>
          <w:sdtEndPr/>
          <w:sdtContent>
            <w:tc>
              <w:tcPr>
                <w:tcW w:w="554" w:type="dxa"/>
                <w:tcBorders>
                  <w:top w:val="dotted" w:sz="4" w:space="0" w:color="auto"/>
                  <w:left w:val="nil"/>
                  <w:bottom w:val="dotted" w:sz="4" w:space="0" w:color="auto"/>
                  <w:right w:val="nil"/>
                </w:tcBorders>
              </w:tcPr>
              <w:p w14:paraId="4B2FBF76"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dotted" w:sz="4" w:space="0" w:color="auto"/>
              <w:right w:val="single" w:sz="4" w:space="0" w:color="auto"/>
            </w:tcBorders>
          </w:tcPr>
          <w:p w14:paraId="01D0DEBF"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4AEE509C" w14:textId="77777777" w:rsidTr="00627D66">
        <w:trPr>
          <w:trHeight w:val="690"/>
        </w:trPr>
        <w:tc>
          <w:tcPr>
            <w:tcW w:w="3861" w:type="dxa"/>
            <w:tcBorders>
              <w:top w:val="nil"/>
              <w:left w:val="single" w:sz="4" w:space="0" w:color="auto"/>
              <w:bottom w:val="single" w:sz="4" w:space="0" w:color="auto"/>
              <w:right w:val="single" w:sz="4" w:space="0" w:color="auto"/>
            </w:tcBorders>
            <w:shd w:val="clear" w:color="auto" w:fill="E2E2E2"/>
          </w:tcPr>
          <w:p w14:paraId="6057AFE7" w14:textId="77777777" w:rsidR="001B4FEA" w:rsidRPr="001B4FEA" w:rsidRDefault="001B4FEA" w:rsidP="001B4FEA">
            <w:pPr>
              <w:ind w:right="141"/>
              <w:rPr>
                <w:b/>
                <w:sz w:val="20"/>
                <w:szCs w:val="20"/>
              </w:rPr>
            </w:pPr>
            <w:r w:rsidRPr="001B4FEA">
              <w:rPr>
                <w:b/>
                <w:sz w:val="20"/>
                <w:szCs w:val="20"/>
              </w:rPr>
              <w:t>z toho rozpočtovo zabezpečené vplyvy,</w:t>
            </w:r>
          </w:p>
          <w:p w14:paraId="1F042210" w14:textId="77777777" w:rsidR="001B4FEA" w:rsidRPr="001B4FEA" w:rsidRDefault="001B4FEA" w:rsidP="001B4FEA">
            <w:pPr>
              <w:ind w:right="141"/>
              <w:rPr>
                <w:b/>
                <w:sz w:val="20"/>
                <w:szCs w:val="20"/>
              </w:rPr>
            </w:pPr>
            <w:r w:rsidRPr="001B4FEA">
              <w:rPr>
                <w:b/>
                <w:sz w:val="20"/>
                <w:szCs w:val="20"/>
              </w:rPr>
              <w:t>v prípade identifikovaného negatívneho vplyvu</w:t>
            </w:r>
          </w:p>
        </w:tc>
        <w:sdt>
          <w:sdtPr>
            <w:rPr>
              <w:b/>
              <w:sz w:val="20"/>
              <w:szCs w:val="20"/>
            </w:rPr>
            <w:id w:val="-1158837783"/>
            <w14:checkbox>
              <w14:checked w14:val="0"/>
              <w14:checkedState w14:val="2612" w14:font="MS Gothic"/>
              <w14:uncheckedState w14:val="2610" w14:font="MS Gothic"/>
            </w14:checkbox>
          </w:sdtPr>
          <w:sdtEndPr/>
          <w:sdtContent>
            <w:tc>
              <w:tcPr>
                <w:tcW w:w="548" w:type="dxa"/>
                <w:tcBorders>
                  <w:top w:val="dotted" w:sz="4" w:space="0" w:color="auto"/>
                  <w:left w:val="single" w:sz="4" w:space="0" w:color="auto"/>
                  <w:bottom w:val="single" w:sz="4" w:space="0" w:color="auto"/>
                  <w:right w:val="nil"/>
                </w:tcBorders>
                <w:vAlign w:val="center"/>
              </w:tcPr>
              <w:p w14:paraId="7C9B7DED"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dotted" w:sz="4" w:space="0" w:color="auto"/>
              <w:left w:val="nil"/>
              <w:bottom w:val="single" w:sz="4" w:space="0" w:color="auto"/>
              <w:right w:val="nil"/>
            </w:tcBorders>
            <w:vAlign w:val="center"/>
          </w:tcPr>
          <w:p w14:paraId="743ADD30" w14:textId="77777777" w:rsidR="001B4FEA" w:rsidRPr="001B4FEA" w:rsidRDefault="001B4FEA" w:rsidP="001B4FEA">
            <w:pPr>
              <w:ind w:right="141"/>
              <w:rPr>
                <w:b/>
                <w:sz w:val="20"/>
                <w:szCs w:val="20"/>
              </w:rPr>
            </w:pPr>
            <w:r w:rsidRPr="001B4FEA">
              <w:rPr>
                <w:b/>
                <w:sz w:val="20"/>
                <w:szCs w:val="20"/>
              </w:rPr>
              <w:t>Áno</w:t>
            </w:r>
          </w:p>
        </w:tc>
        <w:sdt>
          <w:sdtPr>
            <w:rPr>
              <w:b/>
              <w:sz w:val="20"/>
              <w:szCs w:val="20"/>
            </w:rPr>
            <w:id w:val="106016092"/>
            <w14:checkbox>
              <w14:checked w14:val="0"/>
              <w14:checkedState w14:val="2612" w14:font="MS Gothic"/>
              <w14:uncheckedState w14:val="2610" w14:font="MS Gothic"/>
            </w14:checkbox>
          </w:sdtPr>
          <w:sdtEndPr/>
          <w:sdtContent>
            <w:tc>
              <w:tcPr>
                <w:tcW w:w="545" w:type="dxa"/>
                <w:gridSpan w:val="2"/>
                <w:tcBorders>
                  <w:top w:val="dotted" w:sz="4" w:space="0" w:color="auto"/>
                  <w:left w:val="nil"/>
                  <w:bottom w:val="single" w:sz="4" w:space="0" w:color="auto"/>
                  <w:right w:val="nil"/>
                </w:tcBorders>
                <w:vAlign w:val="center"/>
              </w:tcPr>
              <w:p w14:paraId="11447074"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dotted" w:sz="4" w:space="0" w:color="auto"/>
              <w:left w:val="nil"/>
              <w:bottom w:val="single" w:sz="4" w:space="0" w:color="auto"/>
              <w:right w:val="nil"/>
            </w:tcBorders>
            <w:vAlign w:val="center"/>
          </w:tcPr>
          <w:p w14:paraId="099AC8EB" w14:textId="77777777" w:rsidR="001B4FEA" w:rsidRPr="001B4FEA" w:rsidRDefault="001B4FEA" w:rsidP="001B4FEA">
            <w:pPr>
              <w:ind w:right="141"/>
              <w:rPr>
                <w:b/>
                <w:sz w:val="20"/>
                <w:szCs w:val="20"/>
              </w:rPr>
            </w:pPr>
            <w:r w:rsidRPr="001B4FEA">
              <w:rPr>
                <w:b/>
                <w:sz w:val="20"/>
                <w:szCs w:val="20"/>
              </w:rPr>
              <w:t>Nie</w:t>
            </w:r>
          </w:p>
        </w:tc>
        <w:sdt>
          <w:sdtPr>
            <w:rPr>
              <w:b/>
              <w:sz w:val="20"/>
              <w:szCs w:val="20"/>
            </w:rPr>
            <w:id w:val="-67271837"/>
            <w14:checkbox>
              <w14:checked w14:val="0"/>
              <w14:checkedState w14:val="2612" w14:font="MS Gothic"/>
              <w14:uncheckedState w14:val="2610" w14:font="MS Gothic"/>
            </w14:checkbox>
          </w:sdtPr>
          <w:sdtEndPr/>
          <w:sdtContent>
            <w:tc>
              <w:tcPr>
                <w:tcW w:w="554" w:type="dxa"/>
                <w:tcBorders>
                  <w:top w:val="dotted" w:sz="4" w:space="0" w:color="auto"/>
                  <w:left w:val="nil"/>
                  <w:bottom w:val="single" w:sz="4" w:space="0" w:color="auto"/>
                  <w:right w:val="nil"/>
                </w:tcBorders>
                <w:vAlign w:val="center"/>
              </w:tcPr>
              <w:p w14:paraId="121A8A62"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single" w:sz="4" w:space="0" w:color="auto"/>
              <w:right w:val="single" w:sz="4" w:space="0" w:color="auto"/>
            </w:tcBorders>
            <w:vAlign w:val="center"/>
          </w:tcPr>
          <w:p w14:paraId="1F3B8F1F" w14:textId="77777777" w:rsidR="001B4FEA" w:rsidRPr="001B4FEA" w:rsidRDefault="001B4FEA" w:rsidP="001B4FEA">
            <w:pPr>
              <w:ind w:right="141"/>
              <w:rPr>
                <w:b/>
                <w:sz w:val="20"/>
                <w:szCs w:val="20"/>
              </w:rPr>
            </w:pPr>
            <w:r w:rsidRPr="001B4FEA">
              <w:rPr>
                <w:b/>
                <w:sz w:val="20"/>
                <w:szCs w:val="20"/>
              </w:rPr>
              <w:t>Čiastočne</w:t>
            </w:r>
          </w:p>
        </w:tc>
      </w:tr>
      <w:tr w:rsidR="001B4FEA" w:rsidRPr="001B4FEA" w14:paraId="051B3726" w14:textId="77777777" w:rsidTr="00627D66">
        <w:trPr>
          <w:trHeight w:val="675"/>
        </w:trPr>
        <w:tc>
          <w:tcPr>
            <w:tcW w:w="3861" w:type="dxa"/>
            <w:tcBorders>
              <w:top w:val="single" w:sz="4" w:space="0" w:color="auto"/>
              <w:left w:val="single" w:sz="4" w:space="0" w:color="auto"/>
              <w:bottom w:val="single" w:sz="4" w:space="0" w:color="auto"/>
              <w:right w:val="single" w:sz="4" w:space="0" w:color="auto"/>
            </w:tcBorders>
            <w:shd w:val="clear" w:color="auto" w:fill="E2E2E2"/>
          </w:tcPr>
          <w:p w14:paraId="33973AED" w14:textId="77777777" w:rsidR="001B4FEA" w:rsidRPr="001B4FEA" w:rsidRDefault="001B4FEA" w:rsidP="001B4FEA">
            <w:pPr>
              <w:ind w:right="141"/>
              <w:rPr>
                <w:b/>
                <w:sz w:val="20"/>
                <w:szCs w:val="20"/>
              </w:rPr>
            </w:pPr>
            <w:r w:rsidRPr="001B4FEA">
              <w:rPr>
                <w:b/>
                <w:sz w:val="20"/>
                <w:szCs w:val="20"/>
              </w:rPr>
              <w:t>Vplyv na dlhodobú udržateľnosť verejných financií v prípade vybraných opatrení ***</w:t>
            </w:r>
          </w:p>
        </w:tc>
        <w:sdt>
          <w:sdtPr>
            <w:rPr>
              <w:b/>
              <w:sz w:val="20"/>
              <w:szCs w:val="20"/>
            </w:rPr>
            <w:id w:val="-923644616"/>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vAlign w:val="center"/>
              </w:tcPr>
              <w:p w14:paraId="4BBC7029"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vAlign w:val="center"/>
          </w:tcPr>
          <w:p w14:paraId="1727BB79" w14:textId="77777777" w:rsidR="001B4FEA" w:rsidRPr="001B4FEA" w:rsidRDefault="001B4FEA" w:rsidP="001B4FEA">
            <w:pPr>
              <w:ind w:right="141"/>
              <w:rPr>
                <w:b/>
                <w:sz w:val="20"/>
                <w:szCs w:val="20"/>
              </w:rPr>
            </w:pPr>
            <w:r w:rsidRPr="001B4FEA">
              <w:rPr>
                <w:b/>
                <w:sz w:val="20"/>
                <w:szCs w:val="20"/>
              </w:rPr>
              <w:t>Áno</w:t>
            </w:r>
          </w:p>
        </w:tc>
        <w:tc>
          <w:tcPr>
            <w:tcW w:w="545" w:type="dxa"/>
            <w:gridSpan w:val="2"/>
            <w:tcBorders>
              <w:top w:val="single" w:sz="4" w:space="0" w:color="auto"/>
              <w:left w:val="nil"/>
              <w:bottom w:val="single" w:sz="4" w:space="0" w:color="auto"/>
              <w:right w:val="nil"/>
            </w:tcBorders>
            <w:vAlign w:val="center"/>
          </w:tcPr>
          <w:p w14:paraId="6A4FDDFB" w14:textId="77777777" w:rsidR="001B4FEA" w:rsidRPr="001B4FEA" w:rsidRDefault="001B4FEA" w:rsidP="001B4FEA">
            <w:pPr>
              <w:ind w:right="141"/>
              <w:rPr>
                <w:b/>
                <w:sz w:val="20"/>
                <w:szCs w:val="20"/>
              </w:rPr>
            </w:pPr>
          </w:p>
        </w:tc>
        <w:tc>
          <w:tcPr>
            <w:tcW w:w="1147" w:type="dxa"/>
            <w:tcBorders>
              <w:top w:val="single" w:sz="4" w:space="0" w:color="auto"/>
              <w:left w:val="nil"/>
              <w:bottom w:val="single" w:sz="4" w:space="0" w:color="auto"/>
              <w:right w:val="nil"/>
            </w:tcBorders>
            <w:vAlign w:val="center"/>
          </w:tcPr>
          <w:p w14:paraId="1503DBE6" w14:textId="77777777" w:rsidR="001B4FEA" w:rsidRPr="001B4FEA" w:rsidRDefault="001B4FEA" w:rsidP="001B4FEA">
            <w:pPr>
              <w:ind w:right="141"/>
              <w:rPr>
                <w:b/>
                <w:sz w:val="20"/>
                <w:szCs w:val="20"/>
              </w:rPr>
            </w:pPr>
          </w:p>
        </w:tc>
        <w:sdt>
          <w:sdtPr>
            <w:rPr>
              <w:b/>
              <w:sz w:val="20"/>
              <w:szCs w:val="20"/>
            </w:rPr>
            <w:id w:val="-1624756508"/>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vAlign w:val="center"/>
              </w:tcPr>
              <w:p w14:paraId="5017C7B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vAlign w:val="center"/>
          </w:tcPr>
          <w:p w14:paraId="3B569EE9" w14:textId="77777777" w:rsidR="001B4FEA" w:rsidRPr="001B4FEA" w:rsidRDefault="001B4FEA" w:rsidP="001B4FEA">
            <w:pPr>
              <w:ind w:right="141"/>
              <w:rPr>
                <w:b/>
                <w:sz w:val="20"/>
                <w:szCs w:val="20"/>
              </w:rPr>
            </w:pPr>
            <w:r w:rsidRPr="001B4FEA">
              <w:rPr>
                <w:b/>
                <w:sz w:val="20"/>
                <w:szCs w:val="20"/>
              </w:rPr>
              <w:t>Nie</w:t>
            </w:r>
          </w:p>
        </w:tc>
      </w:tr>
      <w:tr w:rsidR="001B4FEA" w:rsidRPr="001B4FEA" w14:paraId="670A5716" w14:textId="77777777" w:rsidTr="00627D66">
        <w:trPr>
          <w:trHeight w:val="270"/>
        </w:trPr>
        <w:tc>
          <w:tcPr>
            <w:tcW w:w="3861" w:type="dxa"/>
            <w:tcBorders>
              <w:top w:val="single" w:sz="4" w:space="0" w:color="auto"/>
              <w:left w:val="single" w:sz="4" w:space="0" w:color="auto"/>
              <w:bottom w:val="single" w:sz="4" w:space="0" w:color="auto"/>
              <w:right w:val="single" w:sz="4" w:space="0" w:color="auto"/>
            </w:tcBorders>
            <w:shd w:val="clear" w:color="auto" w:fill="E2E2E2"/>
          </w:tcPr>
          <w:p w14:paraId="001F72DE" w14:textId="77777777" w:rsidR="001B4FEA" w:rsidRPr="001B4FEA" w:rsidRDefault="001B4FEA" w:rsidP="001B4FEA">
            <w:pPr>
              <w:ind w:right="141"/>
              <w:rPr>
                <w:b/>
                <w:sz w:val="20"/>
                <w:szCs w:val="20"/>
              </w:rPr>
            </w:pPr>
            <w:r w:rsidRPr="001B4FEA">
              <w:rPr>
                <w:b/>
                <w:sz w:val="20"/>
                <w:szCs w:val="20"/>
              </w:rPr>
              <w:t>Vplyvy na limit verejných výdavkov</w:t>
            </w:r>
          </w:p>
        </w:tc>
        <w:sdt>
          <w:sdtPr>
            <w:rPr>
              <w:b/>
              <w:sz w:val="20"/>
              <w:szCs w:val="20"/>
            </w:rPr>
            <w:id w:val="838818178"/>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vAlign w:val="center"/>
              </w:tcPr>
              <w:p w14:paraId="51865BC1"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vAlign w:val="center"/>
          </w:tcPr>
          <w:p w14:paraId="2A7AE24B"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347448756"/>
            <w14:checkbox>
              <w14:checked w14:val="1"/>
              <w14:checkedState w14:val="2612" w14:font="MS Gothic"/>
              <w14:uncheckedState w14:val="2610" w14:font="MS Gothic"/>
            </w14:checkbox>
          </w:sdtPr>
          <w:sdtEndPr/>
          <w:sdtContent>
            <w:tc>
              <w:tcPr>
                <w:tcW w:w="545" w:type="dxa"/>
                <w:gridSpan w:val="2"/>
                <w:tcBorders>
                  <w:top w:val="single" w:sz="4" w:space="0" w:color="auto"/>
                  <w:left w:val="nil"/>
                  <w:bottom w:val="single" w:sz="4" w:space="0" w:color="auto"/>
                  <w:right w:val="nil"/>
                </w:tcBorders>
                <w:vAlign w:val="center"/>
              </w:tcPr>
              <w:p w14:paraId="47481DA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single" w:sz="4" w:space="0" w:color="auto"/>
              <w:right w:val="nil"/>
            </w:tcBorders>
            <w:vAlign w:val="center"/>
          </w:tcPr>
          <w:p w14:paraId="34A76C29"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760181558"/>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vAlign w:val="center"/>
              </w:tcPr>
              <w:p w14:paraId="15ED3378"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vAlign w:val="center"/>
          </w:tcPr>
          <w:p w14:paraId="47DC3C83"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72DC1C59" w14:textId="77777777" w:rsidTr="00627D66">
        <w:trPr>
          <w:trHeight w:val="255"/>
        </w:trPr>
        <w:tc>
          <w:tcPr>
            <w:tcW w:w="3861" w:type="dxa"/>
            <w:tcBorders>
              <w:top w:val="single" w:sz="4" w:space="0" w:color="auto"/>
              <w:left w:val="single" w:sz="4" w:space="0" w:color="auto"/>
              <w:bottom w:val="nil"/>
              <w:right w:val="single" w:sz="4" w:space="0" w:color="auto"/>
            </w:tcBorders>
            <w:shd w:val="clear" w:color="auto" w:fill="E2E2E2"/>
          </w:tcPr>
          <w:p w14:paraId="12BBDD9B" w14:textId="77777777" w:rsidR="001B4FEA" w:rsidRPr="001B4FEA" w:rsidRDefault="001B4FEA" w:rsidP="001B4FEA">
            <w:pPr>
              <w:ind w:right="141"/>
              <w:rPr>
                <w:b/>
                <w:sz w:val="20"/>
                <w:szCs w:val="20"/>
              </w:rPr>
            </w:pPr>
            <w:r w:rsidRPr="001B4FEA">
              <w:rPr>
                <w:b/>
                <w:sz w:val="20"/>
                <w:szCs w:val="20"/>
              </w:rPr>
              <w:t>Vplyvy na podnikateľské prostredie</w:t>
            </w:r>
          </w:p>
        </w:tc>
        <w:sdt>
          <w:sdtPr>
            <w:rPr>
              <w:b/>
              <w:sz w:val="20"/>
              <w:szCs w:val="20"/>
            </w:rPr>
            <w:id w:val="-1985614901"/>
            <w14:checkbox>
              <w14:checked w14:val="1"/>
              <w14:checkedState w14:val="2612" w14:font="MS Gothic"/>
              <w14:uncheckedState w14:val="2610" w14:font="MS Gothic"/>
            </w14:checkbox>
          </w:sdtPr>
          <w:sdtEndPr/>
          <w:sdtContent>
            <w:tc>
              <w:tcPr>
                <w:tcW w:w="548" w:type="dxa"/>
                <w:tcBorders>
                  <w:top w:val="single" w:sz="4" w:space="0" w:color="auto"/>
                  <w:left w:val="single" w:sz="4" w:space="0" w:color="auto"/>
                  <w:bottom w:val="dotted" w:sz="4" w:space="0" w:color="auto"/>
                  <w:right w:val="nil"/>
                </w:tcBorders>
                <w:vAlign w:val="center"/>
              </w:tcPr>
              <w:p w14:paraId="4C314B64"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dotted" w:sz="4" w:space="0" w:color="auto"/>
              <w:right w:val="nil"/>
            </w:tcBorders>
            <w:vAlign w:val="center"/>
          </w:tcPr>
          <w:p w14:paraId="1A260B21"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182388554"/>
            <w14:checkbox>
              <w14:checked w14:val="0"/>
              <w14:checkedState w14:val="2612" w14:font="MS Gothic"/>
              <w14:uncheckedState w14:val="2610" w14:font="MS Gothic"/>
            </w14:checkbox>
          </w:sdtPr>
          <w:sdtEndPr/>
          <w:sdtContent>
            <w:tc>
              <w:tcPr>
                <w:tcW w:w="545" w:type="dxa"/>
                <w:gridSpan w:val="2"/>
                <w:tcBorders>
                  <w:top w:val="single" w:sz="4" w:space="0" w:color="auto"/>
                  <w:left w:val="nil"/>
                  <w:bottom w:val="dotted" w:sz="4" w:space="0" w:color="auto"/>
                  <w:right w:val="nil"/>
                </w:tcBorders>
                <w:vAlign w:val="center"/>
              </w:tcPr>
              <w:p w14:paraId="4085B59F"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dotted" w:sz="4" w:space="0" w:color="auto"/>
              <w:right w:val="nil"/>
            </w:tcBorders>
            <w:vAlign w:val="center"/>
          </w:tcPr>
          <w:p w14:paraId="64957D49"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989902031"/>
            <w14:checkbox>
              <w14:checked w14:val="1"/>
              <w14:checkedState w14:val="2612" w14:font="MS Gothic"/>
              <w14:uncheckedState w14:val="2610" w14:font="MS Gothic"/>
            </w14:checkbox>
          </w:sdtPr>
          <w:sdtEndPr/>
          <w:sdtContent>
            <w:tc>
              <w:tcPr>
                <w:tcW w:w="554" w:type="dxa"/>
                <w:tcBorders>
                  <w:top w:val="single" w:sz="4" w:space="0" w:color="auto"/>
                  <w:left w:val="nil"/>
                  <w:bottom w:val="dotted" w:sz="4" w:space="0" w:color="auto"/>
                  <w:right w:val="nil"/>
                </w:tcBorders>
                <w:vAlign w:val="center"/>
              </w:tcPr>
              <w:p w14:paraId="55F44245"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dotted" w:sz="4" w:space="0" w:color="auto"/>
              <w:right w:val="single" w:sz="4" w:space="0" w:color="auto"/>
            </w:tcBorders>
            <w:vAlign w:val="center"/>
          </w:tcPr>
          <w:p w14:paraId="169F285C"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2F283660" w14:textId="77777777" w:rsidTr="00627D66">
        <w:trPr>
          <w:trHeight w:val="450"/>
        </w:trPr>
        <w:tc>
          <w:tcPr>
            <w:tcW w:w="3861" w:type="dxa"/>
            <w:tcBorders>
              <w:top w:val="nil"/>
              <w:left w:val="single" w:sz="4" w:space="0" w:color="000000"/>
              <w:bottom w:val="nil"/>
              <w:right w:val="single" w:sz="4" w:space="0" w:color="000000"/>
            </w:tcBorders>
            <w:shd w:val="clear" w:color="auto" w:fill="E2E2E2"/>
          </w:tcPr>
          <w:p w14:paraId="013874C0" w14:textId="77777777" w:rsidR="001B4FEA" w:rsidRPr="001B4FEA" w:rsidRDefault="001B4FEA" w:rsidP="001B4FEA">
            <w:pPr>
              <w:ind w:right="141"/>
              <w:rPr>
                <w:b/>
                <w:sz w:val="20"/>
                <w:szCs w:val="20"/>
              </w:rPr>
            </w:pPr>
            <w:r w:rsidRPr="001B4FEA">
              <w:rPr>
                <w:b/>
                <w:sz w:val="20"/>
                <w:szCs w:val="20"/>
              </w:rPr>
              <w:t xml:space="preserve">    z toho vplyvy na MSP</w:t>
            </w:r>
          </w:p>
          <w:p w14:paraId="6DE3AB4F" w14:textId="77777777" w:rsidR="001B4FEA" w:rsidRPr="001B4FEA" w:rsidRDefault="001B4FEA" w:rsidP="001B4FEA">
            <w:pPr>
              <w:ind w:right="141"/>
              <w:rPr>
                <w:b/>
                <w:sz w:val="20"/>
                <w:szCs w:val="20"/>
              </w:rPr>
            </w:pPr>
          </w:p>
        </w:tc>
        <w:sdt>
          <w:sdtPr>
            <w:rPr>
              <w:b/>
              <w:sz w:val="20"/>
              <w:szCs w:val="20"/>
            </w:rPr>
            <w:id w:val="393094636"/>
            <w14:checkbox>
              <w14:checked w14:val="1"/>
              <w14:checkedState w14:val="2612" w14:font="MS Gothic"/>
              <w14:uncheckedState w14:val="2610" w14:font="MS Gothic"/>
            </w14:checkbox>
          </w:sdtPr>
          <w:sdtEndPr/>
          <w:sdtContent>
            <w:tc>
              <w:tcPr>
                <w:tcW w:w="548" w:type="dxa"/>
                <w:tcBorders>
                  <w:top w:val="dotted" w:sz="4" w:space="0" w:color="auto"/>
                  <w:left w:val="single" w:sz="4" w:space="0" w:color="000000"/>
                  <w:bottom w:val="dotted" w:sz="4" w:space="0" w:color="auto"/>
                  <w:right w:val="nil"/>
                </w:tcBorders>
                <w:vAlign w:val="center"/>
              </w:tcPr>
              <w:p w14:paraId="522FF36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dotted" w:sz="4" w:space="0" w:color="auto"/>
              <w:left w:val="nil"/>
              <w:bottom w:val="dotted" w:sz="4" w:space="0" w:color="auto"/>
              <w:right w:val="nil"/>
            </w:tcBorders>
            <w:vAlign w:val="center"/>
          </w:tcPr>
          <w:p w14:paraId="149AA066"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785013717"/>
            <w14:checkbox>
              <w14:checked w14:val="0"/>
              <w14:checkedState w14:val="2612" w14:font="MS Gothic"/>
              <w14:uncheckedState w14:val="2610" w14:font="MS Gothic"/>
            </w14:checkbox>
          </w:sdtPr>
          <w:sdtEndPr/>
          <w:sdtContent>
            <w:tc>
              <w:tcPr>
                <w:tcW w:w="545" w:type="dxa"/>
                <w:gridSpan w:val="2"/>
                <w:tcBorders>
                  <w:top w:val="dotted" w:sz="4" w:space="0" w:color="auto"/>
                  <w:left w:val="nil"/>
                  <w:bottom w:val="dotted" w:sz="4" w:space="0" w:color="auto"/>
                  <w:right w:val="nil"/>
                </w:tcBorders>
                <w:vAlign w:val="center"/>
              </w:tcPr>
              <w:p w14:paraId="0B082FF1"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dotted" w:sz="4" w:space="0" w:color="auto"/>
              <w:left w:val="nil"/>
              <w:bottom w:val="dotted" w:sz="4" w:space="0" w:color="auto"/>
              <w:right w:val="nil"/>
            </w:tcBorders>
            <w:vAlign w:val="center"/>
          </w:tcPr>
          <w:p w14:paraId="5423DD95"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058437714"/>
            <w14:checkbox>
              <w14:checked w14:val="0"/>
              <w14:checkedState w14:val="2612" w14:font="MS Gothic"/>
              <w14:uncheckedState w14:val="2610" w14:font="MS Gothic"/>
            </w14:checkbox>
          </w:sdtPr>
          <w:sdtEndPr/>
          <w:sdtContent>
            <w:tc>
              <w:tcPr>
                <w:tcW w:w="554" w:type="dxa"/>
                <w:tcBorders>
                  <w:top w:val="dotted" w:sz="4" w:space="0" w:color="auto"/>
                  <w:left w:val="nil"/>
                  <w:bottom w:val="dotted" w:sz="4" w:space="0" w:color="auto"/>
                  <w:right w:val="nil"/>
                </w:tcBorders>
                <w:vAlign w:val="center"/>
              </w:tcPr>
              <w:p w14:paraId="7EF87D55"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dotted" w:sz="4" w:space="0" w:color="auto"/>
              <w:right w:val="single" w:sz="4" w:space="0" w:color="auto"/>
            </w:tcBorders>
            <w:vAlign w:val="center"/>
          </w:tcPr>
          <w:p w14:paraId="1DED2EC6"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44A5F9B6" w14:textId="77777777" w:rsidTr="00627D66">
        <w:trPr>
          <w:trHeight w:val="465"/>
        </w:trPr>
        <w:tc>
          <w:tcPr>
            <w:tcW w:w="3861" w:type="dxa"/>
            <w:tcBorders>
              <w:top w:val="nil"/>
              <w:left w:val="single" w:sz="4" w:space="0" w:color="auto"/>
              <w:bottom w:val="single" w:sz="4" w:space="0" w:color="auto"/>
              <w:right w:val="single" w:sz="4" w:space="0" w:color="auto"/>
            </w:tcBorders>
            <w:shd w:val="clear" w:color="auto" w:fill="E2E2E2"/>
          </w:tcPr>
          <w:p w14:paraId="34BACF8D" w14:textId="77777777" w:rsidR="001B4FEA" w:rsidRPr="001B4FEA" w:rsidRDefault="001B4FEA" w:rsidP="001B4FEA">
            <w:pPr>
              <w:ind w:right="141"/>
              <w:rPr>
                <w:b/>
                <w:sz w:val="20"/>
                <w:szCs w:val="20"/>
              </w:rPr>
            </w:pPr>
            <w:r w:rsidRPr="001B4FEA">
              <w:rPr>
                <w:b/>
                <w:sz w:val="20"/>
                <w:szCs w:val="20"/>
              </w:rPr>
              <w:t xml:space="preserve">    Mechanizmus znižovania byrokracie    </w:t>
            </w:r>
          </w:p>
          <w:p w14:paraId="7DB9236B" w14:textId="77777777" w:rsidR="001B4FEA" w:rsidRPr="001B4FEA" w:rsidRDefault="001B4FEA" w:rsidP="001B4FEA">
            <w:pPr>
              <w:ind w:right="141"/>
              <w:rPr>
                <w:b/>
                <w:sz w:val="20"/>
                <w:szCs w:val="20"/>
              </w:rPr>
            </w:pPr>
            <w:r w:rsidRPr="001B4FEA">
              <w:rPr>
                <w:b/>
                <w:sz w:val="20"/>
                <w:szCs w:val="20"/>
              </w:rPr>
              <w:t xml:space="preserve">    a nákladov sa uplatňuje:</w:t>
            </w:r>
          </w:p>
        </w:tc>
        <w:sdt>
          <w:sdtPr>
            <w:rPr>
              <w:b/>
              <w:sz w:val="20"/>
              <w:szCs w:val="20"/>
            </w:rPr>
            <w:id w:val="-436220374"/>
            <w14:checkbox>
              <w14:checked w14:val="0"/>
              <w14:checkedState w14:val="2612" w14:font="MS Gothic"/>
              <w14:uncheckedState w14:val="2610" w14:font="MS Gothic"/>
            </w14:checkbox>
          </w:sdtPr>
          <w:sdtEndPr/>
          <w:sdtContent>
            <w:tc>
              <w:tcPr>
                <w:tcW w:w="548" w:type="dxa"/>
                <w:tcBorders>
                  <w:top w:val="dotted" w:sz="4" w:space="0" w:color="auto"/>
                  <w:left w:val="single" w:sz="4" w:space="0" w:color="auto"/>
                  <w:bottom w:val="single" w:sz="4" w:space="0" w:color="auto"/>
                  <w:right w:val="nil"/>
                </w:tcBorders>
                <w:vAlign w:val="center"/>
              </w:tcPr>
              <w:p w14:paraId="4290BFD9"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616" w:type="dxa"/>
            <w:gridSpan w:val="3"/>
            <w:tcBorders>
              <w:top w:val="dotted" w:sz="4" w:space="0" w:color="auto"/>
              <w:left w:val="nil"/>
              <w:bottom w:val="single" w:sz="4" w:space="0" w:color="auto"/>
              <w:right w:val="nil"/>
            </w:tcBorders>
            <w:vAlign w:val="center"/>
          </w:tcPr>
          <w:p w14:paraId="461CCAF6" w14:textId="77777777" w:rsidR="001B4FEA" w:rsidRPr="001B4FEA" w:rsidRDefault="001B4FEA" w:rsidP="001B4FEA">
            <w:pPr>
              <w:ind w:right="141"/>
              <w:rPr>
                <w:b/>
                <w:sz w:val="20"/>
                <w:szCs w:val="20"/>
              </w:rPr>
            </w:pPr>
            <w:r w:rsidRPr="001B4FEA">
              <w:rPr>
                <w:b/>
                <w:sz w:val="20"/>
                <w:szCs w:val="20"/>
              </w:rPr>
              <w:t>Áno</w:t>
            </w:r>
          </w:p>
        </w:tc>
        <w:tc>
          <w:tcPr>
            <w:tcW w:w="257" w:type="dxa"/>
            <w:tcBorders>
              <w:top w:val="dotted" w:sz="4" w:space="0" w:color="auto"/>
              <w:left w:val="nil"/>
              <w:bottom w:val="single" w:sz="4" w:space="0" w:color="auto"/>
              <w:right w:val="nil"/>
            </w:tcBorders>
            <w:vAlign w:val="center"/>
          </w:tcPr>
          <w:p w14:paraId="59A3251E" w14:textId="77777777" w:rsidR="001B4FEA" w:rsidRPr="001B4FEA" w:rsidRDefault="001B4FEA" w:rsidP="001B4FEA">
            <w:pPr>
              <w:ind w:right="141"/>
              <w:rPr>
                <w:b/>
                <w:sz w:val="20"/>
                <w:szCs w:val="20"/>
              </w:rPr>
            </w:pPr>
          </w:p>
        </w:tc>
        <w:tc>
          <w:tcPr>
            <w:tcW w:w="1147" w:type="dxa"/>
            <w:tcBorders>
              <w:top w:val="dotted" w:sz="4" w:space="0" w:color="auto"/>
              <w:left w:val="nil"/>
              <w:bottom w:val="single" w:sz="4" w:space="0" w:color="auto"/>
              <w:right w:val="nil"/>
            </w:tcBorders>
            <w:vAlign w:val="center"/>
          </w:tcPr>
          <w:p w14:paraId="62D3E35C" w14:textId="77777777" w:rsidR="001B4FEA" w:rsidRPr="001B4FEA" w:rsidRDefault="001B4FEA" w:rsidP="001B4FEA">
            <w:pPr>
              <w:ind w:right="141"/>
              <w:rPr>
                <w:b/>
                <w:sz w:val="20"/>
                <w:szCs w:val="20"/>
              </w:rPr>
            </w:pPr>
          </w:p>
        </w:tc>
        <w:sdt>
          <w:sdtPr>
            <w:rPr>
              <w:b/>
              <w:sz w:val="20"/>
              <w:szCs w:val="20"/>
            </w:rPr>
            <w:id w:val="-1800223346"/>
            <w14:checkbox>
              <w14:checked w14:val="1"/>
              <w14:checkedState w14:val="2612" w14:font="MS Gothic"/>
              <w14:uncheckedState w14:val="2610" w14:font="MS Gothic"/>
            </w14:checkbox>
          </w:sdtPr>
          <w:sdtEndPr/>
          <w:sdtContent>
            <w:tc>
              <w:tcPr>
                <w:tcW w:w="554" w:type="dxa"/>
                <w:tcBorders>
                  <w:top w:val="dotted" w:sz="4" w:space="0" w:color="auto"/>
                  <w:left w:val="nil"/>
                  <w:bottom w:val="single" w:sz="4" w:space="0" w:color="auto"/>
                  <w:right w:val="nil"/>
                </w:tcBorders>
                <w:vAlign w:val="center"/>
              </w:tcPr>
              <w:p w14:paraId="75C63D19"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single" w:sz="4" w:space="0" w:color="auto"/>
              <w:right w:val="single" w:sz="4" w:space="0" w:color="auto"/>
            </w:tcBorders>
            <w:vAlign w:val="center"/>
          </w:tcPr>
          <w:p w14:paraId="5122F1E0" w14:textId="77777777" w:rsidR="001B4FEA" w:rsidRPr="001B4FEA" w:rsidRDefault="001B4FEA" w:rsidP="001B4FEA">
            <w:pPr>
              <w:ind w:right="141"/>
              <w:rPr>
                <w:b/>
                <w:sz w:val="20"/>
                <w:szCs w:val="20"/>
              </w:rPr>
            </w:pPr>
            <w:r w:rsidRPr="001B4FEA">
              <w:rPr>
                <w:b/>
                <w:sz w:val="20"/>
                <w:szCs w:val="20"/>
              </w:rPr>
              <w:t>Nie</w:t>
            </w:r>
          </w:p>
        </w:tc>
      </w:tr>
      <w:tr w:rsidR="001B4FEA" w:rsidRPr="001B4FEA" w14:paraId="7F3B3AF8" w14:textId="77777777" w:rsidTr="00627D66">
        <w:trPr>
          <w:trHeight w:val="255"/>
        </w:trPr>
        <w:tc>
          <w:tcPr>
            <w:tcW w:w="3861" w:type="dxa"/>
            <w:tcBorders>
              <w:top w:val="single" w:sz="4" w:space="0" w:color="000000"/>
              <w:left w:val="single" w:sz="4" w:space="0" w:color="auto"/>
              <w:bottom w:val="single" w:sz="4" w:space="0" w:color="auto"/>
              <w:right w:val="single" w:sz="4" w:space="0" w:color="auto"/>
            </w:tcBorders>
            <w:shd w:val="clear" w:color="auto" w:fill="E2E2E2"/>
          </w:tcPr>
          <w:p w14:paraId="2E69A511" w14:textId="77777777" w:rsidR="001B4FEA" w:rsidRPr="001B4FEA" w:rsidRDefault="001B4FEA" w:rsidP="001B4FEA">
            <w:pPr>
              <w:ind w:right="141"/>
              <w:rPr>
                <w:b/>
                <w:sz w:val="20"/>
                <w:szCs w:val="20"/>
              </w:rPr>
            </w:pPr>
            <w:r w:rsidRPr="001B4FEA">
              <w:rPr>
                <w:b/>
                <w:sz w:val="20"/>
                <w:szCs w:val="20"/>
              </w:rPr>
              <w:t>Sociálne vplyvy</w:t>
            </w:r>
          </w:p>
        </w:tc>
        <w:sdt>
          <w:sdtPr>
            <w:rPr>
              <w:b/>
              <w:sz w:val="20"/>
              <w:szCs w:val="20"/>
            </w:rPr>
            <w:id w:val="1380357651"/>
            <w14:checkbox>
              <w14:checked w14:val="1"/>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tcPr>
              <w:p w14:paraId="25EE50DF"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tcPr>
          <w:p w14:paraId="42A150BB"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317640209"/>
            <w14:checkbox>
              <w14:checked w14:val="0"/>
              <w14:checkedState w14:val="2612" w14:font="MS Gothic"/>
              <w14:uncheckedState w14:val="2610" w14:font="MS Gothic"/>
            </w14:checkbox>
          </w:sdtPr>
          <w:sdtEndPr/>
          <w:sdtContent>
            <w:tc>
              <w:tcPr>
                <w:tcW w:w="545" w:type="dxa"/>
                <w:gridSpan w:val="2"/>
                <w:tcBorders>
                  <w:top w:val="single" w:sz="4" w:space="0" w:color="auto"/>
                  <w:left w:val="nil"/>
                  <w:bottom w:val="single" w:sz="4" w:space="0" w:color="auto"/>
                  <w:right w:val="nil"/>
                </w:tcBorders>
              </w:tcPr>
              <w:p w14:paraId="41A2E7FB"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single" w:sz="4" w:space="0" w:color="auto"/>
              <w:right w:val="nil"/>
            </w:tcBorders>
          </w:tcPr>
          <w:p w14:paraId="21AA5E0E"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2008120839"/>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tcPr>
              <w:p w14:paraId="1FE6F8B5"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tcPr>
          <w:p w14:paraId="7AE00560"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74B2677A" w14:textId="77777777" w:rsidTr="00627D66">
        <w:trPr>
          <w:trHeight w:val="270"/>
        </w:trPr>
        <w:tc>
          <w:tcPr>
            <w:tcW w:w="3861" w:type="dxa"/>
            <w:tcBorders>
              <w:top w:val="single" w:sz="4" w:space="0" w:color="auto"/>
              <w:left w:val="single" w:sz="4" w:space="0" w:color="auto"/>
              <w:bottom w:val="nil"/>
              <w:right w:val="single" w:sz="4" w:space="0" w:color="auto"/>
            </w:tcBorders>
            <w:shd w:val="clear" w:color="auto" w:fill="E2E2E2"/>
          </w:tcPr>
          <w:p w14:paraId="1E52291E" w14:textId="77777777" w:rsidR="001B4FEA" w:rsidRPr="001B4FEA" w:rsidRDefault="001B4FEA" w:rsidP="001B4FEA">
            <w:pPr>
              <w:ind w:right="141"/>
              <w:rPr>
                <w:b/>
                <w:sz w:val="20"/>
                <w:szCs w:val="20"/>
              </w:rPr>
            </w:pPr>
            <w:r w:rsidRPr="001B4FEA">
              <w:rPr>
                <w:b/>
                <w:sz w:val="20"/>
                <w:szCs w:val="20"/>
              </w:rPr>
              <w:t>Vplyvy na životné prostredie</w:t>
            </w:r>
          </w:p>
        </w:tc>
        <w:sdt>
          <w:sdtPr>
            <w:rPr>
              <w:b/>
              <w:sz w:val="20"/>
              <w:szCs w:val="20"/>
            </w:rPr>
            <w:id w:val="2107849758"/>
            <w14:checkbox>
              <w14:checked w14:val="1"/>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tcPr>
              <w:p w14:paraId="51002276"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tcPr>
          <w:p w14:paraId="0D36FC69"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596385809"/>
            <w14:checkbox>
              <w14:checked w14:val="0"/>
              <w14:checkedState w14:val="2612" w14:font="MS Gothic"/>
              <w14:uncheckedState w14:val="2610" w14:font="MS Gothic"/>
            </w14:checkbox>
          </w:sdtPr>
          <w:sdtEndPr/>
          <w:sdtContent>
            <w:tc>
              <w:tcPr>
                <w:tcW w:w="545" w:type="dxa"/>
                <w:gridSpan w:val="2"/>
                <w:tcBorders>
                  <w:top w:val="single" w:sz="4" w:space="0" w:color="auto"/>
                  <w:left w:val="nil"/>
                  <w:bottom w:val="single" w:sz="4" w:space="0" w:color="auto"/>
                  <w:right w:val="nil"/>
                </w:tcBorders>
              </w:tcPr>
              <w:p w14:paraId="117DFF12"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single" w:sz="4" w:space="0" w:color="auto"/>
              <w:right w:val="nil"/>
            </w:tcBorders>
          </w:tcPr>
          <w:p w14:paraId="29AF0E7C"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135639560"/>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tcPr>
              <w:p w14:paraId="3BCB86AF"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tcPr>
          <w:p w14:paraId="09FAC709"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1B65BFAB" w14:textId="77777777" w:rsidTr="00627D66">
        <w:trPr>
          <w:trHeight w:val="1366"/>
        </w:trPr>
        <w:tc>
          <w:tcPr>
            <w:tcW w:w="3861" w:type="dxa"/>
            <w:tcBorders>
              <w:top w:val="nil"/>
              <w:left w:val="single" w:sz="4" w:space="0" w:color="auto"/>
              <w:bottom w:val="single" w:sz="4" w:space="0" w:color="auto"/>
              <w:right w:val="single" w:sz="4" w:space="0" w:color="auto"/>
            </w:tcBorders>
            <w:shd w:val="clear" w:color="auto" w:fill="E2E2E2"/>
          </w:tcPr>
          <w:p w14:paraId="7B38B0E6" w14:textId="77777777" w:rsidR="001B4FEA" w:rsidRPr="001B4FEA" w:rsidRDefault="001B4FEA" w:rsidP="001B4FEA">
            <w:pPr>
              <w:ind w:right="141"/>
              <w:rPr>
                <w:b/>
                <w:sz w:val="20"/>
                <w:szCs w:val="20"/>
              </w:rPr>
            </w:pPr>
          </w:p>
          <w:p w14:paraId="48E751E1" w14:textId="77777777" w:rsidR="001B4FEA" w:rsidRPr="001B4FEA" w:rsidRDefault="001B4FEA" w:rsidP="001B4FEA">
            <w:pPr>
              <w:ind w:right="141"/>
              <w:rPr>
                <w:b/>
                <w:sz w:val="20"/>
                <w:szCs w:val="20"/>
              </w:rPr>
            </w:pPr>
            <w:r w:rsidRPr="001B4FEA">
              <w:rPr>
                <w:b/>
                <w:sz w:val="20"/>
                <w:szCs w:val="20"/>
              </w:rPr>
              <w:t>Materiál je posudzovaný podľa zákona č. 24/2006 Z. z. o posudzovaní vplyvov na životné prostredie a o zmene a doplnení niektorých zákonov v znení neskorších predpisov</w:t>
            </w:r>
          </w:p>
        </w:tc>
        <w:sdt>
          <w:sdtPr>
            <w:rPr>
              <w:b/>
              <w:sz w:val="20"/>
              <w:szCs w:val="20"/>
            </w:rPr>
            <w:id w:val="199828074"/>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vAlign w:val="center"/>
              </w:tcPr>
              <w:p w14:paraId="6D3CF4FC"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vAlign w:val="center"/>
          </w:tcPr>
          <w:p w14:paraId="568F55FD" w14:textId="77777777" w:rsidR="001B4FEA" w:rsidRPr="001B4FEA" w:rsidRDefault="001B4FEA" w:rsidP="001B4FEA">
            <w:pPr>
              <w:ind w:right="141"/>
              <w:rPr>
                <w:b/>
                <w:sz w:val="20"/>
                <w:szCs w:val="20"/>
              </w:rPr>
            </w:pPr>
            <w:r w:rsidRPr="001B4FEA">
              <w:rPr>
                <w:b/>
                <w:sz w:val="20"/>
                <w:szCs w:val="20"/>
              </w:rPr>
              <w:t>Áno</w:t>
            </w:r>
          </w:p>
        </w:tc>
        <w:tc>
          <w:tcPr>
            <w:tcW w:w="545" w:type="dxa"/>
            <w:gridSpan w:val="2"/>
            <w:tcBorders>
              <w:top w:val="single" w:sz="4" w:space="0" w:color="auto"/>
              <w:left w:val="nil"/>
              <w:bottom w:val="single" w:sz="4" w:space="0" w:color="auto"/>
              <w:right w:val="nil"/>
            </w:tcBorders>
            <w:vAlign w:val="center"/>
          </w:tcPr>
          <w:p w14:paraId="53E2C139" w14:textId="77777777" w:rsidR="001B4FEA" w:rsidRPr="001B4FEA" w:rsidRDefault="001B4FEA" w:rsidP="001B4FEA">
            <w:pPr>
              <w:ind w:right="141"/>
              <w:rPr>
                <w:b/>
                <w:sz w:val="20"/>
                <w:szCs w:val="20"/>
              </w:rPr>
            </w:pPr>
          </w:p>
        </w:tc>
        <w:tc>
          <w:tcPr>
            <w:tcW w:w="1147" w:type="dxa"/>
            <w:tcBorders>
              <w:top w:val="single" w:sz="4" w:space="0" w:color="auto"/>
              <w:left w:val="nil"/>
              <w:bottom w:val="single" w:sz="4" w:space="0" w:color="auto"/>
              <w:right w:val="nil"/>
            </w:tcBorders>
            <w:vAlign w:val="center"/>
          </w:tcPr>
          <w:p w14:paraId="3D1B7A47" w14:textId="77777777" w:rsidR="001B4FEA" w:rsidRPr="001B4FEA" w:rsidRDefault="001B4FEA" w:rsidP="001B4FEA">
            <w:pPr>
              <w:ind w:right="141"/>
              <w:rPr>
                <w:b/>
                <w:sz w:val="20"/>
                <w:szCs w:val="20"/>
              </w:rPr>
            </w:pPr>
          </w:p>
        </w:tc>
        <w:sdt>
          <w:sdtPr>
            <w:rPr>
              <w:b/>
              <w:sz w:val="20"/>
              <w:szCs w:val="20"/>
            </w:rPr>
            <w:id w:val="2020969136"/>
            <w14:checkbox>
              <w14:checked w14:val="1"/>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vAlign w:val="center"/>
              </w:tcPr>
              <w:p w14:paraId="622ED613"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vAlign w:val="center"/>
          </w:tcPr>
          <w:p w14:paraId="39D78067" w14:textId="77777777" w:rsidR="001B4FEA" w:rsidRPr="001B4FEA" w:rsidRDefault="001B4FEA" w:rsidP="001B4FEA">
            <w:pPr>
              <w:ind w:right="141"/>
              <w:rPr>
                <w:b/>
                <w:sz w:val="20"/>
                <w:szCs w:val="20"/>
              </w:rPr>
            </w:pPr>
            <w:r w:rsidRPr="001B4FEA">
              <w:rPr>
                <w:b/>
                <w:sz w:val="20"/>
                <w:szCs w:val="20"/>
              </w:rPr>
              <w:t>Nie</w:t>
            </w:r>
          </w:p>
        </w:tc>
      </w:tr>
      <w:tr w:rsidR="001B4FEA" w:rsidRPr="001B4FEA" w14:paraId="525D20CF" w14:textId="77777777" w:rsidTr="00627D66">
        <w:trPr>
          <w:trHeight w:val="270"/>
        </w:trPr>
        <w:tc>
          <w:tcPr>
            <w:tcW w:w="3861" w:type="dxa"/>
            <w:tcBorders>
              <w:top w:val="single" w:sz="4" w:space="0" w:color="auto"/>
              <w:left w:val="single" w:sz="4" w:space="0" w:color="auto"/>
              <w:bottom w:val="single" w:sz="4" w:space="0" w:color="auto"/>
              <w:right w:val="single" w:sz="4" w:space="0" w:color="auto"/>
            </w:tcBorders>
            <w:shd w:val="clear" w:color="auto" w:fill="E2E2E2"/>
          </w:tcPr>
          <w:p w14:paraId="2976CB34" w14:textId="77777777" w:rsidR="001B4FEA" w:rsidRPr="001B4FEA" w:rsidRDefault="001B4FEA" w:rsidP="001B4FEA">
            <w:pPr>
              <w:ind w:right="141"/>
              <w:rPr>
                <w:b/>
                <w:sz w:val="20"/>
                <w:szCs w:val="20"/>
              </w:rPr>
            </w:pPr>
            <w:r w:rsidRPr="001B4FEA">
              <w:rPr>
                <w:b/>
                <w:sz w:val="20"/>
                <w:szCs w:val="20"/>
              </w:rPr>
              <w:t>Vplyvy na informatizáciu spoločnosti</w:t>
            </w:r>
          </w:p>
        </w:tc>
        <w:sdt>
          <w:sdtPr>
            <w:rPr>
              <w:b/>
              <w:sz w:val="20"/>
              <w:szCs w:val="20"/>
            </w:rPr>
            <w:id w:val="-842088491"/>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tcPr>
              <w:p w14:paraId="4D5E59B0"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tcPr>
          <w:p w14:paraId="37A39FF0"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955793107"/>
            <w14:checkbox>
              <w14:checked w14:val="1"/>
              <w14:checkedState w14:val="2612" w14:font="MS Gothic"/>
              <w14:uncheckedState w14:val="2610" w14:font="MS Gothic"/>
            </w14:checkbox>
          </w:sdtPr>
          <w:sdtEndPr/>
          <w:sdtContent>
            <w:tc>
              <w:tcPr>
                <w:tcW w:w="545" w:type="dxa"/>
                <w:gridSpan w:val="2"/>
                <w:tcBorders>
                  <w:top w:val="single" w:sz="4" w:space="0" w:color="auto"/>
                  <w:left w:val="nil"/>
                  <w:bottom w:val="single" w:sz="4" w:space="0" w:color="auto"/>
                  <w:right w:val="nil"/>
                </w:tcBorders>
              </w:tcPr>
              <w:p w14:paraId="1B3B7C5A"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single" w:sz="4" w:space="0" w:color="auto"/>
              <w:right w:val="nil"/>
            </w:tcBorders>
          </w:tcPr>
          <w:p w14:paraId="541E4B15"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162268818"/>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tcPr>
              <w:p w14:paraId="29333BEC"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tcPr>
          <w:p w14:paraId="2D8E97AA"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14AE500D" w14:textId="77777777" w:rsidTr="00627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861" w:type="dxa"/>
            <w:tcBorders>
              <w:top w:val="single" w:sz="4" w:space="0" w:color="auto"/>
              <w:left w:val="single" w:sz="4" w:space="0" w:color="auto"/>
              <w:bottom w:val="nil"/>
              <w:right w:val="single" w:sz="4" w:space="0" w:color="auto"/>
            </w:tcBorders>
            <w:shd w:val="clear" w:color="auto" w:fill="E2E2E2"/>
          </w:tcPr>
          <w:p w14:paraId="59C08D0C" w14:textId="77777777" w:rsidR="001B4FEA" w:rsidRPr="001B4FEA" w:rsidRDefault="001B4FEA" w:rsidP="001B4FEA">
            <w:pPr>
              <w:ind w:right="141"/>
              <w:rPr>
                <w:b/>
                <w:sz w:val="20"/>
                <w:szCs w:val="20"/>
              </w:rPr>
            </w:pPr>
            <w:r w:rsidRPr="001B4FEA">
              <w:rPr>
                <w:b/>
                <w:sz w:val="20"/>
                <w:szCs w:val="20"/>
              </w:rPr>
              <w:t>Vplyvy na služby verejnej správy pre občana, z toho</w:t>
            </w:r>
          </w:p>
        </w:tc>
        <w:tc>
          <w:tcPr>
            <w:tcW w:w="548" w:type="dxa"/>
            <w:tcBorders>
              <w:top w:val="single" w:sz="4" w:space="0" w:color="auto"/>
              <w:left w:val="single" w:sz="4" w:space="0" w:color="auto"/>
              <w:bottom w:val="nil"/>
              <w:right w:val="nil"/>
            </w:tcBorders>
            <w:shd w:val="clear" w:color="auto" w:fill="auto"/>
          </w:tcPr>
          <w:p w14:paraId="4AEFFC1F" w14:textId="77777777" w:rsidR="001B4FEA" w:rsidRPr="001B4FEA" w:rsidRDefault="001B4FEA" w:rsidP="001B4FEA">
            <w:pPr>
              <w:ind w:right="141"/>
              <w:rPr>
                <w:b/>
                <w:sz w:val="20"/>
                <w:szCs w:val="20"/>
              </w:rPr>
            </w:pPr>
          </w:p>
        </w:tc>
        <w:tc>
          <w:tcPr>
            <w:tcW w:w="1297" w:type="dxa"/>
            <w:tcBorders>
              <w:top w:val="single" w:sz="4" w:space="0" w:color="auto"/>
              <w:left w:val="nil"/>
              <w:bottom w:val="nil"/>
              <w:right w:val="nil"/>
            </w:tcBorders>
            <w:shd w:val="clear" w:color="auto" w:fill="auto"/>
          </w:tcPr>
          <w:p w14:paraId="73A80747" w14:textId="77777777" w:rsidR="001B4FEA" w:rsidRPr="001B4FEA" w:rsidRDefault="001B4FEA" w:rsidP="001B4FEA">
            <w:pPr>
              <w:ind w:right="141"/>
              <w:rPr>
                <w:b/>
                <w:sz w:val="20"/>
                <w:szCs w:val="20"/>
              </w:rPr>
            </w:pPr>
          </w:p>
        </w:tc>
        <w:tc>
          <w:tcPr>
            <w:tcW w:w="576" w:type="dxa"/>
            <w:gridSpan w:val="3"/>
            <w:tcBorders>
              <w:top w:val="single" w:sz="4" w:space="0" w:color="auto"/>
              <w:left w:val="nil"/>
              <w:bottom w:val="nil"/>
              <w:right w:val="nil"/>
            </w:tcBorders>
            <w:shd w:val="clear" w:color="auto" w:fill="auto"/>
          </w:tcPr>
          <w:p w14:paraId="102C1CB7" w14:textId="77777777" w:rsidR="001B4FEA" w:rsidRPr="001B4FEA" w:rsidRDefault="001B4FEA" w:rsidP="001B4FEA">
            <w:pPr>
              <w:ind w:right="141"/>
              <w:rPr>
                <w:b/>
                <w:sz w:val="20"/>
                <w:szCs w:val="20"/>
              </w:rPr>
            </w:pPr>
          </w:p>
        </w:tc>
        <w:tc>
          <w:tcPr>
            <w:tcW w:w="1147" w:type="dxa"/>
            <w:tcBorders>
              <w:top w:val="single" w:sz="4" w:space="0" w:color="auto"/>
              <w:left w:val="nil"/>
              <w:bottom w:val="nil"/>
              <w:right w:val="nil"/>
            </w:tcBorders>
            <w:shd w:val="clear" w:color="auto" w:fill="auto"/>
          </w:tcPr>
          <w:p w14:paraId="07565DF1" w14:textId="77777777" w:rsidR="001B4FEA" w:rsidRPr="001B4FEA" w:rsidRDefault="001B4FEA" w:rsidP="001B4FEA">
            <w:pPr>
              <w:ind w:right="141"/>
              <w:rPr>
                <w:b/>
                <w:sz w:val="20"/>
                <w:szCs w:val="20"/>
              </w:rPr>
            </w:pPr>
          </w:p>
        </w:tc>
        <w:tc>
          <w:tcPr>
            <w:tcW w:w="554" w:type="dxa"/>
            <w:tcBorders>
              <w:top w:val="single" w:sz="4" w:space="0" w:color="auto"/>
              <w:left w:val="nil"/>
              <w:bottom w:val="nil"/>
              <w:right w:val="nil"/>
            </w:tcBorders>
            <w:shd w:val="clear" w:color="auto" w:fill="auto"/>
          </w:tcPr>
          <w:p w14:paraId="175EA8A4" w14:textId="77777777" w:rsidR="001B4FEA" w:rsidRPr="001B4FEA" w:rsidRDefault="001B4FEA" w:rsidP="001B4FEA">
            <w:pPr>
              <w:ind w:right="141"/>
              <w:rPr>
                <w:b/>
                <w:sz w:val="20"/>
                <w:szCs w:val="20"/>
              </w:rPr>
            </w:pPr>
          </w:p>
        </w:tc>
        <w:tc>
          <w:tcPr>
            <w:tcW w:w="1313" w:type="dxa"/>
            <w:tcBorders>
              <w:top w:val="single" w:sz="4" w:space="0" w:color="auto"/>
              <w:left w:val="nil"/>
              <w:bottom w:val="nil"/>
              <w:right w:val="single" w:sz="4" w:space="0" w:color="auto"/>
            </w:tcBorders>
            <w:shd w:val="clear" w:color="auto" w:fill="auto"/>
          </w:tcPr>
          <w:p w14:paraId="25785700" w14:textId="77777777" w:rsidR="001B4FEA" w:rsidRPr="001B4FEA" w:rsidRDefault="001B4FEA" w:rsidP="001B4FEA">
            <w:pPr>
              <w:ind w:right="141"/>
              <w:rPr>
                <w:b/>
                <w:sz w:val="20"/>
                <w:szCs w:val="20"/>
              </w:rPr>
            </w:pPr>
          </w:p>
        </w:tc>
      </w:tr>
      <w:tr w:rsidR="001B4FEA" w:rsidRPr="001B4FEA" w14:paraId="20B66ECC" w14:textId="77777777" w:rsidTr="00627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861" w:type="dxa"/>
            <w:tcBorders>
              <w:top w:val="nil"/>
              <w:left w:val="single" w:sz="4" w:space="0" w:color="auto"/>
              <w:bottom w:val="nil"/>
              <w:right w:val="single" w:sz="4" w:space="0" w:color="auto"/>
            </w:tcBorders>
            <w:shd w:val="clear" w:color="auto" w:fill="E2E2E2"/>
          </w:tcPr>
          <w:p w14:paraId="7E41CD46" w14:textId="77777777" w:rsidR="001B4FEA" w:rsidRPr="001B4FEA" w:rsidRDefault="001B4FEA" w:rsidP="001B4FEA">
            <w:pPr>
              <w:ind w:right="141"/>
              <w:rPr>
                <w:b/>
                <w:sz w:val="20"/>
                <w:szCs w:val="20"/>
              </w:rPr>
            </w:pPr>
            <w:r w:rsidRPr="001B4FEA">
              <w:rPr>
                <w:b/>
                <w:sz w:val="20"/>
                <w:szCs w:val="20"/>
              </w:rPr>
              <w:t xml:space="preserve">    vplyvy služieb verejnej správy na občana</w:t>
            </w:r>
          </w:p>
        </w:tc>
        <w:sdt>
          <w:sdtPr>
            <w:rPr>
              <w:b/>
              <w:sz w:val="20"/>
              <w:szCs w:val="20"/>
            </w:rPr>
            <w:id w:val="-908924670"/>
            <w14:checkbox>
              <w14:checked w14:val="0"/>
              <w14:checkedState w14:val="2612" w14:font="MS Gothic"/>
              <w14:uncheckedState w14:val="2610" w14:font="MS Gothic"/>
            </w14:checkbox>
          </w:sdtPr>
          <w:sdtEndPr/>
          <w:sdtContent>
            <w:tc>
              <w:tcPr>
                <w:tcW w:w="548" w:type="dxa"/>
                <w:tcBorders>
                  <w:top w:val="nil"/>
                  <w:left w:val="single" w:sz="4" w:space="0" w:color="auto"/>
                  <w:bottom w:val="dotted" w:sz="4" w:space="0" w:color="auto"/>
                  <w:right w:val="nil"/>
                </w:tcBorders>
                <w:shd w:val="clear" w:color="auto" w:fill="auto"/>
              </w:tcPr>
              <w:p w14:paraId="3D6CEC5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nil"/>
              <w:left w:val="nil"/>
              <w:bottom w:val="dotted" w:sz="4" w:space="0" w:color="auto"/>
              <w:right w:val="nil"/>
            </w:tcBorders>
            <w:shd w:val="clear" w:color="auto" w:fill="auto"/>
          </w:tcPr>
          <w:p w14:paraId="16B4A865"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264802057"/>
            <w14:checkbox>
              <w14:checked w14:val="1"/>
              <w14:checkedState w14:val="2612" w14:font="MS Gothic"/>
              <w14:uncheckedState w14:val="2610" w14:font="MS Gothic"/>
            </w14:checkbox>
          </w:sdtPr>
          <w:sdtEndPr/>
          <w:sdtContent>
            <w:tc>
              <w:tcPr>
                <w:tcW w:w="545" w:type="dxa"/>
                <w:gridSpan w:val="2"/>
                <w:tcBorders>
                  <w:top w:val="nil"/>
                  <w:left w:val="nil"/>
                  <w:bottom w:val="dotted" w:sz="4" w:space="0" w:color="auto"/>
                  <w:right w:val="nil"/>
                </w:tcBorders>
                <w:shd w:val="clear" w:color="auto" w:fill="auto"/>
              </w:tcPr>
              <w:p w14:paraId="2BACE0CB"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nil"/>
              <w:left w:val="nil"/>
              <w:bottom w:val="dotted" w:sz="4" w:space="0" w:color="auto"/>
              <w:right w:val="nil"/>
            </w:tcBorders>
            <w:shd w:val="clear" w:color="auto" w:fill="auto"/>
          </w:tcPr>
          <w:p w14:paraId="223884C5"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91520874"/>
            <w14:checkbox>
              <w14:checked w14:val="0"/>
              <w14:checkedState w14:val="2612" w14:font="MS Gothic"/>
              <w14:uncheckedState w14:val="2610" w14:font="MS Gothic"/>
            </w14:checkbox>
          </w:sdtPr>
          <w:sdtEndPr/>
          <w:sdtContent>
            <w:tc>
              <w:tcPr>
                <w:tcW w:w="554" w:type="dxa"/>
                <w:tcBorders>
                  <w:top w:val="nil"/>
                  <w:left w:val="nil"/>
                  <w:bottom w:val="dotted" w:sz="4" w:space="0" w:color="auto"/>
                  <w:right w:val="nil"/>
                </w:tcBorders>
                <w:shd w:val="clear" w:color="auto" w:fill="auto"/>
              </w:tcPr>
              <w:p w14:paraId="6D4A35C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nil"/>
              <w:left w:val="nil"/>
              <w:bottom w:val="dotted" w:sz="4" w:space="0" w:color="auto"/>
              <w:right w:val="single" w:sz="4" w:space="0" w:color="auto"/>
            </w:tcBorders>
            <w:shd w:val="clear" w:color="auto" w:fill="auto"/>
          </w:tcPr>
          <w:p w14:paraId="52FF2189"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372DC8DE" w14:textId="77777777" w:rsidTr="00627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861" w:type="dxa"/>
            <w:tcBorders>
              <w:top w:val="nil"/>
              <w:left w:val="single" w:sz="4" w:space="0" w:color="auto"/>
              <w:bottom w:val="nil"/>
              <w:right w:val="single" w:sz="4" w:space="0" w:color="auto"/>
            </w:tcBorders>
            <w:shd w:val="clear" w:color="auto" w:fill="E2E2E2"/>
          </w:tcPr>
          <w:p w14:paraId="11C53C6A" w14:textId="77777777" w:rsidR="001B4FEA" w:rsidRPr="001B4FEA" w:rsidRDefault="001B4FEA" w:rsidP="001B4FEA">
            <w:pPr>
              <w:ind w:right="141"/>
              <w:rPr>
                <w:b/>
                <w:sz w:val="20"/>
                <w:szCs w:val="20"/>
              </w:rPr>
            </w:pPr>
            <w:r w:rsidRPr="001B4FEA">
              <w:rPr>
                <w:b/>
                <w:sz w:val="20"/>
                <w:szCs w:val="20"/>
              </w:rPr>
              <w:t xml:space="preserve">    vplyvy na procesy služieb vo verejnej správe</w:t>
            </w:r>
          </w:p>
        </w:tc>
        <w:sdt>
          <w:sdtPr>
            <w:rPr>
              <w:b/>
              <w:sz w:val="20"/>
              <w:szCs w:val="20"/>
            </w:rPr>
            <w:id w:val="1658959419"/>
            <w14:checkbox>
              <w14:checked w14:val="0"/>
              <w14:checkedState w14:val="2612" w14:font="MS Gothic"/>
              <w14:uncheckedState w14:val="2610" w14:font="MS Gothic"/>
            </w14:checkbox>
          </w:sdtPr>
          <w:sdtEndPr/>
          <w:sdtContent>
            <w:tc>
              <w:tcPr>
                <w:tcW w:w="548" w:type="dxa"/>
                <w:tcBorders>
                  <w:top w:val="dotted" w:sz="4" w:space="0" w:color="auto"/>
                  <w:left w:val="single" w:sz="4" w:space="0" w:color="auto"/>
                  <w:bottom w:val="dotted" w:sz="4" w:space="0" w:color="auto"/>
                  <w:right w:val="nil"/>
                </w:tcBorders>
                <w:shd w:val="clear" w:color="auto" w:fill="auto"/>
                <w:vAlign w:val="center"/>
              </w:tcPr>
              <w:p w14:paraId="56AB59BE"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dotted" w:sz="4" w:space="0" w:color="auto"/>
              <w:left w:val="nil"/>
              <w:bottom w:val="dotted" w:sz="4" w:space="0" w:color="auto"/>
              <w:right w:val="nil"/>
            </w:tcBorders>
            <w:shd w:val="clear" w:color="auto" w:fill="auto"/>
            <w:vAlign w:val="center"/>
          </w:tcPr>
          <w:p w14:paraId="069EA073"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784143282"/>
            <w14:checkbox>
              <w14:checked w14:val="1"/>
              <w14:checkedState w14:val="2612" w14:font="MS Gothic"/>
              <w14:uncheckedState w14:val="2610" w14:font="MS Gothic"/>
            </w14:checkbox>
          </w:sdtPr>
          <w:sdtEndPr/>
          <w:sdtContent>
            <w:tc>
              <w:tcPr>
                <w:tcW w:w="545" w:type="dxa"/>
                <w:gridSpan w:val="2"/>
                <w:tcBorders>
                  <w:top w:val="dotted" w:sz="4" w:space="0" w:color="auto"/>
                  <w:left w:val="nil"/>
                  <w:bottom w:val="dotted" w:sz="4" w:space="0" w:color="auto"/>
                  <w:right w:val="nil"/>
                </w:tcBorders>
                <w:shd w:val="clear" w:color="auto" w:fill="auto"/>
                <w:vAlign w:val="center"/>
              </w:tcPr>
              <w:p w14:paraId="0E7E07C3"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dotted" w:sz="4" w:space="0" w:color="auto"/>
              <w:left w:val="nil"/>
              <w:bottom w:val="dotted" w:sz="4" w:space="0" w:color="auto"/>
              <w:right w:val="nil"/>
            </w:tcBorders>
            <w:shd w:val="clear" w:color="auto" w:fill="auto"/>
            <w:vAlign w:val="center"/>
          </w:tcPr>
          <w:p w14:paraId="13FC8F39"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1322383017"/>
            <w14:checkbox>
              <w14:checked w14:val="0"/>
              <w14:checkedState w14:val="2612" w14:font="MS Gothic"/>
              <w14:uncheckedState w14:val="2610" w14:font="MS Gothic"/>
            </w14:checkbox>
          </w:sdtPr>
          <w:sdtEndPr/>
          <w:sdtContent>
            <w:tc>
              <w:tcPr>
                <w:tcW w:w="554" w:type="dxa"/>
                <w:tcBorders>
                  <w:top w:val="dotted" w:sz="4" w:space="0" w:color="auto"/>
                  <w:left w:val="nil"/>
                  <w:bottom w:val="dotted" w:sz="4" w:space="0" w:color="auto"/>
                  <w:right w:val="nil"/>
                </w:tcBorders>
                <w:shd w:val="clear" w:color="auto" w:fill="auto"/>
                <w:vAlign w:val="center"/>
              </w:tcPr>
              <w:p w14:paraId="5B0F26D7"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dotted" w:sz="4" w:space="0" w:color="auto"/>
              <w:left w:val="nil"/>
              <w:bottom w:val="dotted" w:sz="4" w:space="0" w:color="auto"/>
              <w:right w:val="single" w:sz="4" w:space="0" w:color="auto"/>
            </w:tcBorders>
            <w:shd w:val="clear" w:color="auto" w:fill="auto"/>
            <w:vAlign w:val="center"/>
          </w:tcPr>
          <w:p w14:paraId="6F51FB97" w14:textId="77777777" w:rsidR="001B4FEA" w:rsidRPr="001B4FEA" w:rsidRDefault="001B4FEA" w:rsidP="001B4FEA">
            <w:pPr>
              <w:ind w:right="141"/>
              <w:rPr>
                <w:b/>
                <w:sz w:val="20"/>
                <w:szCs w:val="20"/>
              </w:rPr>
            </w:pPr>
            <w:r w:rsidRPr="001B4FEA">
              <w:rPr>
                <w:b/>
                <w:sz w:val="20"/>
                <w:szCs w:val="20"/>
              </w:rPr>
              <w:t>Negatívne</w:t>
            </w:r>
          </w:p>
        </w:tc>
      </w:tr>
      <w:tr w:rsidR="001B4FEA" w:rsidRPr="001B4FEA" w14:paraId="28A44C14" w14:textId="77777777" w:rsidTr="00627D66">
        <w:trPr>
          <w:trHeight w:val="450"/>
        </w:trPr>
        <w:tc>
          <w:tcPr>
            <w:tcW w:w="3861" w:type="dxa"/>
            <w:tcBorders>
              <w:top w:val="single" w:sz="4" w:space="0" w:color="000000"/>
              <w:left w:val="single" w:sz="4" w:space="0" w:color="auto"/>
              <w:bottom w:val="single" w:sz="4" w:space="0" w:color="auto"/>
              <w:right w:val="single" w:sz="4" w:space="0" w:color="auto"/>
            </w:tcBorders>
            <w:shd w:val="clear" w:color="auto" w:fill="E2E2E2"/>
          </w:tcPr>
          <w:p w14:paraId="727FAD9C" w14:textId="77777777" w:rsidR="001B4FEA" w:rsidRPr="001B4FEA" w:rsidRDefault="001B4FEA" w:rsidP="001B4FEA">
            <w:pPr>
              <w:ind w:right="141"/>
              <w:rPr>
                <w:b/>
                <w:sz w:val="20"/>
                <w:szCs w:val="20"/>
              </w:rPr>
            </w:pPr>
            <w:r w:rsidRPr="001B4FEA">
              <w:rPr>
                <w:b/>
                <w:sz w:val="20"/>
                <w:szCs w:val="20"/>
              </w:rPr>
              <w:t>Vplyvy na manželstvo, rodičovstvo a rodinu</w:t>
            </w:r>
          </w:p>
        </w:tc>
        <w:sdt>
          <w:sdtPr>
            <w:rPr>
              <w:b/>
              <w:sz w:val="20"/>
              <w:szCs w:val="20"/>
            </w:rPr>
            <w:id w:val="722805589"/>
            <w14:checkbox>
              <w14:checked w14:val="0"/>
              <w14:checkedState w14:val="2612" w14:font="MS Gothic"/>
              <w14:uncheckedState w14:val="2610" w14:font="MS Gothic"/>
            </w14:checkbox>
          </w:sdtPr>
          <w:sdtEndPr/>
          <w:sdtContent>
            <w:tc>
              <w:tcPr>
                <w:tcW w:w="548" w:type="dxa"/>
                <w:tcBorders>
                  <w:top w:val="single" w:sz="4" w:space="0" w:color="auto"/>
                  <w:left w:val="single" w:sz="4" w:space="0" w:color="auto"/>
                  <w:bottom w:val="single" w:sz="4" w:space="0" w:color="auto"/>
                  <w:right w:val="nil"/>
                </w:tcBorders>
                <w:vAlign w:val="center"/>
              </w:tcPr>
              <w:p w14:paraId="27342605"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29" w:type="dxa"/>
            <w:gridSpan w:val="2"/>
            <w:tcBorders>
              <w:top w:val="single" w:sz="4" w:space="0" w:color="auto"/>
              <w:left w:val="nil"/>
              <w:bottom w:val="single" w:sz="4" w:space="0" w:color="auto"/>
              <w:right w:val="nil"/>
            </w:tcBorders>
            <w:vAlign w:val="center"/>
          </w:tcPr>
          <w:p w14:paraId="16A35A79" w14:textId="77777777" w:rsidR="001B4FEA" w:rsidRPr="001B4FEA" w:rsidRDefault="001B4FEA" w:rsidP="001B4FEA">
            <w:pPr>
              <w:ind w:right="141"/>
              <w:rPr>
                <w:b/>
                <w:sz w:val="20"/>
                <w:szCs w:val="20"/>
              </w:rPr>
            </w:pPr>
            <w:r w:rsidRPr="001B4FEA">
              <w:rPr>
                <w:b/>
                <w:sz w:val="20"/>
                <w:szCs w:val="20"/>
              </w:rPr>
              <w:t>Pozitívne</w:t>
            </w:r>
          </w:p>
        </w:tc>
        <w:sdt>
          <w:sdtPr>
            <w:rPr>
              <w:b/>
              <w:sz w:val="20"/>
              <w:szCs w:val="20"/>
            </w:rPr>
            <w:id w:val="-1134788261"/>
            <w14:checkbox>
              <w14:checked w14:val="1"/>
              <w14:checkedState w14:val="2612" w14:font="MS Gothic"/>
              <w14:uncheckedState w14:val="2610" w14:font="MS Gothic"/>
            </w14:checkbox>
          </w:sdtPr>
          <w:sdtEndPr/>
          <w:sdtContent>
            <w:tc>
              <w:tcPr>
                <w:tcW w:w="545" w:type="dxa"/>
                <w:gridSpan w:val="2"/>
                <w:tcBorders>
                  <w:top w:val="single" w:sz="4" w:space="0" w:color="auto"/>
                  <w:left w:val="nil"/>
                  <w:bottom w:val="single" w:sz="4" w:space="0" w:color="auto"/>
                  <w:right w:val="nil"/>
                </w:tcBorders>
                <w:vAlign w:val="center"/>
              </w:tcPr>
              <w:p w14:paraId="13D28078"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147" w:type="dxa"/>
            <w:tcBorders>
              <w:top w:val="single" w:sz="4" w:space="0" w:color="auto"/>
              <w:left w:val="nil"/>
              <w:bottom w:val="single" w:sz="4" w:space="0" w:color="auto"/>
              <w:right w:val="nil"/>
            </w:tcBorders>
            <w:vAlign w:val="center"/>
          </w:tcPr>
          <w:p w14:paraId="0D972B07" w14:textId="77777777" w:rsidR="001B4FEA" w:rsidRPr="001B4FEA" w:rsidRDefault="001B4FEA" w:rsidP="001B4FEA">
            <w:pPr>
              <w:ind w:right="141"/>
              <w:rPr>
                <w:b/>
                <w:sz w:val="20"/>
                <w:szCs w:val="20"/>
              </w:rPr>
            </w:pPr>
            <w:r w:rsidRPr="001B4FEA">
              <w:rPr>
                <w:b/>
                <w:sz w:val="20"/>
                <w:szCs w:val="20"/>
              </w:rPr>
              <w:t>Žiadne</w:t>
            </w:r>
          </w:p>
        </w:tc>
        <w:sdt>
          <w:sdtPr>
            <w:rPr>
              <w:b/>
              <w:sz w:val="20"/>
              <w:szCs w:val="20"/>
            </w:rPr>
            <w:id w:val="-437140647"/>
            <w14:checkbox>
              <w14:checked w14:val="0"/>
              <w14:checkedState w14:val="2612" w14:font="MS Gothic"/>
              <w14:uncheckedState w14:val="2610" w14:font="MS Gothic"/>
            </w14:checkbox>
          </w:sdtPr>
          <w:sdtEndPr/>
          <w:sdtContent>
            <w:tc>
              <w:tcPr>
                <w:tcW w:w="554" w:type="dxa"/>
                <w:tcBorders>
                  <w:top w:val="single" w:sz="4" w:space="0" w:color="auto"/>
                  <w:left w:val="nil"/>
                  <w:bottom w:val="single" w:sz="4" w:space="0" w:color="auto"/>
                  <w:right w:val="nil"/>
                </w:tcBorders>
                <w:vAlign w:val="center"/>
              </w:tcPr>
              <w:p w14:paraId="7B5A5E31" w14:textId="77777777" w:rsidR="001B4FEA" w:rsidRPr="001B4FEA" w:rsidRDefault="001B4FEA" w:rsidP="001B4FEA">
                <w:pPr>
                  <w:ind w:right="141"/>
                  <w:rPr>
                    <w:b/>
                    <w:sz w:val="20"/>
                    <w:szCs w:val="20"/>
                  </w:rPr>
                </w:pPr>
                <w:r w:rsidRPr="001B4FEA">
                  <w:rPr>
                    <w:rFonts w:ascii="Segoe UI Symbol" w:hAnsi="Segoe UI Symbol" w:cs="Segoe UI Symbol"/>
                    <w:b/>
                    <w:sz w:val="20"/>
                    <w:szCs w:val="20"/>
                  </w:rPr>
                  <w:t>☐</w:t>
                </w:r>
              </w:p>
            </w:tc>
          </w:sdtContent>
        </w:sdt>
        <w:tc>
          <w:tcPr>
            <w:tcW w:w="1313" w:type="dxa"/>
            <w:tcBorders>
              <w:top w:val="single" w:sz="4" w:space="0" w:color="auto"/>
              <w:left w:val="nil"/>
              <w:bottom w:val="single" w:sz="4" w:space="0" w:color="auto"/>
              <w:right w:val="single" w:sz="4" w:space="0" w:color="auto"/>
            </w:tcBorders>
            <w:vAlign w:val="center"/>
          </w:tcPr>
          <w:p w14:paraId="54DC75E9" w14:textId="77777777" w:rsidR="001B4FEA" w:rsidRPr="001B4FEA" w:rsidRDefault="001B4FEA" w:rsidP="001B4FEA">
            <w:pPr>
              <w:ind w:right="141"/>
              <w:rPr>
                <w:b/>
                <w:sz w:val="20"/>
                <w:szCs w:val="20"/>
              </w:rPr>
            </w:pPr>
            <w:r w:rsidRPr="001B4FEA">
              <w:rPr>
                <w:b/>
                <w:sz w:val="20"/>
                <w:szCs w:val="20"/>
              </w:rPr>
              <w:t>Negatívne</w:t>
            </w:r>
          </w:p>
        </w:tc>
      </w:tr>
    </w:tbl>
    <w:p w14:paraId="42076C57" w14:textId="77777777" w:rsidR="00076AAE" w:rsidRPr="00F83E0D" w:rsidRDefault="00076AAE" w:rsidP="00076AAE">
      <w:pPr>
        <w:ind w:right="141"/>
        <w:rPr>
          <w:b/>
          <w:sz w:val="20"/>
          <w:szCs w:val="20"/>
        </w:rPr>
      </w:pPr>
    </w:p>
    <w:tbl>
      <w:tblPr>
        <w:tblStyle w:val="Mriekatabuky1"/>
        <w:tblW w:w="9390" w:type="dxa"/>
        <w:tblLayout w:type="fixed"/>
        <w:tblLook w:val="04A0" w:firstRow="1" w:lastRow="0" w:firstColumn="1" w:lastColumn="0" w:noHBand="0" w:noVBand="1"/>
      </w:tblPr>
      <w:tblGrid>
        <w:gridCol w:w="9390"/>
      </w:tblGrid>
      <w:tr w:rsidR="00076AAE" w:rsidRPr="00F83E0D" w14:paraId="2F1B08DE" w14:textId="77777777" w:rsidTr="6F03B451">
        <w:tc>
          <w:tcPr>
            <w:tcW w:w="9390" w:type="dxa"/>
            <w:tcBorders>
              <w:top w:val="single" w:sz="4" w:space="0" w:color="auto"/>
              <w:left w:val="single" w:sz="4" w:space="0" w:color="auto"/>
              <w:bottom w:val="nil"/>
              <w:right w:val="single" w:sz="4" w:space="0" w:color="auto"/>
            </w:tcBorders>
            <w:shd w:val="clear" w:color="auto" w:fill="E2E2E2"/>
          </w:tcPr>
          <w:p w14:paraId="31D40D9D"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Poznámky</w:t>
            </w:r>
          </w:p>
        </w:tc>
      </w:tr>
      <w:tr w:rsidR="00076AAE" w:rsidRPr="00F83E0D" w14:paraId="04F4BB04" w14:textId="77777777" w:rsidTr="6F03B451">
        <w:trPr>
          <w:trHeight w:val="713"/>
        </w:trPr>
        <w:tc>
          <w:tcPr>
            <w:tcW w:w="9390" w:type="dxa"/>
            <w:tcBorders>
              <w:top w:val="nil"/>
              <w:left w:val="single" w:sz="4" w:space="0" w:color="auto"/>
              <w:bottom w:val="single" w:sz="4" w:space="0" w:color="FFFFFF" w:themeColor="background1"/>
              <w:right w:val="single" w:sz="4" w:space="0" w:color="auto"/>
            </w:tcBorders>
            <w:shd w:val="clear" w:color="auto" w:fill="auto"/>
          </w:tcPr>
          <w:p w14:paraId="3B2FF568" w14:textId="77777777" w:rsidR="00076AAE" w:rsidRPr="00312406" w:rsidRDefault="00076AAE" w:rsidP="000737B2">
            <w:pPr>
              <w:jc w:val="both"/>
              <w:rPr>
                <w:i/>
                <w:sz w:val="20"/>
                <w:szCs w:val="20"/>
              </w:rPr>
            </w:pPr>
            <w:r w:rsidRPr="00312406">
              <w:rPr>
                <w:i/>
                <w:sz w:val="20"/>
                <w:szCs w:val="20"/>
              </w:rPr>
              <w:t xml:space="preserve">V prípade potreby uveďte doplňujúce informácie k identifikovaným vplyvom a ich analýzam. </w:t>
            </w:r>
          </w:p>
          <w:p w14:paraId="39E65892" w14:textId="77777777" w:rsidR="00076AAE" w:rsidRPr="00312406" w:rsidRDefault="00076AAE" w:rsidP="000737B2">
            <w:pPr>
              <w:jc w:val="both"/>
              <w:rPr>
                <w:i/>
                <w:sz w:val="20"/>
                <w:szCs w:val="20"/>
              </w:rPr>
            </w:pPr>
          </w:p>
          <w:p w14:paraId="54E09EF2" w14:textId="77777777" w:rsidR="00076AAE" w:rsidRPr="00312406" w:rsidRDefault="00076AAE" w:rsidP="000737B2">
            <w:pPr>
              <w:jc w:val="both"/>
              <w:rPr>
                <w:i/>
                <w:sz w:val="20"/>
                <w:szCs w:val="20"/>
              </w:rPr>
            </w:pPr>
            <w:r w:rsidRPr="00312406">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483E95D0" w14:textId="77777777" w:rsidR="00076AAE" w:rsidRPr="00312406" w:rsidRDefault="00076AAE" w:rsidP="000737B2">
            <w:pPr>
              <w:jc w:val="both"/>
              <w:rPr>
                <w:i/>
                <w:sz w:val="20"/>
                <w:szCs w:val="20"/>
              </w:rPr>
            </w:pPr>
          </w:p>
          <w:p w14:paraId="2406159F" w14:textId="77777777" w:rsidR="00076AAE" w:rsidRPr="00312406" w:rsidRDefault="00076AAE" w:rsidP="000737B2">
            <w:pPr>
              <w:jc w:val="both"/>
              <w:rPr>
                <w:i/>
                <w:sz w:val="20"/>
                <w:szCs w:val="20"/>
              </w:rPr>
            </w:pPr>
            <w:r w:rsidRPr="00312406">
              <w:rPr>
                <w:i/>
                <w:sz w:val="20"/>
                <w:szCs w:val="20"/>
              </w:rPr>
              <w:t>Informácie v tejto časti slúžia na zhrnutie vplyvov alebo aj na vyjadrenie sa k marginálnym vplyvom a nie ako náhrada za vypracovanie príslušných analýz vybraných vplyvov.</w:t>
            </w:r>
          </w:p>
          <w:p w14:paraId="18782C10" w14:textId="77777777" w:rsidR="00076AAE" w:rsidRPr="00312406" w:rsidRDefault="00076AAE" w:rsidP="000737B2">
            <w:pPr>
              <w:jc w:val="both"/>
              <w:rPr>
                <w:i/>
                <w:sz w:val="20"/>
                <w:szCs w:val="20"/>
              </w:rPr>
            </w:pPr>
          </w:p>
          <w:p w14:paraId="553F173C" w14:textId="77777777" w:rsidR="00076AAE" w:rsidRPr="00312406" w:rsidRDefault="00076AAE" w:rsidP="000737B2">
            <w:pPr>
              <w:jc w:val="both"/>
              <w:rPr>
                <w:i/>
                <w:sz w:val="20"/>
                <w:szCs w:val="20"/>
              </w:rPr>
            </w:pPr>
            <w:r w:rsidRPr="00312406">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706B4631" w14:textId="77777777" w:rsidR="00076AAE" w:rsidRPr="00312406" w:rsidRDefault="00076AAE" w:rsidP="000737B2">
            <w:pPr>
              <w:jc w:val="both"/>
              <w:rPr>
                <w:bCs/>
                <w:i/>
                <w:sz w:val="18"/>
                <w:szCs w:val="18"/>
              </w:rPr>
            </w:pPr>
          </w:p>
          <w:p w14:paraId="5E70A722" w14:textId="77777777" w:rsidR="00076AAE" w:rsidRPr="00312406" w:rsidRDefault="00076AAE" w:rsidP="000737B2">
            <w:pPr>
              <w:contextualSpacing/>
              <w:jc w:val="both"/>
              <w:rPr>
                <w:rFonts w:eastAsia="Calibri"/>
                <w:b/>
                <w:sz w:val="22"/>
                <w:szCs w:val="22"/>
                <w:lang w:eastAsia="en-US"/>
              </w:rPr>
            </w:pPr>
            <w:r w:rsidRPr="00312406">
              <w:rPr>
                <w:rFonts w:eastAsia="Calibri"/>
                <w:bCs/>
                <w:sz w:val="22"/>
                <w:szCs w:val="22"/>
                <w:lang w:eastAsia="en-US"/>
              </w:rPr>
              <w:t xml:space="preserve">K vplyvom na podnikateľské prostredie: predložený materiál na jednej strane čiastočne zvyšuje náklady podnikateľského prostredia ale súčasne zavádzané zmeny môžu prispievať k zníženiu nákladov na energie a tým aj posilnenie konkurencieschopnosti podnikateľského prostredia. </w:t>
            </w:r>
          </w:p>
          <w:p w14:paraId="22C89B65" w14:textId="77777777" w:rsidR="00076AAE" w:rsidRPr="00312406" w:rsidRDefault="00076AAE" w:rsidP="000737B2">
            <w:pPr>
              <w:contextualSpacing/>
              <w:jc w:val="both"/>
              <w:rPr>
                <w:rFonts w:eastAsia="Calibri"/>
                <w:bCs/>
                <w:sz w:val="22"/>
                <w:szCs w:val="22"/>
                <w:lang w:eastAsia="en-US"/>
              </w:rPr>
            </w:pPr>
            <w:r w:rsidRPr="00312406">
              <w:rPr>
                <w:rFonts w:eastAsia="Calibri"/>
                <w:bCs/>
                <w:sz w:val="22"/>
                <w:szCs w:val="22"/>
                <w:lang w:eastAsia="en-US"/>
              </w:rPr>
              <w:t xml:space="preserve">Zvýšenie využívania energie z OZE najmä v oblasti vykurovania a chladenia a budov si bude vyžadovať stavebné práce alebo renováciu, čo môže podporiť zvýšenie zamestnanosti v tomto sektore. Na Slovensku je tvoria malé a stredné podniky (ďalej len „MSP“) až 19,3 % firiem v oblasti stavebníctva, architektúry a stavebného inžinierstva, a preto zvyšovanie využívania OZE a energetickej efektívnosti môže mať pozitívny hospodársky účinok na MSP. Malým a stredným podnikom, ktoré nemajú zdroje na riešenie zložitých zmlúv, pomôžu národné usmernenia a rámec pre podporu dohôd o nákupe energie. </w:t>
            </w:r>
          </w:p>
          <w:p w14:paraId="04FE3595" w14:textId="77777777" w:rsidR="00076AAE" w:rsidRPr="00312406" w:rsidRDefault="00076AAE" w:rsidP="000737B2">
            <w:pPr>
              <w:contextualSpacing/>
              <w:rPr>
                <w:rFonts w:eastAsia="Calibri"/>
                <w:bCs/>
                <w:sz w:val="22"/>
                <w:szCs w:val="22"/>
                <w:lang w:eastAsia="en-US"/>
              </w:rPr>
            </w:pPr>
          </w:p>
          <w:p w14:paraId="275A37F9" w14:textId="77777777" w:rsidR="00076AAE" w:rsidRPr="00312406" w:rsidRDefault="00076AAE" w:rsidP="000737B2">
            <w:pPr>
              <w:contextualSpacing/>
              <w:rPr>
                <w:rFonts w:eastAsia="Calibri"/>
                <w:bCs/>
                <w:sz w:val="22"/>
                <w:szCs w:val="22"/>
                <w:lang w:eastAsia="en-US"/>
              </w:rPr>
            </w:pPr>
            <w:r w:rsidRPr="00312406">
              <w:rPr>
                <w:rFonts w:eastAsia="Calibri"/>
                <w:bCs/>
                <w:sz w:val="22"/>
                <w:szCs w:val="22"/>
                <w:lang w:eastAsia="en-US"/>
              </w:rPr>
              <w:t>Pozitívne vplyvy sa rovnako očakávajú v oblasti životného prostredia a sociálnych vplyvov.</w:t>
            </w:r>
          </w:p>
          <w:p w14:paraId="3DA52E79" w14:textId="77777777" w:rsidR="00076AAE" w:rsidRPr="00F83E0D" w:rsidRDefault="00076AAE" w:rsidP="000737B2">
            <w:pPr>
              <w:contextualSpacing/>
              <w:rPr>
                <w:rFonts w:eastAsia="Calibri"/>
                <w:b/>
                <w:sz w:val="22"/>
                <w:szCs w:val="22"/>
                <w:lang w:eastAsia="en-US"/>
              </w:rPr>
            </w:pPr>
          </w:p>
        </w:tc>
      </w:tr>
      <w:tr w:rsidR="00076AAE" w:rsidRPr="00F83E0D" w14:paraId="0040A29A" w14:textId="77777777" w:rsidTr="6F03B451">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BB740E0"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lastRenderedPageBreak/>
              <w:t>Kontakt na spracovateľa</w:t>
            </w:r>
          </w:p>
        </w:tc>
      </w:tr>
      <w:tr w:rsidR="00076AAE" w:rsidRPr="00F83E0D" w14:paraId="0C4A5F57" w14:textId="77777777" w:rsidTr="6F03B451">
        <w:trPr>
          <w:trHeight w:val="586"/>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AAA9D86" w14:textId="77777777" w:rsidR="00076AAE" w:rsidRPr="00F83E0D" w:rsidRDefault="00076AAE" w:rsidP="000737B2">
            <w:pPr>
              <w:rPr>
                <w:i/>
                <w:sz w:val="20"/>
                <w:szCs w:val="20"/>
              </w:rPr>
            </w:pPr>
            <w:r w:rsidRPr="00F83E0D">
              <w:rPr>
                <w:i/>
                <w:sz w:val="20"/>
                <w:szCs w:val="20"/>
              </w:rPr>
              <w:t>Uveďte údaje na kontaktnú osobu, ktorú je možné kontaktovať v súvislosti s posúdením vybraných vplyvov.</w:t>
            </w:r>
          </w:p>
          <w:p w14:paraId="0E6A04A3" w14:textId="77777777" w:rsidR="00076AAE" w:rsidRPr="00F83E0D" w:rsidRDefault="00076AAE" w:rsidP="000737B2">
            <w:pPr>
              <w:rPr>
                <w:iCs/>
                <w:sz w:val="20"/>
                <w:szCs w:val="20"/>
              </w:rPr>
            </w:pPr>
            <w:r w:rsidRPr="00F83E0D">
              <w:rPr>
                <w:iCs/>
                <w:sz w:val="20"/>
                <w:szCs w:val="20"/>
              </w:rPr>
              <w:t xml:space="preserve">Ing. Marián Nicz, HŠR, odbor palív a energetiky, </w:t>
            </w:r>
            <w:hyperlink r:id="rId8" w:history="1">
              <w:r w:rsidRPr="00F83E0D">
                <w:rPr>
                  <w:iCs/>
                  <w:color w:val="0563C1" w:themeColor="hyperlink"/>
                  <w:sz w:val="20"/>
                  <w:szCs w:val="20"/>
                  <w:u w:val="single"/>
                </w:rPr>
                <w:t>marian.nicz@mhsr.sk</w:t>
              </w:r>
            </w:hyperlink>
            <w:r>
              <w:rPr>
                <w:iCs/>
                <w:color w:val="0563C1" w:themeColor="hyperlink"/>
                <w:sz w:val="20"/>
                <w:szCs w:val="20"/>
                <w:u w:val="single"/>
              </w:rPr>
              <w:t>, tel. číslo: 02/48541912</w:t>
            </w:r>
          </w:p>
          <w:p w14:paraId="144092BF" w14:textId="77777777" w:rsidR="00076AAE" w:rsidRPr="00F83E0D" w:rsidRDefault="00076AAE" w:rsidP="000737B2">
            <w:pPr>
              <w:rPr>
                <w:iCs/>
                <w:sz w:val="20"/>
                <w:szCs w:val="20"/>
              </w:rPr>
            </w:pPr>
          </w:p>
        </w:tc>
      </w:tr>
      <w:tr w:rsidR="00076AAE" w:rsidRPr="00F83E0D" w14:paraId="33BD45C9" w14:textId="77777777" w:rsidTr="6F03B451">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1C3837B1" w14:textId="77777777" w:rsidR="00076AAE" w:rsidRPr="00F83E0D" w:rsidRDefault="00076AAE" w:rsidP="00076AAE">
            <w:pPr>
              <w:numPr>
                <w:ilvl w:val="0"/>
                <w:numId w:val="1"/>
              </w:numPr>
              <w:ind w:left="426"/>
              <w:contextualSpacing/>
              <w:rPr>
                <w:rFonts w:eastAsia="Calibri"/>
                <w:b/>
                <w:sz w:val="22"/>
                <w:szCs w:val="22"/>
                <w:lang w:eastAsia="en-US"/>
              </w:rPr>
            </w:pPr>
            <w:r w:rsidRPr="00F83E0D">
              <w:rPr>
                <w:rFonts w:eastAsia="Calibri"/>
                <w:b/>
                <w:sz w:val="22"/>
                <w:szCs w:val="22"/>
                <w:lang w:eastAsia="en-US"/>
              </w:rPr>
              <w:t>Zdroje</w:t>
            </w:r>
          </w:p>
        </w:tc>
      </w:tr>
      <w:tr w:rsidR="00076AAE" w:rsidRPr="00F83E0D" w14:paraId="29B22B0F" w14:textId="77777777" w:rsidTr="6F03B451">
        <w:trPr>
          <w:trHeight w:val="401"/>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F2B0A9B" w14:textId="77777777" w:rsidR="00076AAE" w:rsidRPr="00F83E0D" w:rsidRDefault="00076AAE" w:rsidP="000737B2">
            <w:pPr>
              <w:jc w:val="both"/>
              <w:rPr>
                <w:i/>
                <w:sz w:val="20"/>
                <w:szCs w:val="20"/>
              </w:rPr>
            </w:pPr>
            <w:r w:rsidRPr="00F83E0D">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F83E0D">
              <w:rPr>
                <w:rFonts w:eastAsia="Calibri"/>
                <w:lang w:eastAsia="en-US"/>
              </w:rPr>
              <w:t xml:space="preserve"> </w:t>
            </w:r>
          </w:p>
          <w:p w14:paraId="3142CD4D" w14:textId="77777777" w:rsidR="00076AAE" w:rsidRPr="00F83E0D" w:rsidRDefault="00076AAE" w:rsidP="000737B2">
            <w:pPr>
              <w:rPr>
                <w:i/>
                <w:sz w:val="20"/>
                <w:szCs w:val="20"/>
              </w:rPr>
            </w:pPr>
          </w:p>
          <w:p w14:paraId="6ACAD983" w14:textId="77777777" w:rsidR="00076AAE" w:rsidRPr="00281765" w:rsidRDefault="00076AAE" w:rsidP="00076AAE">
            <w:pPr>
              <w:numPr>
                <w:ilvl w:val="0"/>
                <w:numId w:val="4"/>
              </w:numPr>
              <w:contextualSpacing/>
              <w:jc w:val="both"/>
              <w:rPr>
                <w:sz w:val="22"/>
                <w:szCs w:val="22"/>
              </w:rPr>
            </w:pPr>
            <w:r w:rsidRPr="00281765">
              <w:rPr>
                <w:sz w:val="22"/>
                <w:szCs w:val="22"/>
              </w:rPr>
              <w:t>Pracovný dokument útvarov Komisie č. SWD(2021)622final z 14.7.2021 - Zhrnutie správy o posúdení vplyvu - Sprievodný dokument Návrh smernice Európskeho parlamentu a Rady, ktorou sa mení smernica Európskeho parlamentu a Rady (EÚ) 2018/2001, nariadenie Európskeho parlamentu a Rady (EÚ) 2018/1999 a smernica Európskeho parlamentu a Rady (EÚ) 98/70/ES, pokiaľ ide o podporu energie z obnoviteľných zdrojov, a ktorou sa zrušuje smernica Rady (EÚ) 2015/652;</w:t>
            </w:r>
          </w:p>
          <w:p w14:paraId="03076EEE" w14:textId="77777777" w:rsidR="00076AAE" w:rsidRPr="00281765" w:rsidRDefault="00076AAE" w:rsidP="00076AAE">
            <w:pPr>
              <w:numPr>
                <w:ilvl w:val="0"/>
                <w:numId w:val="4"/>
              </w:numPr>
              <w:contextualSpacing/>
              <w:jc w:val="both"/>
              <w:rPr>
                <w:sz w:val="22"/>
                <w:szCs w:val="22"/>
              </w:rPr>
            </w:pPr>
            <w:r w:rsidRPr="00281765">
              <w:rPr>
                <w:sz w:val="22"/>
                <w:szCs w:val="22"/>
              </w:rPr>
              <w:t xml:space="preserve">Slovensko a </w:t>
            </w:r>
            <w:proofErr w:type="spellStart"/>
            <w:r w:rsidRPr="00281765">
              <w:rPr>
                <w:sz w:val="22"/>
                <w:szCs w:val="22"/>
              </w:rPr>
              <w:t>elektromobilita</w:t>
            </w:r>
            <w:proofErr w:type="spellEnd"/>
            <w:r w:rsidRPr="00281765">
              <w:rPr>
                <w:sz w:val="22"/>
                <w:szCs w:val="22"/>
              </w:rPr>
              <w:t xml:space="preserve"> 2023, Slovak Electric </w:t>
            </w:r>
            <w:proofErr w:type="spellStart"/>
            <w:r w:rsidRPr="00281765">
              <w:rPr>
                <w:sz w:val="22"/>
                <w:szCs w:val="22"/>
              </w:rPr>
              <w:t>Vehicle</w:t>
            </w:r>
            <w:proofErr w:type="spellEnd"/>
            <w:r w:rsidRPr="00281765">
              <w:rPr>
                <w:sz w:val="22"/>
                <w:szCs w:val="22"/>
              </w:rPr>
              <w:t xml:space="preserve"> Association;</w:t>
            </w:r>
          </w:p>
          <w:p w14:paraId="4F374925" w14:textId="77777777" w:rsidR="00076AAE" w:rsidRPr="00281765" w:rsidRDefault="00076AAE" w:rsidP="00076AAE">
            <w:pPr>
              <w:numPr>
                <w:ilvl w:val="0"/>
                <w:numId w:val="4"/>
              </w:numPr>
              <w:contextualSpacing/>
              <w:jc w:val="both"/>
              <w:rPr>
                <w:sz w:val="22"/>
                <w:szCs w:val="22"/>
              </w:rPr>
            </w:pPr>
            <w:r w:rsidRPr="00281765">
              <w:rPr>
                <w:sz w:val="22"/>
                <w:szCs w:val="22"/>
              </w:rPr>
              <w:t>Ročný report o trhu s elektrinou, 2023, OKTE;</w:t>
            </w:r>
          </w:p>
          <w:p w14:paraId="16FE027D" w14:textId="77777777" w:rsidR="00076AAE" w:rsidRPr="00F83E0D" w:rsidRDefault="00076AAE" w:rsidP="00076AAE">
            <w:pPr>
              <w:numPr>
                <w:ilvl w:val="0"/>
                <w:numId w:val="4"/>
              </w:numPr>
              <w:contextualSpacing/>
              <w:jc w:val="both"/>
              <w:rPr>
                <w:b/>
                <w:sz w:val="20"/>
                <w:szCs w:val="20"/>
              </w:rPr>
            </w:pPr>
            <w:r w:rsidRPr="00281765">
              <w:rPr>
                <w:sz w:val="22"/>
                <w:szCs w:val="22"/>
              </w:rPr>
              <w:t xml:space="preserve">RED III and </w:t>
            </w:r>
            <w:proofErr w:type="spellStart"/>
            <w:r w:rsidRPr="00281765">
              <w:rPr>
                <w:sz w:val="22"/>
                <w:szCs w:val="22"/>
              </w:rPr>
              <w:t>renewable</w:t>
            </w:r>
            <w:proofErr w:type="spellEnd"/>
            <w:r w:rsidRPr="00281765">
              <w:rPr>
                <w:sz w:val="22"/>
                <w:szCs w:val="22"/>
              </w:rPr>
              <w:t xml:space="preserve"> </w:t>
            </w:r>
            <w:proofErr w:type="spellStart"/>
            <w:r w:rsidRPr="00281765">
              <w:rPr>
                <w:sz w:val="22"/>
                <w:szCs w:val="22"/>
              </w:rPr>
              <w:t>electricity</w:t>
            </w:r>
            <w:proofErr w:type="spellEnd"/>
            <w:r w:rsidRPr="00281765">
              <w:rPr>
                <w:sz w:val="22"/>
                <w:szCs w:val="22"/>
              </w:rPr>
              <w:t xml:space="preserve">: Best </w:t>
            </w:r>
            <w:proofErr w:type="spellStart"/>
            <w:r w:rsidRPr="00281765">
              <w:rPr>
                <w:sz w:val="22"/>
                <w:szCs w:val="22"/>
              </w:rPr>
              <w:t>practices</w:t>
            </w:r>
            <w:proofErr w:type="spellEnd"/>
            <w:r w:rsidRPr="00281765">
              <w:rPr>
                <w:sz w:val="22"/>
                <w:szCs w:val="22"/>
              </w:rPr>
              <w:t xml:space="preserve"> </w:t>
            </w:r>
            <w:proofErr w:type="spellStart"/>
            <w:r w:rsidRPr="00281765">
              <w:rPr>
                <w:sz w:val="22"/>
                <w:szCs w:val="22"/>
              </w:rPr>
              <w:t>for</w:t>
            </w:r>
            <w:proofErr w:type="spellEnd"/>
            <w:r w:rsidRPr="00281765">
              <w:rPr>
                <w:sz w:val="22"/>
                <w:szCs w:val="22"/>
              </w:rPr>
              <w:t xml:space="preserve"> </w:t>
            </w:r>
            <w:proofErr w:type="spellStart"/>
            <w:r w:rsidRPr="00281765">
              <w:rPr>
                <w:sz w:val="22"/>
                <w:szCs w:val="22"/>
              </w:rPr>
              <w:t>crediting</w:t>
            </w:r>
            <w:proofErr w:type="spellEnd"/>
            <w:r w:rsidRPr="00281765">
              <w:rPr>
                <w:sz w:val="22"/>
                <w:szCs w:val="22"/>
              </w:rPr>
              <w:t xml:space="preserve"> </w:t>
            </w:r>
            <w:proofErr w:type="spellStart"/>
            <w:r w:rsidRPr="00281765">
              <w:rPr>
                <w:sz w:val="22"/>
                <w:szCs w:val="22"/>
              </w:rPr>
              <w:t>renewable</w:t>
            </w:r>
            <w:proofErr w:type="spellEnd"/>
            <w:r w:rsidRPr="00281765">
              <w:rPr>
                <w:sz w:val="22"/>
                <w:szCs w:val="22"/>
              </w:rPr>
              <w:t xml:space="preserve"> </w:t>
            </w:r>
            <w:proofErr w:type="spellStart"/>
            <w:r w:rsidRPr="00281765">
              <w:rPr>
                <w:sz w:val="22"/>
                <w:szCs w:val="22"/>
              </w:rPr>
              <w:t>electricity</w:t>
            </w:r>
            <w:proofErr w:type="spellEnd"/>
            <w:r w:rsidRPr="00281765">
              <w:rPr>
                <w:sz w:val="22"/>
                <w:szCs w:val="22"/>
              </w:rPr>
              <w:t xml:space="preserve"> as a transport </w:t>
            </w:r>
            <w:proofErr w:type="spellStart"/>
            <w:r w:rsidRPr="00281765">
              <w:rPr>
                <w:sz w:val="22"/>
                <w:szCs w:val="22"/>
              </w:rPr>
              <w:t>fuel</w:t>
            </w:r>
            <w:proofErr w:type="spellEnd"/>
            <w:r w:rsidRPr="00281765">
              <w:rPr>
                <w:sz w:val="22"/>
                <w:szCs w:val="22"/>
              </w:rPr>
              <w:t xml:space="preserve"> </w:t>
            </w:r>
            <w:proofErr w:type="spellStart"/>
            <w:r w:rsidRPr="00281765">
              <w:rPr>
                <w:sz w:val="22"/>
                <w:szCs w:val="22"/>
              </w:rPr>
              <w:t>under</w:t>
            </w:r>
            <w:proofErr w:type="spellEnd"/>
            <w:r w:rsidRPr="00281765">
              <w:rPr>
                <w:sz w:val="22"/>
                <w:szCs w:val="22"/>
              </w:rPr>
              <w:t xml:space="preserve"> </w:t>
            </w:r>
            <w:proofErr w:type="spellStart"/>
            <w:r w:rsidRPr="00281765">
              <w:rPr>
                <w:sz w:val="22"/>
                <w:szCs w:val="22"/>
              </w:rPr>
              <w:t>the</w:t>
            </w:r>
            <w:proofErr w:type="spellEnd"/>
            <w:r w:rsidRPr="00281765">
              <w:rPr>
                <w:sz w:val="22"/>
                <w:szCs w:val="22"/>
              </w:rPr>
              <w:t xml:space="preserve"> </w:t>
            </w:r>
            <w:proofErr w:type="spellStart"/>
            <w:r w:rsidRPr="00281765">
              <w:rPr>
                <w:sz w:val="22"/>
                <w:szCs w:val="22"/>
              </w:rPr>
              <w:t>Renewable</w:t>
            </w:r>
            <w:proofErr w:type="spellEnd"/>
            <w:r w:rsidRPr="00281765">
              <w:rPr>
                <w:sz w:val="22"/>
                <w:szCs w:val="22"/>
              </w:rPr>
              <w:t xml:space="preserve"> Energy </w:t>
            </w:r>
            <w:proofErr w:type="spellStart"/>
            <w:r w:rsidRPr="00281765">
              <w:rPr>
                <w:sz w:val="22"/>
                <w:szCs w:val="22"/>
              </w:rPr>
              <w:t>Directive</w:t>
            </w:r>
            <w:proofErr w:type="spellEnd"/>
            <w:r w:rsidRPr="00281765">
              <w:rPr>
                <w:sz w:val="22"/>
                <w:szCs w:val="22"/>
              </w:rPr>
              <w:t xml:space="preserve">, 2023, </w:t>
            </w:r>
            <w:proofErr w:type="spellStart"/>
            <w:r w:rsidRPr="00281765">
              <w:rPr>
                <w:sz w:val="22"/>
                <w:szCs w:val="22"/>
              </w:rPr>
              <w:t>European</w:t>
            </w:r>
            <w:proofErr w:type="spellEnd"/>
            <w:r w:rsidRPr="00281765">
              <w:rPr>
                <w:sz w:val="22"/>
                <w:szCs w:val="22"/>
              </w:rPr>
              <w:t xml:space="preserve"> </w:t>
            </w:r>
            <w:proofErr w:type="spellStart"/>
            <w:r w:rsidRPr="00281765">
              <w:rPr>
                <w:sz w:val="22"/>
                <w:szCs w:val="22"/>
              </w:rPr>
              <w:t>Federation</w:t>
            </w:r>
            <w:proofErr w:type="spellEnd"/>
            <w:r w:rsidRPr="00281765">
              <w:rPr>
                <w:sz w:val="22"/>
                <w:szCs w:val="22"/>
              </w:rPr>
              <w:t xml:space="preserve"> </w:t>
            </w:r>
            <w:proofErr w:type="spellStart"/>
            <w:r w:rsidRPr="00281765">
              <w:rPr>
                <w:sz w:val="22"/>
                <w:szCs w:val="22"/>
              </w:rPr>
              <w:t>for</w:t>
            </w:r>
            <w:proofErr w:type="spellEnd"/>
            <w:r w:rsidRPr="00281765">
              <w:rPr>
                <w:sz w:val="22"/>
                <w:szCs w:val="22"/>
              </w:rPr>
              <w:t xml:space="preserve"> Transport and </w:t>
            </w:r>
            <w:proofErr w:type="spellStart"/>
            <w:r w:rsidRPr="00281765">
              <w:rPr>
                <w:sz w:val="22"/>
                <w:szCs w:val="22"/>
              </w:rPr>
              <w:t>Environment</w:t>
            </w:r>
            <w:proofErr w:type="spellEnd"/>
            <w:r w:rsidRPr="00281765">
              <w:rPr>
                <w:sz w:val="22"/>
                <w:szCs w:val="22"/>
              </w:rPr>
              <w:t>.</w:t>
            </w:r>
            <w:r w:rsidRPr="00D60E4D">
              <w:rPr>
                <w:b/>
                <w:sz w:val="22"/>
                <w:szCs w:val="22"/>
              </w:rPr>
              <w:t xml:space="preserve"> </w:t>
            </w:r>
          </w:p>
        </w:tc>
      </w:tr>
      <w:tr w:rsidR="00076AAE" w:rsidRPr="00F83E0D" w14:paraId="0D5775EB" w14:textId="77777777" w:rsidTr="6F03B451">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32ABA63" w14:textId="77777777" w:rsidR="00076AAE" w:rsidRPr="00F83E0D" w:rsidRDefault="00076AAE" w:rsidP="6F03B451">
            <w:pPr>
              <w:numPr>
                <w:ilvl w:val="0"/>
                <w:numId w:val="1"/>
              </w:numPr>
              <w:ind w:left="447" w:hanging="425"/>
              <w:contextualSpacing/>
              <w:rPr>
                <w:rFonts w:eastAsia="Calibri"/>
                <w:b/>
                <w:bCs/>
                <w:sz w:val="22"/>
                <w:szCs w:val="22"/>
                <w:lang w:eastAsia="en-US"/>
              </w:rPr>
            </w:pPr>
            <w:r w:rsidRPr="6F03B451">
              <w:rPr>
                <w:rFonts w:eastAsia="Calibri"/>
                <w:b/>
                <w:bCs/>
                <w:sz w:val="22"/>
                <w:szCs w:val="22"/>
                <w:lang w:eastAsia="en-US"/>
              </w:rPr>
              <w:t xml:space="preserve">Stanovisko Komisie na posudzovanie vybraných vplyvov z PPK č. </w:t>
            </w:r>
            <w:r w:rsidR="6DD9244F" w:rsidRPr="6F03B451">
              <w:rPr>
                <w:rFonts w:eastAsia="Calibri"/>
                <w:b/>
                <w:bCs/>
                <w:sz w:val="22"/>
                <w:szCs w:val="22"/>
                <w:lang w:eastAsia="en-US"/>
              </w:rPr>
              <w:t>015/2025</w:t>
            </w:r>
            <w:r w:rsidRPr="6F03B451">
              <w:rPr>
                <w:rFonts w:ascii="Calibri" w:eastAsia="Calibri" w:hAnsi="Calibri"/>
                <w:sz w:val="22"/>
                <w:szCs w:val="22"/>
                <w:lang w:eastAsia="en-US"/>
              </w:rPr>
              <w:t xml:space="preserve"> </w:t>
            </w:r>
          </w:p>
          <w:p w14:paraId="093D3CF0" w14:textId="77777777" w:rsidR="00076AAE" w:rsidRPr="00F83E0D" w:rsidRDefault="00076AAE" w:rsidP="000737B2">
            <w:pPr>
              <w:ind w:left="502"/>
              <w:rPr>
                <w:b/>
                <w:sz w:val="20"/>
                <w:szCs w:val="20"/>
              </w:rPr>
            </w:pPr>
            <w:r w:rsidRPr="00F83E0D">
              <w:rPr>
                <w:rFonts w:eastAsia="Calibri"/>
                <w:sz w:val="22"/>
                <w:szCs w:val="22"/>
                <w:lang w:eastAsia="en-US"/>
              </w:rPr>
              <w:t>(v prípade, ak sa uskutočnilo v zmysle bodu 8.1 Jednotnej metodiky)</w:t>
            </w:r>
          </w:p>
        </w:tc>
      </w:tr>
      <w:tr w:rsidR="00076AAE" w:rsidRPr="00F83E0D" w14:paraId="219789C6" w14:textId="77777777" w:rsidTr="6F03B451">
        <w:trPr>
          <w:trHeight w:val="70"/>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F536AB8" w14:textId="77777777" w:rsidR="00076AAE" w:rsidRPr="00F83E0D" w:rsidRDefault="00076AAE" w:rsidP="002529B5">
            <w:pPr>
              <w:jc w:val="both"/>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76AAE" w:rsidRPr="00F83E0D" w14:paraId="5E505515" w14:textId="77777777" w:rsidTr="6F03B451">
              <w:trPr>
                <w:trHeight w:val="396"/>
              </w:trPr>
              <w:tc>
                <w:tcPr>
                  <w:tcW w:w="2552" w:type="dxa"/>
                </w:tcPr>
                <w:p w14:paraId="6E321771" w14:textId="77777777" w:rsidR="00076AAE" w:rsidRPr="00F83E0D" w:rsidRDefault="002529B5" w:rsidP="002529B5">
                  <w:pPr>
                    <w:jc w:val="both"/>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3E0555">
                        <w:rPr>
                          <w:rFonts w:ascii="MS Gothic" w:eastAsia="MS Gothic" w:hAnsi="MS Gothic" w:hint="eastAsia"/>
                          <w:b/>
                          <w:sz w:val="20"/>
                          <w:szCs w:val="20"/>
                        </w:rPr>
                        <w:t>☐</w:t>
                      </w:r>
                    </w:sdtContent>
                  </w:sdt>
                  <w:r w:rsidR="00076AAE" w:rsidRPr="00F83E0D">
                    <w:rPr>
                      <w:b/>
                      <w:sz w:val="20"/>
                      <w:szCs w:val="20"/>
                    </w:rPr>
                    <w:t xml:space="preserve">  Súhlasné </w:t>
                  </w:r>
                </w:p>
              </w:tc>
              <w:tc>
                <w:tcPr>
                  <w:tcW w:w="3827" w:type="dxa"/>
                </w:tcPr>
                <w:p w14:paraId="12BA3AF9" w14:textId="77777777" w:rsidR="00076AAE" w:rsidRPr="00F83E0D" w:rsidRDefault="002529B5" w:rsidP="002529B5">
                  <w:pPr>
                    <w:jc w:val="both"/>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Súhlasné s návrhom na dopracovanie</w:t>
                  </w:r>
                </w:p>
              </w:tc>
              <w:tc>
                <w:tcPr>
                  <w:tcW w:w="2534" w:type="dxa"/>
                </w:tcPr>
                <w:p w14:paraId="0D750BBF" w14:textId="77777777" w:rsidR="00076AAE" w:rsidRPr="00F83E0D" w:rsidRDefault="002529B5" w:rsidP="002529B5">
                  <w:pPr>
                    <w:ind w:right="459"/>
                    <w:jc w:val="both"/>
                    <w:rPr>
                      <w:b/>
                      <w:bCs/>
                      <w:sz w:val="20"/>
                      <w:szCs w:val="20"/>
                    </w:rPr>
                  </w:pPr>
                  <w:sdt>
                    <w:sdtPr>
                      <w:rPr>
                        <w:b/>
                        <w:bCs/>
                        <w:sz w:val="20"/>
                        <w:szCs w:val="20"/>
                      </w:rPr>
                      <w:id w:val="-647822913"/>
                      <w14:checkbox>
                        <w14:checked w14:val="1"/>
                        <w14:checkedState w14:val="2612" w14:font="MS Gothic"/>
                        <w14:uncheckedState w14:val="2610" w14:font="MS Gothic"/>
                      </w14:checkbox>
                    </w:sdtPr>
                    <w:sdtEndPr/>
                    <w:sdtContent>
                      <w:r w:rsidR="1E330268" w:rsidRPr="6F03B451">
                        <w:rPr>
                          <w:rFonts w:eastAsia="MS Gothic"/>
                          <w:b/>
                          <w:bCs/>
                          <w:sz w:val="20"/>
                          <w:szCs w:val="20"/>
                        </w:rPr>
                        <w:t>☒</w:t>
                      </w:r>
                    </w:sdtContent>
                  </w:sdt>
                  <w:r w:rsidR="00076AAE" w:rsidRPr="6F03B451">
                    <w:rPr>
                      <w:b/>
                      <w:bCs/>
                      <w:sz w:val="20"/>
                      <w:szCs w:val="20"/>
                    </w:rPr>
                    <w:t xml:space="preserve">  Nesúhlasné</w:t>
                  </w:r>
                </w:p>
              </w:tc>
            </w:tr>
          </w:tbl>
          <w:p w14:paraId="4ADCF765" w14:textId="77777777" w:rsidR="00076AAE" w:rsidRPr="00F83E0D" w:rsidRDefault="00076AAE" w:rsidP="002529B5">
            <w:pPr>
              <w:jc w:val="both"/>
              <w:rPr>
                <w:b/>
                <w:sz w:val="20"/>
                <w:szCs w:val="20"/>
              </w:rPr>
            </w:pPr>
            <w:r w:rsidRPr="00F83E0D">
              <w:rPr>
                <w:b/>
                <w:sz w:val="20"/>
                <w:szCs w:val="20"/>
              </w:rPr>
              <w:t>Uveďte pripomienky zo stanoviska Komisie z časti II. spolu s Vaším vyhodnotením:</w:t>
            </w:r>
          </w:p>
          <w:p w14:paraId="1A0BC5B2" w14:textId="77777777" w:rsidR="00076AAE" w:rsidRPr="00F83E0D" w:rsidRDefault="00076AAE" w:rsidP="002529B5">
            <w:pPr>
              <w:jc w:val="both"/>
              <w:rPr>
                <w:b/>
                <w:bCs/>
                <w:sz w:val="20"/>
                <w:szCs w:val="20"/>
              </w:rPr>
            </w:pPr>
          </w:p>
          <w:p w14:paraId="50ABF5A3" w14:textId="77777777" w:rsidR="300B721E" w:rsidRDefault="300B721E" w:rsidP="002529B5">
            <w:pPr>
              <w:jc w:val="both"/>
              <w:rPr>
                <w:b/>
                <w:bCs/>
                <w:sz w:val="20"/>
                <w:szCs w:val="20"/>
              </w:rPr>
            </w:pPr>
            <w:r w:rsidRPr="6F03B451">
              <w:rPr>
                <w:b/>
                <w:bCs/>
                <w:sz w:val="20"/>
                <w:szCs w:val="20"/>
              </w:rPr>
              <w:t>Všeobecne</w:t>
            </w:r>
          </w:p>
          <w:p w14:paraId="6FFB3BFD" w14:textId="77777777" w:rsidR="300B721E" w:rsidRPr="001B4FEA" w:rsidRDefault="300B721E" w:rsidP="002529B5">
            <w:pPr>
              <w:jc w:val="both"/>
              <w:rPr>
                <w:sz w:val="20"/>
                <w:szCs w:val="20"/>
              </w:rPr>
            </w:pPr>
            <w:r w:rsidRPr="001B4FEA">
              <w:rPr>
                <w:sz w:val="20"/>
                <w:szCs w:val="20"/>
              </w:rPr>
              <w:t>Komisia upozorňuje, že predložený materiál neobsahuje predkladaciu správu, čo je potrebné v ďalšej fáze legislatívneho procesu doplniť.</w:t>
            </w:r>
          </w:p>
          <w:p w14:paraId="14394795" w14:textId="77777777" w:rsidR="300B721E" w:rsidRDefault="300B721E" w:rsidP="002529B5">
            <w:pPr>
              <w:jc w:val="both"/>
              <w:rPr>
                <w:b/>
                <w:bCs/>
                <w:sz w:val="20"/>
                <w:szCs w:val="20"/>
              </w:rPr>
            </w:pPr>
            <w:r w:rsidRPr="6F03B451">
              <w:rPr>
                <w:b/>
                <w:bCs/>
                <w:sz w:val="20"/>
                <w:szCs w:val="20"/>
              </w:rPr>
              <w:t xml:space="preserve"> </w:t>
            </w:r>
          </w:p>
          <w:p w14:paraId="747BDD8B" w14:textId="77777777" w:rsidR="300B721E" w:rsidRPr="001B4FEA" w:rsidRDefault="300B721E" w:rsidP="002529B5">
            <w:pPr>
              <w:jc w:val="both"/>
              <w:rPr>
                <w:sz w:val="20"/>
                <w:szCs w:val="20"/>
                <w:u w:val="single"/>
              </w:rPr>
            </w:pPr>
            <w:r w:rsidRPr="001B4FEA">
              <w:rPr>
                <w:sz w:val="20"/>
                <w:szCs w:val="20"/>
                <w:u w:val="single"/>
              </w:rPr>
              <w:t>Vyjadrenie MH SR:</w:t>
            </w:r>
          </w:p>
          <w:p w14:paraId="4EEF0319" w14:textId="77777777" w:rsidR="300B721E" w:rsidRPr="001B4FEA" w:rsidRDefault="300B721E" w:rsidP="002529B5">
            <w:pPr>
              <w:jc w:val="both"/>
              <w:rPr>
                <w:sz w:val="20"/>
                <w:szCs w:val="20"/>
              </w:rPr>
            </w:pPr>
            <w:r w:rsidRPr="001B4FEA">
              <w:rPr>
                <w:sz w:val="20"/>
                <w:szCs w:val="20"/>
              </w:rPr>
              <w:t xml:space="preserve">Predkladacia správa bola doplnená. </w:t>
            </w:r>
          </w:p>
          <w:p w14:paraId="4256BB9C" w14:textId="77777777" w:rsidR="300B721E" w:rsidRDefault="300B721E" w:rsidP="002529B5">
            <w:pPr>
              <w:jc w:val="both"/>
              <w:rPr>
                <w:b/>
                <w:bCs/>
                <w:sz w:val="20"/>
                <w:szCs w:val="20"/>
              </w:rPr>
            </w:pPr>
            <w:r w:rsidRPr="6F03B451">
              <w:rPr>
                <w:b/>
                <w:bCs/>
                <w:sz w:val="20"/>
                <w:szCs w:val="20"/>
              </w:rPr>
              <w:t xml:space="preserve"> </w:t>
            </w:r>
          </w:p>
          <w:p w14:paraId="14682E3C" w14:textId="77777777" w:rsidR="300B721E" w:rsidRDefault="300B721E" w:rsidP="002529B5">
            <w:pPr>
              <w:jc w:val="both"/>
              <w:rPr>
                <w:b/>
                <w:bCs/>
                <w:sz w:val="20"/>
                <w:szCs w:val="20"/>
              </w:rPr>
            </w:pPr>
            <w:r w:rsidRPr="6F03B451">
              <w:rPr>
                <w:b/>
                <w:bCs/>
                <w:sz w:val="20"/>
                <w:szCs w:val="20"/>
              </w:rPr>
              <w:t>K vplyvom na podnikateľské prostredie</w:t>
            </w:r>
          </w:p>
          <w:p w14:paraId="7BC2701C" w14:textId="77777777" w:rsidR="300B721E" w:rsidRPr="001B4FEA" w:rsidRDefault="300B721E" w:rsidP="002529B5">
            <w:pPr>
              <w:jc w:val="both"/>
              <w:rPr>
                <w:sz w:val="20"/>
                <w:szCs w:val="20"/>
              </w:rPr>
            </w:pPr>
            <w:r w:rsidRPr="001B4FEA">
              <w:rPr>
                <w:sz w:val="20"/>
                <w:szCs w:val="20"/>
              </w:rPr>
              <w:t>Komisia si dovoľuje predkladateľa upozorniť na doplnenie a doloženie aj Kalkulačky nákladov, ktorá má byť súčasťou Analýzy vplyvov na podnikateľské prostredie.</w:t>
            </w:r>
          </w:p>
          <w:p w14:paraId="6D53EAD7" w14:textId="77777777" w:rsidR="300B721E" w:rsidRDefault="300B721E" w:rsidP="002529B5">
            <w:pPr>
              <w:jc w:val="both"/>
              <w:rPr>
                <w:b/>
                <w:bCs/>
                <w:sz w:val="20"/>
                <w:szCs w:val="20"/>
              </w:rPr>
            </w:pPr>
            <w:r w:rsidRPr="6F03B451">
              <w:rPr>
                <w:b/>
                <w:bCs/>
                <w:sz w:val="20"/>
                <w:szCs w:val="20"/>
              </w:rPr>
              <w:t xml:space="preserve"> </w:t>
            </w:r>
          </w:p>
          <w:p w14:paraId="47651FEF" w14:textId="77777777" w:rsidR="300B721E" w:rsidRPr="001B4FEA" w:rsidRDefault="300B721E" w:rsidP="002529B5">
            <w:pPr>
              <w:jc w:val="both"/>
              <w:rPr>
                <w:sz w:val="20"/>
                <w:szCs w:val="20"/>
                <w:u w:val="single"/>
              </w:rPr>
            </w:pPr>
            <w:r w:rsidRPr="001B4FEA">
              <w:rPr>
                <w:sz w:val="20"/>
                <w:szCs w:val="20"/>
                <w:u w:val="single"/>
              </w:rPr>
              <w:t>Vyjadrenie MH SR:</w:t>
            </w:r>
          </w:p>
          <w:p w14:paraId="0D86E7F9" w14:textId="77777777" w:rsidR="300B721E" w:rsidRPr="001B4FEA" w:rsidRDefault="300B721E" w:rsidP="002529B5">
            <w:pPr>
              <w:jc w:val="both"/>
              <w:rPr>
                <w:sz w:val="20"/>
                <w:szCs w:val="20"/>
              </w:rPr>
            </w:pPr>
            <w:r w:rsidRPr="001B4FEA">
              <w:rPr>
                <w:sz w:val="20"/>
                <w:szCs w:val="20"/>
              </w:rPr>
              <w:lastRenderedPageBreak/>
              <w:t>Kalkulačka nákladov bola doplnená.</w:t>
            </w:r>
          </w:p>
          <w:p w14:paraId="0B7DEE43" w14:textId="77777777" w:rsidR="300B721E" w:rsidRDefault="300B721E" w:rsidP="002529B5">
            <w:pPr>
              <w:jc w:val="both"/>
              <w:rPr>
                <w:b/>
                <w:bCs/>
                <w:sz w:val="20"/>
                <w:szCs w:val="20"/>
              </w:rPr>
            </w:pPr>
            <w:r w:rsidRPr="6F03B451">
              <w:rPr>
                <w:b/>
                <w:bCs/>
                <w:sz w:val="20"/>
                <w:szCs w:val="20"/>
              </w:rPr>
              <w:t xml:space="preserve"> </w:t>
            </w:r>
          </w:p>
          <w:p w14:paraId="792A39A8" w14:textId="77777777" w:rsidR="300B721E" w:rsidRDefault="300B721E" w:rsidP="002529B5">
            <w:pPr>
              <w:jc w:val="both"/>
              <w:rPr>
                <w:b/>
                <w:bCs/>
                <w:sz w:val="20"/>
                <w:szCs w:val="20"/>
              </w:rPr>
            </w:pPr>
            <w:r w:rsidRPr="6F03B451">
              <w:rPr>
                <w:b/>
                <w:bCs/>
                <w:sz w:val="20"/>
                <w:szCs w:val="20"/>
              </w:rPr>
              <w:t>K vplyvom na rozpočet verejnej správy</w:t>
            </w:r>
          </w:p>
          <w:p w14:paraId="63F2E082" w14:textId="77777777" w:rsidR="300B721E" w:rsidRPr="001B4FEA" w:rsidRDefault="300B721E" w:rsidP="002529B5">
            <w:pPr>
              <w:jc w:val="both"/>
              <w:rPr>
                <w:sz w:val="20"/>
                <w:szCs w:val="20"/>
              </w:rPr>
            </w:pPr>
            <w:r w:rsidRPr="001B4FEA">
              <w:rPr>
                <w:sz w:val="20"/>
                <w:szCs w:val="20"/>
              </w:rPr>
              <w:t xml:space="preserve">V doložke vybraných vplyvov je označený negatívny, rozpočtovo nezabezpečený vplyv na rozpočet verejnej správy, žiadny vplyv na rozpočet VÚC a obcí a žiadny vplyv na limit verejných výdavkov. V analýze vplyvov v tabuľke č. 1/A nie sú v záhlaví uvedené rozpočtové roky, je kvantifikovaný nárast výdavkov v sume 52 tis. eur ročne a zvýšenie limitu počtu zamestnancov o 2 osoby v súvislosti s výkonom nových kompetencií Slovenskej obchodnej inšpekcie a Hlavného banského úradu. Z technického hľadiska je potrebné uviesť v tabuľkách č. 1/A, č. 4/A </w:t>
            </w:r>
            <w:proofErr w:type="spellStart"/>
            <w:r w:rsidRPr="001B4FEA">
              <w:rPr>
                <w:sz w:val="20"/>
                <w:szCs w:val="20"/>
              </w:rPr>
              <w:t>a</w:t>
            </w:r>
            <w:proofErr w:type="spellEnd"/>
            <w:r w:rsidRPr="001B4FEA">
              <w:rPr>
                <w:sz w:val="20"/>
                <w:szCs w:val="20"/>
              </w:rPr>
              <w:t xml:space="preserve"> č. 5 jednotlivé rozpočtové roky, v časti Vplyv na mzdové výdavky je potrebné uvádzať iba výdavky na mzdy (nie osobné výdavky) a v tabuľkách č. 5 je potrebné v riadkoch Priemerný mzdový výdavok uvádzať priemerný mesačný mzdový výdavok. Negatívny vplyv na limit počtu zamestnancov a rozpočet osobných výdavkov súvisiaci s prijatím návrhu zákona Komisia žiada zabezpečiť v rámci schválených limitov dotknutých subjektov verejnej správy na príslušné rozpočtové roky, bez negatívneho vplyvu na rozpočet verejnej správy. V nadväznosti na uvedené je potrebné predmetný vplyv doplniť do časti Financovanie zabezpečené v rozpočte a v doložke vybraných vplyvov uviesť rozpočtovo zabezpečený vplyv. Zároveň Komisia žiada dodržať celkový limit verejných výdavkov na príslušný rozpočtový rok schválený uznesením Národnej rady SR č. 699 z 3. decembra 2024. </w:t>
            </w:r>
          </w:p>
          <w:p w14:paraId="779BCC71" w14:textId="77777777" w:rsidR="300B721E" w:rsidRDefault="300B721E" w:rsidP="002529B5">
            <w:pPr>
              <w:jc w:val="both"/>
              <w:rPr>
                <w:b/>
                <w:bCs/>
                <w:sz w:val="20"/>
                <w:szCs w:val="20"/>
              </w:rPr>
            </w:pPr>
            <w:r w:rsidRPr="6F03B451">
              <w:rPr>
                <w:b/>
                <w:bCs/>
                <w:sz w:val="20"/>
                <w:szCs w:val="20"/>
              </w:rPr>
              <w:t xml:space="preserve"> </w:t>
            </w:r>
          </w:p>
          <w:p w14:paraId="2EFEF680" w14:textId="77777777" w:rsidR="300B721E" w:rsidRPr="001B4FEA" w:rsidRDefault="300B721E" w:rsidP="002529B5">
            <w:pPr>
              <w:jc w:val="both"/>
              <w:rPr>
                <w:sz w:val="20"/>
                <w:szCs w:val="20"/>
                <w:u w:val="single"/>
              </w:rPr>
            </w:pPr>
            <w:r w:rsidRPr="001B4FEA">
              <w:rPr>
                <w:sz w:val="20"/>
                <w:szCs w:val="20"/>
                <w:u w:val="single"/>
              </w:rPr>
              <w:t>Vyjadrenie MH SR:</w:t>
            </w:r>
          </w:p>
          <w:p w14:paraId="6E9A0748" w14:textId="5B54FBAE" w:rsidR="00D817CD" w:rsidRDefault="00D817CD" w:rsidP="002529B5">
            <w:pPr>
              <w:jc w:val="both"/>
              <w:rPr>
                <w:sz w:val="20"/>
                <w:szCs w:val="20"/>
              </w:rPr>
            </w:pPr>
          </w:p>
          <w:p w14:paraId="06435243" w14:textId="1CF3904E" w:rsidR="300B721E" w:rsidRPr="001B4FEA" w:rsidRDefault="00D817CD" w:rsidP="002529B5">
            <w:pPr>
              <w:jc w:val="both"/>
              <w:rPr>
                <w:sz w:val="20"/>
                <w:szCs w:val="20"/>
              </w:rPr>
            </w:pPr>
            <w:r>
              <w:rPr>
                <w:sz w:val="20"/>
                <w:szCs w:val="20"/>
              </w:rPr>
              <w:t>Na základe zásadnej pripomienky MF SR, ktorá bola vznesená v rámci MPK a v súvislosti s jej vysporiadaním bude materiál do ďalšieho legislatívneho procesu predložený v podobe, že nebude mať žiadny vplyv na rozpočet verejnej správy</w:t>
            </w:r>
            <w:r w:rsidR="300B721E" w:rsidRPr="001B4FEA">
              <w:rPr>
                <w:sz w:val="20"/>
                <w:szCs w:val="20"/>
              </w:rPr>
              <w:t>.</w:t>
            </w:r>
          </w:p>
          <w:p w14:paraId="5FB78BEF" w14:textId="77777777" w:rsidR="300B721E" w:rsidRDefault="300B721E" w:rsidP="002529B5">
            <w:pPr>
              <w:jc w:val="both"/>
              <w:rPr>
                <w:b/>
                <w:bCs/>
                <w:sz w:val="20"/>
                <w:szCs w:val="20"/>
              </w:rPr>
            </w:pPr>
            <w:r w:rsidRPr="6F03B451">
              <w:rPr>
                <w:b/>
                <w:bCs/>
                <w:sz w:val="20"/>
                <w:szCs w:val="20"/>
              </w:rPr>
              <w:t xml:space="preserve"> </w:t>
            </w:r>
          </w:p>
          <w:p w14:paraId="1F80477D" w14:textId="77777777" w:rsidR="300B721E" w:rsidRDefault="300B721E" w:rsidP="002529B5">
            <w:pPr>
              <w:jc w:val="both"/>
              <w:rPr>
                <w:b/>
                <w:bCs/>
                <w:sz w:val="20"/>
                <w:szCs w:val="20"/>
              </w:rPr>
            </w:pPr>
            <w:r w:rsidRPr="6F03B451">
              <w:rPr>
                <w:b/>
                <w:bCs/>
                <w:sz w:val="20"/>
                <w:szCs w:val="20"/>
              </w:rPr>
              <w:t>K sociálnym vplyvom</w:t>
            </w:r>
          </w:p>
          <w:p w14:paraId="17433CF6" w14:textId="77777777" w:rsidR="300B721E" w:rsidRPr="001B4FEA" w:rsidRDefault="300B721E" w:rsidP="002529B5">
            <w:pPr>
              <w:jc w:val="both"/>
              <w:rPr>
                <w:sz w:val="20"/>
                <w:szCs w:val="20"/>
              </w:rPr>
            </w:pPr>
            <w:r w:rsidRPr="001B4FEA">
              <w:rPr>
                <w:sz w:val="20"/>
                <w:szCs w:val="20"/>
              </w:rPr>
              <w:t>Piaty odsek v sekcii 4.1.1 analýzy sociálnych vplyvov označený predkladateľom ako B Komisia odporúča presunúť do bodu 4.2 (vplyvy na prístup k zdrojom, právam, tovarom a službám). Súvisiace odseky v sekcii 4.1.1 písm. c) a e) analýzy Komisia navrhuje vypustiť.</w:t>
            </w:r>
          </w:p>
          <w:p w14:paraId="098665D7" w14:textId="77777777" w:rsidR="300B721E" w:rsidRPr="001B4FEA" w:rsidRDefault="300B721E" w:rsidP="002529B5">
            <w:pPr>
              <w:jc w:val="both"/>
              <w:rPr>
                <w:sz w:val="20"/>
                <w:szCs w:val="20"/>
              </w:rPr>
            </w:pPr>
            <w:r w:rsidRPr="001B4FEA">
              <w:rPr>
                <w:sz w:val="20"/>
                <w:szCs w:val="20"/>
                <w:u w:val="single"/>
              </w:rPr>
              <w:t xml:space="preserve">Odôvodnenie: </w:t>
            </w:r>
            <w:r w:rsidRPr="001B4FEA">
              <w:rPr>
                <w:sz w:val="20"/>
                <w:szCs w:val="20"/>
              </w:rPr>
              <w:t>Úprava ochrany odberateľa v režime dodávky poslednej inštancie, ktorú predložený návrh zákona predpokladá, spočíva v predĺžení lehoty tohto režimu - z troch na šesť mesiacov. „Týmto sa zvýši ochrana zraniteľných odberateľov elektriny v kategórii domácností, ako aj posilní zabezpečenie kontinuity dodávok pre odberateľov, predovšetkým v prípadoch zlyhania dodávateľa,“ konštatuje dôvodová správa. Vplyv na prístup k zdrojom, právam, tovarom a službám patrí do bodu 4.2 analýzy.</w:t>
            </w:r>
          </w:p>
          <w:p w14:paraId="03FD8CA0" w14:textId="77777777" w:rsidR="300B721E" w:rsidRPr="001B4FEA" w:rsidRDefault="300B721E" w:rsidP="002529B5">
            <w:pPr>
              <w:jc w:val="both"/>
              <w:rPr>
                <w:sz w:val="20"/>
                <w:szCs w:val="20"/>
              </w:rPr>
            </w:pPr>
            <w:r w:rsidRPr="001B4FEA">
              <w:rPr>
                <w:sz w:val="20"/>
                <w:szCs w:val="20"/>
              </w:rPr>
              <w:t xml:space="preserve"> </w:t>
            </w:r>
          </w:p>
          <w:p w14:paraId="31088D59" w14:textId="77777777" w:rsidR="300B721E" w:rsidRPr="001B4FEA" w:rsidRDefault="300B721E" w:rsidP="002529B5">
            <w:pPr>
              <w:jc w:val="both"/>
              <w:rPr>
                <w:sz w:val="20"/>
                <w:szCs w:val="20"/>
              </w:rPr>
            </w:pPr>
            <w:r w:rsidRPr="001B4FEA">
              <w:rPr>
                <w:sz w:val="20"/>
                <w:szCs w:val="20"/>
              </w:rPr>
              <w:t>Šiesty odsek v sekcii 4.1.1 analýzy sociálnych vplyvov označený predkladateľom ako C Komisia odporúča presunúť do bodu 4.2 (vplyvy na prístup k zdrojom, právam, tovarom a službám). Súvisiace odseky v sekcii 4.1.1 písm. c) a e) analýzy Komisia navrhuje vypustiť.</w:t>
            </w:r>
          </w:p>
          <w:p w14:paraId="30236427" w14:textId="77777777" w:rsidR="300B721E" w:rsidRPr="001B4FEA" w:rsidRDefault="300B721E" w:rsidP="002529B5">
            <w:pPr>
              <w:jc w:val="both"/>
              <w:rPr>
                <w:sz w:val="20"/>
                <w:szCs w:val="20"/>
              </w:rPr>
            </w:pPr>
            <w:r w:rsidRPr="001B4FEA">
              <w:rPr>
                <w:sz w:val="20"/>
                <w:szCs w:val="20"/>
                <w:u w:val="single"/>
              </w:rPr>
              <w:t xml:space="preserve">Odôvodnenie: </w:t>
            </w:r>
            <w:r w:rsidRPr="001B4FEA">
              <w:rPr>
                <w:sz w:val="20"/>
                <w:szCs w:val="20"/>
              </w:rPr>
              <w:t>Zavedenie možnosti uzavrieť zmluvu o dodávke elektriny s pevnou cenou na dobu určitú by podľa predkladateľa posilnilo ochranu koncového odberateľa. Dodávatelia by nemohli „jednostranne meniť podmienky zmlúv na dodávky elektrickej energie za pevnú cenu na dobu určitú a ukončovať ich pred uplynutím ich trvania“, píše sa v analýze sociálnych vplyvov. Predložený návrh zákona v tejto súvislosti predpokladá aj zlepšenie informovanosti odberateľov „cez rozšírenie rozsahu poskytovania údajov a informácií“. Vplyvy na prístup k zdrojom, právam, tovarom a službám patria do bodu 4.2 analýzy.</w:t>
            </w:r>
          </w:p>
          <w:p w14:paraId="58C5F752" w14:textId="77777777" w:rsidR="300B721E" w:rsidRPr="001B4FEA" w:rsidRDefault="300B721E" w:rsidP="002529B5">
            <w:pPr>
              <w:jc w:val="both"/>
              <w:rPr>
                <w:sz w:val="20"/>
                <w:szCs w:val="20"/>
              </w:rPr>
            </w:pPr>
            <w:r w:rsidRPr="001B4FEA">
              <w:rPr>
                <w:sz w:val="20"/>
                <w:szCs w:val="20"/>
              </w:rPr>
              <w:t xml:space="preserve"> </w:t>
            </w:r>
          </w:p>
          <w:p w14:paraId="3DADE5BF" w14:textId="77777777" w:rsidR="300B721E" w:rsidRPr="001B4FEA" w:rsidRDefault="300B721E" w:rsidP="002529B5">
            <w:pPr>
              <w:jc w:val="both"/>
              <w:rPr>
                <w:sz w:val="20"/>
                <w:szCs w:val="20"/>
                <w:u w:val="single"/>
              </w:rPr>
            </w:pPr>
            <w:r w:rsidRPr="001B4FEA">
              <w:rPr>
                <w:sz w:val="20"/>
                <w:szCs w:val="20"/>
                <w:u w:val="single"/>
              </w:rPr>
              <w:t>Vyjadrenie MH SR:</w:t>
            </w:r>
          </w:p>
          <w:p w14:paraId="5353ABE0" w14:textId="77777777" w:rsidR="300B721E" w:rsidRPr="001B4FEA" w:rsidRDefault="300B721E" w:rsidP="002529B5">
            <w:pPr>
              <w:jc w:val="both"/>
              <w:rPr>
                <w:sz w:val="20"/>
                <w:szCs w:val="20"/>
              </w:rPr>
            </w:pPr>
            <w:r w:rsidRPr="001B4FEA">
              <w:rPr>
                <w:sz w:val="20"/>
                <w:szCs w:val="20"/>
              </w:rPr>
              <w:t>Analýza sociálnych vplyvov bola upravená v zmysle pripomienok.</w:t>
            </w:r>
          </w:p>
          <w:p w14:paraId="4BF581E6" w14:textId="77777777" w:rsidR="300B721E" w:rsidRDefault="300B721E" w:rsidP="002529B5">
            <w:pPr>
              <w:jc w:val="both"/>
              <w:rPr>
                <w:b/>
                <w:bCs/>
                <w:sz w:val="20"/>
                <w:szCs w:val="20"/>
              </w:rPr>
            </w:pPr>
            <w:r w:rsidRPr="6F03B451">
              <w:rPr>
                <w:b/>
                <w:bCs/>
                <w:sz w:val="20"/>
                <w:szCs w:val="20"/>
              </w:rPr>
              <w:t xml:space="preserve"> </w:t>
            </w:r>
          </w:p>
          <w:p w14:paraId="24852002" w14:textId="77777777" w:rsidR="300B721E" w:rsidRDefault="300B721E" w:rsidP="002529B5">
            <w:pPr>
              <w:jc w:val="both"/>
              <w:rPr>
                <w:b/>
                <w:bCs/>
                <w:sz w:val="20"/>
                <w:szCs w:val="20"/>
              </w:rPr>
            </w:pPr>
            <w:r w:rsidRPr="6F03B451">
              <w:rPr>
                <w:b/>
                <w:bCs/>
                <w:sz w:val="20"/>
                <w:szCs w:val="20"/>
              </w:rPr>
              <w:t>K vplyvom na životné prostredie</w:t>
            </w:r>
          </w:p>
          <w:p w14:paraId="2229C332" w14:textId="77777777" w:rsidR="300B721E" w:rsidRPr="001B4FEA" w:rsidRDefault="300B721E" w:rsidP="002529B5">
            <w:pPr>
              <w:jc w:val="both"/>
              <w:rPr>
                <w:sz w:val="20"/>
                <w:szCs w:val="20"/>
              </w:rPr>
            </w:pPr>
            <w:r w:rsidRPr="001B4FEA">
              <w:rPr>
                <w:sz w:val="20"/>
                <w:szCs w:val="20"/>
              </w:rPr>
              <w:t>Komisia nesúhlasí s tvrdením predkladateľa v Doložke vybraných vplyvov a Analýze vplyvov na životné prostredie, že predkladaný materiál nemá negatívne vplyvy na životné prostredie a Komisia vyznačiť aj negatívne vplyvy.</w:t>
            </w:r>
          </w:p>
          <w:p w14:paraId="3732202B" w14:textId="77777777" w:rsidR="300B721E" w:rsidRPr="001B4FEA" w:rsidRDefault="300B721E" w:rsidP="002529B5">
            <w:pPr>
              <w:jc w:val="both"/>
              <w:rPr>
                <w:sz w:val="20"/>
                <w:szCs w:val="20"/>
              </w:rPr>
            </w:pPr>
            <w:r w:rsidRPr="001B4FEA">
              <w:rPr>
                <w:sz w:val="20"/>
                <w:szCs w:val="20"/>
              </w:rPr>
              <w:t xml:space="preserve">Komisia súhlasí s tým, že väčší a rýchlejší rozvoj obnoviteľných zdrojov energie bude viesť predovšetkým k zlepšeniu stavu životného prostredia prostredníctvom zníženia emisií skleníkových plynov a ovzdušie znečisťujúcich látok. Zároveň však dochádza k potenciálnemu riziku väčšieho zásahu do prostredia a potreby kompenzačných opatrení, rovnako napríklad aj tvorby odpadov, ktoré bude potrebné dostať naspäť do obehového hospodárstva. </w:t>
            </w:r>
          </w:p>
          <w:p w14:paraId="1908E4A5" w14:textId="77777777" w:rsidR="300B721E" w:rsidRPr="001B4FEA" w:rsidRDefault="300B721E" w:rsidP="002529B5">
            <w:pPr>
              <w:jc w:val="both"/>
              <w:rPr>
                <w:sz w:val="20"/>
                <w:szCs w:val="20"/>
              </w:rPr>
            </w:pPr>
            <w:r w:rsidRPr="001B4FEA">
              <w:rPr>
                <w:sz w:val="20"/>
                <w:szCs w:val="20"/>
              </w:rPr>
              <w:t>Zákon takisto zavádza možnosť priamej podpory výroby elektriny z jadrového paliva po júli 2027 formou zmluvy o vyrovnávacom režime na výrobu elektriny z jadrového paliva. Keďže jadrová energia nie je obnoviteľný zdroj energie a zároveň produkuje plynné, tekuté a pevné rádioaktívne emisie a odpady, tak je možný negatívny dopad prekladaného materiálu evidentný.</w:t>
            </w:r>
          </w:p>
          <w:p w14:paraId="05384B50" w14:textId="77777777" w:rsidR="300B721E" w:rsidRPr="001B4FEA" w:rsidRDefault="300B721E" w:rsidP="002529B5">
            <w:pPr>
              <w:jc w:val="both"/>
              <w:rPr>
                <w:sz w:val="20"/>
                <w:szCs w:val="20"/>
              </w:rPr>
            </w:pPr>
            <w:r w:rsidRPr="001B4FEA">
              <w:rPr>
                <w:sz w:val="20"/>
                <w:szCs w:val="20"/>
              </w:rPr>
              <w:t>Tieto vplyvy je potrebné pomenovať, kvantifikovať alebo aspoň uviesť v akej fáze implementácie zákona v znení neskorších predpisov budú kvantifikované a akým spôsobom.</w:t>
            </w:r>
          </w:p>
          <w:p w14:paraId="5BADE678" w14:textId="77777777" w:rsidR="300B721E" w:rsidRPr="001B4FEA" w:rsidRDefault="300B721E" w:rsidP="002529B5">
            <w:pPr>
              <w:jc w:val="both"/>
              <w:rPr>
                <w:sz w:val="20"/>
                <w:szCs w:val="20"/>
              </w:rPr>
            </w:pPr>
            <w:r w:rsidRPr="001B4FEA">
              <w:rPr>
                <w:sz w:val="20"/>
                <w:szCs w:val="20"/>
              </w:rPr>
              <w:lastRenderedPageBreak/>
              <w:t xml:space="preserve"> </w:t>
            </w:r>
          </w:p>
          <w:p w14:paraId="396F8274" w14:textId="77777777" w:rsidR="300B721E" w:rsidRPr="001B4FEA" w:rsidRDefault="300B721E" w:rsidP="002529B5">
            <w:pPr>
              <w:jc w:val="both"/>
              <w:rPr>
                <w:sz w:val="20"/>
                <w:szCs w:val="20"/>
                <w:u w:val="single"/>
              </w:rPr>
            </w:pPr>
            <w:r w:rsidRPr="001B4FEA">
              <w:rPr>
                <w:sz w:val="20"/>
                <w:szCs w:val="20"/>
                <w:u w:val="single"/>
              </w:rPr>
              <w:t>Vyjadrenie MH SR:</w:t>
            </w:r>
          </w:p>
          <w:p w14:paraId="05EC7576" w14:textId="77777777" w:rsidR="300B721E" w:rsidRPr="001B4FEA" w:rsidRDefault="300B721E" w:rsidP="002529B5">
            <w:pPr>
              <w:jc w:val="both"/>
              <w:rPr>
                <w:sz w:val="20"/>
                <w:szCs w:val="20"/>
              </w:rPr>
            </w:pPr>
            <w:r w:rsidRPr="001B4FEA">
              <w:rPr>
                <w:sz w:val="20"/>
                <w:szCs w:val="20"/>
              </w:rPr>
              <w:t xml:space="preserve">S pripomienkou Komisie nesúhlasíme. </w:t>
            </w:r>
          </w:p>
          <w:p w14:paraId="5B62D0C2" w14:textId="77777777" w:rsidR="300B721E" w:rsidRPr="001B4FEA" w:rsidRDefault="300B721E" w:rsidP="002529B5">
            <w:pPr>
              <w:jc w:val="both"/>
              <w:rPr>
                <w:sz w:val="20"/>
                <w:szCs w:val="20"/>
              </w:rPr>
            </w:pPr>
            <w:r w:rsidRPr="001B4FEA">
              <w:rPr>
                <w:sz w:val="20"/>
                <w:szCs w:val="20"/>
              </w:rPr>
              <w:t>Vo vzťahu k častiam návrhu zákona, ktorými sa transponujú požiadavky smernice (EÚ) 2024/1711 a implementujú požiadavky nariadenia (EÚ) 2024/1747 v oblasti reformy dizajnu trhu s elektrinou, tieto neriešia a neupravujú oblasť tvorby a nakladania s odpadmi a súvisiace negatívne vplyvy na životné prostredie. V zmysle preambuly uvedených právnych aktov EÚ, ich cieľom je posilnenie vnútorného trhu s energiou a dosiahnutie cieľov Únie v oblasti klímy a energetiky.</w:t>
            </w:r>
          </w:p>
          <w:p w14:paraId="78EF98B6" w14:textId="77777777" w:rsidR="300B721E" w:rsidRPr="001B4FEA" w:rsidRDefault="300B721E" w:rsidP="002529B5">
            <w:pPr>
              <w:jc w:val="both"/>
              <w:rPr>
                <w:sz w:val="20"/>
                <w:szCs w:val="20"/>
              </w:rPr>
            </w:pPr>
            <w:r w:rsidRPr="001B4FEA">
              <w:rPr>
                <w:sz w:val="20"/>
                <w:szCs w:val="20"/>
              </w:rPr>
              <w:t>Čo sa týka zavedenia priamej podpory výroby elektriny z jadrového paliva formou zmluvy o vyrovnávacom režime na výrobu elektriny z jadrového paliva (nový § 26a zákona o energetike), v zmysle zdôvodnenia k uvedenému bodu novely zákona „</w:t>
            </w:r>
            <w:r w:rsidRPr="001B4FEA">
              <w:rPr>
                <w:i/>
                <w:iCs/>
                <w:sz w:val="20"/>
                <w:szCs w:val="20"/>
              </w:rPr>
              <w:t xml:space="preserve">Navrhovaná úprava predstavuje adaptáciu slovenskej zákonnej právnej úpravy na priamo uplatniteľnú právnu úpravu Európskej únie, konkrétne článok 19d revidovaného Nariadenia (EÚ) 2019/943 upraveného nariadením (EÚ) 2024/1747, podľa ktorého, ak sa členské štáty rozhodnú podporovať investície financované z verejných zdrojov prostredníctvom systémov priamej podpory cien do nových </w:t>
            </w:r>
            <w:proofErr w:type="spellStart"/>
            <w:r w:rsidRPr="001B4FEA">
              <w:rPr>
                <w:i/>
                <w:iCs/>
                <w:sz w:val="20"/>
                <w:szCs w:val="20"/>
              </w:rPr>
              <w:t>nízkouhlíkových</w:t>
            </w:r>
            <w:proofErr w:type="spellEnd"/>
            <w:r w:rsidRPr="001B4FEA">
              <w:rPr>
                <w:i/>
                <w:iCs/>
                <w:sz w:val="20"/>
                <w:szCs w:val="20"/>
              </w:rPr>
              <w:t xml:space="preserve"> zariadení na výrobu elektriny z nefosílnych palív, tieto musia byť štruktúrované ako dvojsmerné rozdielové zmluvy alebo rovnocenné systémy s rovnakými účinkami.</w:t>
            </w:r>
            <w:r w:rsidRPr="001B4FEA">
              <w:rPr>
                <w:sz w:val="20"/>
                <w:szCs w:val="20"/>
              </w:rPr>
              <w:t xml:space="preserve">“ Jedná sa teda  iba o „možnosť“ využitia uvedených ustanovení zákona a nástroja podpory výstavby nových kapacít výroby elektriny na báze jadrového paliva, v prípade budúceho rozhodnutia o podpore výstavby nových kapacít výroby elektriny z jadrového paliva, ktoré v zmysle uvedeného nariadenia EÚ „musia“ mať po júli 2027 formu dvojsmernej rozdielovej zmluvy, v prípade ak členský štát uplatňuje systém priamej podpory cien do nových </w:t>
            </w:r>
            <w:proofErr w:type="spellStart"/>
            <w:r w:rsidRPr="001B4FEA">
              <w:rPr>
                <w:sz w:val="20"/>
                <w:szCs w:val="20"/>
              </w:rPr>
              <w:t>nízkouhlíkových</w:t>
            </w:r>
            <w:proofErr w:type="spellEnd"/>
            <w:r w:rsidRPr="001B4FEA">
              <w:rPr>
                <w:sz w:val="20"/>
                <w:szCs w:val="20"/>
              </w:rPr>
              <w:t xml:space="preserve"> zariadení na výrobu elektriny z nefosílnych palív (jadrové palivo a OZE). Nejedná sa teda o využitie navrhovaných ustanovení zákona podporou výstavby konkrétneho zariadenia na výrobu elektriny z jadrového paliva. Z uvedeného vyplýva, že materiál nemá priamy negatívny vplyv na životné prostredie (z hľadiska produkcie plynných, tekutých a pevných rádioaktívnych emisií a odpadov), ktorý by bolo možné kvantifikovať.</w:t>
            </w:r>
          </w:p>
          <w:p w14:paraId="1AC27016" w14:textId="77777777" w:rsidR="300B721E" w:rsidRPr="001B4FEA" w:rsidRDefault="300B721E" w:rsidP="002529B5">
            <w:pPr>
              <w:jc w:val="both"/>
              <w:rPr>
                <w:sz w:val="20"/>
                <w:szCs w:val="20"/>
              </w:rPr>
            </w:pPr>
            <w:r w:rsidRPr="001B4FEA">
              <w:rPr>
                <w:sz w:val="20"/>
                <w:szCs w:val="20"/>
              </w:rPr>
              <w:t>Vo vzťahu k vybraným častiam návrhu zákona, ktorými sa transponujú vybrané časti revidovanej smernice (EÚ) 2023/2413, ktorá revidovala smernicu (EÚ) 2018/2001 o energii z obnoviteľných zdrojov (tzv. RED 3), je pripomienka všeobecná a nedostatočne konkrétna resp. nie je jasné, ktorých ustanovení návrhu zákona alebo smernice sa týka - „</w:t>
            </w:r>
            <w:r w:rsidRPr="001B4FEA">
              <w:rPr>
                <w:i/>
                <w:iCs/>
                <w:sz w:val="20"/>
                <w:szCs w:val="20"/>
              </w:rPr>
              <w:t>zároveň však dochádza k potenciálnemu riziku väčšieho zásahu do prostredia a potreby kompenzačných opatrení, rovnako napríklad aj tvorby odpadov</w:t>
            </w:r>
            <w:r w:rsidRPr="001B4FEA">
              <w:rPr>
                <w:sz w:val="20"/>
                <w:szCs w:val="20"/>
              </w:rPr>
              <w:t>“.  V zmysle preambuly smernice (EÚ) 2023/2413, ktorá revidovala smernicu (EÚ) 2018/2001, by revidovaná smernica nemala mať podľa očakávaní významný vplyv na životné prostredie. Predmetom transpozície predloženým návrhom zákona nie je oblasť postupov udeľovania povolení vrátane posudzovania vplyvov na životné prostredie (projektov výroby energie z obnoviteľných zdrojov a súvisiacich projektov energetickej infraštruktúry). V zmysle preambuly revidovanej smernice o energii z obnoviteľných zdrojov, cieľom smernice je rozšírenie výroby energie z obnoviteľných zdrojov a súčasne minimalizovať nepriaznivé účinky na životné prostredie (v súlade so súvisiacimi právnymi aktmi EÚ najmä smernicou (EÚ) 2011/92/EÚ a smernicou (EÚ) 2001/42/ES).</w:t>
            </w:r>
          </w:p>
          <w:p w14:paraId="3052BA1C" w14:textId="77777777" w:rsidR="300B721E" w:rsidRDefault="300B721E" w:rsidP="002529B5">
            <w:pPr>
              <w:jc w:val="both"/>
              <w:rPr>
                <w:b/>
                <w:bCs/>
                <w:sz w:val="20"/>
                <w:szCs w:val="20"/>
              </w:rPr>
            </w:pPr>
            <w:r w:rsidRPr="6F03B451">
              <w:rPr>
                <w:b/>
                <w:bCs/>
                <w:sz w:val="20"/>
                <w:szCs w:val="20"/>
              </w:rPr>
              <w:t xml:space="preserve"> </w:t>
            </w:r>
          </w:p>
          <w:p w14:paraId="70BA8DE6" w14:textId="77777777" w:rsidR="300B721E" w:rsidRDefault="300B721E" w:rsidP="002529B5">
            <w:pPr>
              <w:jc w:val="both"/>
              <w:rPr>
                <w:b/>
                <w:bCs/>
                <w:sz w:val="20"/>
                <w:szCs w:val="20"/>
              </w:rPr>
            </w:pPr>
            <w:r w:rsidRPr="6F03B451">
              <w:rPr>
                <w:b/>
                <w:bCs/>
                <w:sz w:val="20"/>
                <w:szCs w:val="20"/>
              </w:rPr>
              <w:t xml:space="preserve">Ku </w:t>
            </w:r>
            <w:proofErr w:type="spellStart"/>
            <w:r w:rsidRPr="6F03B451">
              <w:rPr>
                <w:b/>
                <w:bCs/>
                <w:sz w:val="20"/>
                <w:szCs w:val="20"/>
              </w:rPr>
              <w:t>goldplatingu</w:t>
            </w:r>
            <w:proofErr w:type="spellEnd"/>
            <w:r w:rsidRPr="6F03B451">
              <w:rPr>
                <w:b/>
                <w:bCs/>
                <w:sz w:val="20"/>
                <w:szCs w:val="20"/>
              </w:rPr>
              <w:t xml:space="preserve"> (všeobecne)</w:t>
            </w:r>
          </w:p>
          <w:p w14:paraId="3FE2A691" w14:textId="77777777" w:rsidR="300B721E" w:rsidRPr="001B4FEA" w:rsidRDefault="300B721E" w:rsidP="002529B5">
            <w:pPr>
              <w:jc w:val="both"/>
              <w:rPr>
                <w:sz w:val="20"/>
                <w:szCs w:val="20"/>
              </w:rPr>
            </w:pPr>
            <w:r w:rsidRPr="001B4FEA">
              <w:rPr>
                <w:sz w:val="20"/>
                <w:szCs w:val="20"/>
              </w:rPr>
              <w:t xml:space="preserve">Možný </w:t>
            </w:r>
            <w:proofErr w:type="spellStart"/>
            <w:r w:rsidRPr="001B4FEA">
              <w:rPr>
                <w:sz w:val="20"/>
                <w:szCs w:val="20"/>
              </w:rPr>
              <w:t>goldplating</w:t>
            </w:r>
            <w:proofErr w:type="spellEnd"/>
            <w:r w:rsidRPr="001B4FEA">
              <w:rPr>
                <w:sz w:val="20"/>
                <w:szCs w:val="20"/>
              </w:rPr>
              <w:t xml:space="preserve"> bol identifikovaný v tabuľke zhody so smernicou Európskeho parlamentu a Rady (EÚ) 2023/2413 z 18. októbra 2023, ktorou sa mení smernica (EÚ) 2018/2001, nariadenie (EÚ) 2018/1999 a smernica 98/70/ES, pokiaľ ide o podporu energie z obnoviteľných zdrojov, a ktorou sa zrušuje smernica Rady (EÚ) 2015/652, a to konkrétne pri transpozícii článku 1 ods. 14 smernice, ktorým sa mení čl. 24 ods. 5 smernice (EÚ) 2018/2001 („Členské štáty môžu povoliť prevádzkovateľovi systému diaľkového vykurovania alebo chladenia, aby odmietol pripojiť dodávateľa, ktorý je treťou stranou, a nakupovať od neho teplo alebo chlad v ktorejkoľvek z týchto situácií....“). Vzhľadom na identifikovaný </w:t>
            </w:r>
            <w:proofErr w:type="spellStart"/>
            <w:r w:rsidRPr="001B4FEA">
              <w:rPr>
                <w:sz w:val="20"/>
                <w:szCs w:val="20"/>
              </w:rPr>
              <w:t>goldplating</w:t>
            </w:r>
            <w:proofErr w:type="spellEnd"/>
            <w:r w:rsidRPr="001B4FEA">
              <w:rPr>
                <w:sz w:val="20"/>
                <w:szCs w:val="20"/>
              </w:rPr>
              <w:t xml:space="preserve"> je potrebné náležite vyplniť stĺpce 9 a 10 tabuľky zhody a uviesť vyjadrenie k opodstatnenosti </w:t>
            </w:r>
            <w:proofErr w:type="spellStart"/>
            <w:r w:rsidRPr="001B4FEA">
              <w:rPr>
                <w:sz w:val="20"/>
                <w:szCs w:val="20"/>
              </w:rPr>
              <w:t>goldplatingu</w:t>
            </w:r>
            <w:proofErr w:type="spellEnd"/>
            <w:r w:rsidRPr="001B4FEA">
              <w:rPr>
                <w:sz w:val="20"/>
                <w:szCs w:val="20"/>
              </w:rPr>
              <w:t xml:space="preserve"> a jeho odôvodnenie. </w:t>
            </w:r>
          </w:p>
          <w:p w14:paraId="751CE5CF" w14:textId="77777777" w:rsidR="300B721E" w:rsidRPr="001B4FEA" w:rsidRDefault="300B721E" w:rsidP="002529B5">
            <w:pPr>
              <w:jc w:val="both"/>
              <w:rPr>
                <w:sz w:val="20"/>
                <w:szCs w:val="20"/>
              </w:rPr>
            </w:pPr>
            <w:r w:rsidRPr="001B4FEA">
              <w:rPr>
                <w:sz w:val="20"/>
                <w:szCs w:val="20"/>
              </w:rPr>
              <w:t xml:space="preserve"> </w:t>
            </w:r>
          </w:p>
          <w:p w14:paraId="70A92DEF" w14:textId="77777777" w:rsidR="300B721E" w:rsidRPr="001B4FEA" w:rsidRDefault="300B721E" w:rsidP="002529B5">
            <w:pPr>
              <w:jc w:val="both"/>
              <w:rPr>
                <w:sz w:val="20"/>
                <w:szCs w:val="20"/>
                <w:u w:val="single"/>
              </w:rPr>
            </w:pPr>
            <w:r w:rsidRPr="001B4FEA">
              <w:rPr>
                <w:sz w:val="20"/>
                <w:szCs w:val="20"/>
                <w:u w:val="single"/>
              </w:rPr>
              <w:t>Vyjadrenie MH SR:</w:t>
            </w:r>
          </w:p>
          <w:p w14:paraId="25540DDB" w14:textId="77777777" w:rsidR="300B721E" w:rsidRPr="001B4FEA" w:rsidRDefault="300B721E" w:rsidP="002529B5">
            <w:pPr>
              <w:jc w:val="both"/>
              <w:rPr>
                <w:sz w:val="20"/>
                <w:szCs w:val="20"/>
              </w:rPr>
            </w:pPr>
            <w:r w:rsidRPr="001B4FEA">
              <w:rPr>
                <w:sz w:val="20"/>
                <w:szCs w:val="20"/>
              </w:rPr>
              <w:t xml:space="preserve">MH SR trvá na navrhnutom znení, nakoľko nespĺňa definičné znaky </w:t>
            </w:r>
            <w:proofErr w:type="spellStart"/>
            <w:r w:rsidRPr="001B4FEA">
              <w:rPr>
                <w:sz w:val="20"/>
                <w:szCs w:val="20"/>
              </w:rPr>
              <w:t>goldplatingu</w:t>
            </w:r>
            <w:proofErr w:type="spellEnd"/>
            <w:r w:rsidRPr="001B4FEA">
              <w:rPr>
                <w:sz w:val="20"/>
                <w:szCs w:val="20"/>
              </w:rPr>
              <w:t>.</w:t>
            </w:r>
          </w:p>
          <w:p w14:paraId="24A450EB" w14:textId="77777777" w:rsidR="300B721E" w:rsidRPr="001B4FEA" w:rsidRDefault="300B721E" w:rsidP="002529B5">
            <w:pPr>
              <w:jc w:val="both"/>
              <w:rPr>
                <w:sz w:val="20"/>
                <w:szCs w:val="20"/>
              </w:rPr>
            </w:pPr>
            <w:r w:rsidRPr="001B4FEA">
              <w:rPr>
                <w:sz w:val="20"/>
                <w:szCs w:val="20"/>
              </w:rPr>
              <w:t xml:space="preserve">V zmysle definície </w:t>
            </w:r>
            <w:proofErr w:type="spellStart"/>
            <w:r w:rsidRPr="001B4FEA">
              <w:rPr>
                <w:sz w:val="20"/>
                <w:szCs w:val="20"/>
              </w:rPr>
              <w:t>goldplatingu</w:t>
            </w:r>
            <w:proofErr w:type="spellEnd"/>
            <w:r w:rsidRPr="001B4FEA">
              <w:rPr>
                <w:sz w:val="20"/>
                <w:szCs w:val="20"/>
              </w:rPr>
              <w:t xml:space="preserve"> návrh predmetného ustanovenia podľa nášho názoru nespĺňa definičné znaky </w:t>
            </w:r>
            <w:proofErr w:type="spellStart"/>
            <w:r w:rsidRPr="001B4FEA">
              <w:rPr>
                <w:sz w:val="20"/>
                <w:szCs w:val="20"/>
              </w:rPr>
              <w:t>goldplatingu</w:t>
            </w:r>
            <w:proofErr w:type="spellEnd"/>
            <w:r w:rsidRPr="001B4FEA">
              <w:rPr>
                <w:sz w:val="20"/>
                <w:szCs w:val="20"/>
              </w:rPr>
              <w:t xml:space="preserve">. Navrhované ustanovenie nezavádza obligatórnu povinnosť držiteľovi povolenia na rozvod tepla, ale umožňuje využitie tohto ustanovenia pri splnení podmienky. Navrhované podmienky sú transponované podľa Smernice. </w:t>
            </w:r>
          </w:p>
          <w:p w14:paraId="4EC1105A" w14:textId="77777777" w:rsidR="300B721E" w:rsidRPr="001B4FEA" w:rsidRDefault="300B721E" w:rsidP="002529B5">
            <w:pPr>
              <w:jc w:val="both"/>
              <w:rPr>
                <w:sz w:val="20"/>
                <w:szCs w:val="20"/>
              </w:rPr>
            </w:pPr>
            <w:r w:rsidRPr="001B4FEA">
              <w:rPr>
                <w:sz w:val="20"/>
                <w:szCs w:val="20"/>
              </w:rPr>
              <w:t xml:space="preserve"> </w:t>
            </w:r>
          </w:p>
          <w:p w14:paraId="5F9D2363" w14:textId="77777777" w:rsidR="300B721E" w:rsidRPr="001B4FEA" w:rsidRDefault="300B721E" w:rsidP="002529B5">
            <w:pPr>
              <w:jc w:val="both"/>
              <w:rPr>
                <w:sz w:val="20"/>
                <w:szCs w:val="20"/>
              </w:rPr>
            </w:pPr>
            <w:r w:rsidRPr="001B4FEA">
              <w:rPr>
                <w:sz w:val="20"/>
                <w:szCs w:val="20"/>
              </w:rPr>
              <w:t xml:space="preserve">Tabuľku zhody so smernicou (EÚ) 2023/2413 je potrebné upraviť tak, aby z nej bolo zrejmé označenie článkov transponovanej smernice, keďže stĺpec 1 tabuľky zhody nezodpovedá reálnemu označeniu článkov, odsekov, bodov a pod. v predmetnej smernici. Zároveň je v celej tabuľke zhody potrebné vyplniť aj stĺpec 3- spôsob transpozície.  </w:t>
            </w:r>
          </w:p>
          <w:p w14:paraId="2A636CE0" w14:textId="77777777" w:rsidR="300B721E" w:rsidRPr="001B4FEA" w:rsidRDefault="300B721E" w:rsidP="002529B5">
            <w:pPr>
              <w:jc w:val="both"/>
              <w:rPr>
                <w:sz w:val="20"/>
                <w:szCs w:val="20"/>
              </w:rPr>
            </w:pPr>
            <w:r w:rsidRPr="001B4FEA">
              <w:rPr>
                <w:sz w:val="20"/>
                <w:szCs w:val="20"/>
              </w:rPr>
              <w:t xml:space="preserve"> </w:t>
            </w:r>
          </w:p>
          <w:p w14:paraId="43549408" w14:textId="77777777" w:rsidR="300B721E" w:rsidRPr="001B4FEA" w:rsidRDefault="300B721E" w:rsidP="002529B5">
            <w:pPr>
              <w:jc w:val="both"/>
              <w:rPr>
                <w:sz w:val="20"/>
                <w:szCs w:val="20"/>
                <w:u w:val="single"/>
              </w:rPr>
            </w:pPr>
            <w:r w:rsidRPr="001B4FEA">
              <w:rPr>
                <w:sz w:val="20"/>
                <w:szCs w:val="20"/>
                <w:u w:val="single"/>
              </w:rPr>
              <w:t>Vyjadrenie MH SR:</w:t>
            </w:r>
          </w:p>
          <w:p w14:paraId="1EBFDBC3" w14:textId="77777777" w:rsidR="300B721E" w:rsidRPr="001B4FEA" w:rsidRDefault="300B721E" w:rsidP="002529B5">
            <w:pPr>
              <w:jc w:val="both"/>
              <w:rPr>
                <w:sz w:val="20"/>
                <w:szCs w:val="20"/>
              </w:rPr>
            </w:pPr>
            <w:r w:rsidRPr="001B4FEA">
              <w:rPr>
                <w:sz w:val="20"/>
                <w:szCs w:val="20"/>
              </w:rPr>
              <w:t>Tabuľka zhody bola upravená podľa legislatívnych pravidiel vlády a doplnené chýbajúce články.</w:t>
            </w:r>
          </w:p>
          <w:p w14:paraId="415E8E0C" w14:textId="77777777" w:rsidR="300B721E" w:rsidRPr="001B4FEA" w:rsidRDefault="300B721E" w:rsidP="002529B5">
            <w:pPr>
              <w:jc w:val="both"/>
              <w:rPr>
                <w:sz w:val="20"/>
                <w:szCs w:val="20"/>
              </w:rPr>
            </w:pPr>
            <w:r w:rsidRPr="001B4FEA">
              <w:rPr>
                <w:sz w:val="20"/>
                <w:szCs w:val="20"/>
              </w:rPr>
              <w:lastRenderedPageBreak/>
              <w:t xml:space="preserve"> </w:t>
            </w:r>
          </w:p>
          <w:p w14:paraId="637C43C4" w14:textId="77777777" w:rsidR="300B721E" w:rsidRPr="001B4FEA" w:rsidRDefault="300B721E" w:rsidP="002529B5">
            <w:pPr>
              <w:jc w:val="both"/>
              <w:rPr>
                <w:sz w:val="20"/>
                <w:szCs w:val="20"/>
              </w:rPr>
            </w:pPr>
            <w:r w:rsidRPr="001B4FEA">
              <w:rPr>
                <w:sz w:val="20"/>
                <w:szCs w:val="20"/>
              </w:rPr>
              <w:t>Tabuľku zhody so smernicou (EÚ) 2024/1711 je potrebné upraviť tak, aby z nej bolo zrejmé označenie článkov transponovanej smernice, keďže stĺpec 1 tabuľky zhody nezodpovedá reálnemu označeniu článkov, odsekov, bodov a pod. v predmetnej smernici.</w:t>
            </w:r>
          </w:p>
          <w:p w14:paraId="31409523" w14:textId="77777777" w:rsidR="300B721E" w:rsidRPr="001B4FEA" w:rsidRDefault="300B721E" w:rsidP="002529B5">
            <w:pPr>
              <w:jc w:val="both"/>
              <w:rPr>
                <w:sz w:val="20"/>
                <w:szCs w:val="20"/>
              </w:rPr>
            </w:pPr>
            <w:r w:rsidRPr="001B4FEA">
              <w:rPr>
                <w:sz w:val="20"/>
                <w:szCs w:val="20"/>
              </w:rPr>
              <w:t xml:space="preserve"> </w:t>
            </w:r>
            <w:bookmarkStart w:id="0" w:name="_GoBack"/>
            <w:bookmarkEnd w:id="0"/>
          </w:p>
          <w:p w14:paraId="15A63EE0" w14:textId="77777777" w:rsidR="300B721E" w:rsidRPr="001B4FEA" w:rsidRDefault="300B721E" w:rsidP="002529B5">
            <w:pPr>
              <w:jc w:val="both"/>
              <w:rPr>
                <w:sz w:val="20"/>
                <w:szCs w:val="20"/>
                <w:u w:val="single"/>
              </w:rPr>
            </w:pPr>
            <w:r w:rsidRPr="001B4FEA">
              <w:rPr>
                <w:sz w:val="20"/>
                <w:szCs w:val="20"/>
                <w:u w:val="single"/>
              </w:rPr>
              <w:t>Vyjadrenie MH SR:</w:t>
            </w:r>
          </w:p>
          <w:p w14:paraId="25C6E514" w14:textId="77777777" w:rsidR="300B721E" w:rsidRPr="001B4FEA" w:rsidRDefault="300B721E" w:rsidP="002529B5">
            <w:pPr>
              <w:jc w:val="both"/>
              <w:rPr>
                <w:sz w:val="20"/>
                <w:szCs w:val="20"/>
              </w:rPr>
            </w:pPr>
            <w:r w:rsidRPr="001B4FEA">
              <w:rPr>
                <w:sz w:val="20"/>
                <w:szCs w:val="20"/>
              </w:rPr>
              <w:t>Tabuľka zhody bola upravená podľa legislatívnych pravidiel vlády a doplnené chýbajúce články.</w:t>
            </w:r>
          </w:p>
          <w:p w14:paraId="5A4EF19A" w14:textId="77777777" w:rsidR="00076AAE" w:rsidRPr="00F83E0D" w:rsidRDefault="00076AAE" w:rsidP="002529B5">
            <w:pPr>
              <w:jc w:val="both"/>
              <w:rPr>
                <w:b/>
                <w:sz w:val="20"/>
                <w:szCs w:val="20"/>
              </w:rPr>
            </w:pPr>
          </w:p>
        </w:tc>
      </w:tr>
      <w:tr w:rsidR="00076AAE" w:rsidRPr="00F83E0D" w14:paraId="3B6413D3" w14:textId="77777777" w:rsidTr="6F03B451">
        <w:tblPrEx>
          <w:tblBorders>
            <w:insideH w:val="single" w:sz="4" w:space="0" w:color="FFFFFF"/>
            <w:insideV w:val="single" w:sz="4" w:space="0" w:color="FFFFFF"/>
          </w:tblBorders>
        </w:tblPrEx>
        <w:tc>
          <w:tcPr>
            <w:tcW w:w="9390" w:type="dxa"/>
            <w:tcBorders>
              <w:top w:val="single" w:sz="4" w:space="0" w:color="auto"/>
            </w:tcBorders>
            <w:shd w:val="clear" w:color="auto" w:fill="E2E2E2"/>
          </w:tcPr>
          <w:p w14:paraId="4D8D28D3" w14:textId="77777777" w:rsidR="00076AAE" w:rsidRPr="00F83E0D" w:rsidRDefault="00076AAE" w:rsidP="00076AAE">
            <w:pPr>
              <w:numPr>
                <w:ilvl w:val="0"/>
                <w:numId w:val="1"/>
              </w:numPr>
              <w:ind w:left="450" w:hanging="425"/>
              <w:contextualSpacing/>
              <w:jc w:val="both"/>
              <w:rPr>
                <w:rFonts w:eastAsia="Calibri"/>
                <w:b/>
                <w:sz w:val="22"/>
                <w:szCs w:val="22"/>
                <w:lang w:eastAsia="en-US"/>
              </w:rPr>
            </w:pPr>
            <w:r w:rsidRPr="00F83E0D">
              <w:rPr>
                <w:rFonts w:eastAsia="Calibri"/>
                <w:b/>
                <w:sz w:val="22"/>
                <w:szCs w:val="22"/>
                <w:lang w:eastAsia="en-US"/>
              </w:rPr>
              <w:lastRenderedPageBreak/>
              <w:t>Stanovisko Komisie na posudzovanie vybraných vplyvov zo záverečného posúdenia č. ..........</w:t>
            </w:r>
            <w:r w:rsidRPr="00F83E0D">
              <w:rPr>
                <w:rFonts w:eastAsia="Calibri"/>
                <w:sz w:val="22"/>
                <w:szCs w:val="22"/>
                <w:lang w:eastAsia="en-US"/>
              </w:rPr>
              <w:t xml:space="preserve"> (v prípade, ak sa uskutočnilo v zmysle bodu 9.1. Jednotnej metodiky) </w:t>
            </w:r>
          </w:p>
        </w:tc>
      </w:tr>
      <w:tr w:rsidR="00076AAE" w:rsidRPr="00F83E0D" w14:paraId="23B13499" w14:textId="77777777" w:rsidTr="6F03B451">
        <w:tblPrEx>
          <w:tblBorders>
            <w:insideH w:val="single" w:sz="4" w:space="0" w:color="FFFFFF"/>
            <w:insideV w:val="single" w:sz="4" w:space="0" w:color="FFFFFF"/>
          </w:tblBorders>
        </w:tblPrEx>
        <w:tc>
          <w:tcPr>
            <w:tcW w:w="9390" w:type="dxa"/>
            <w:shd w:val="clear" w:color="auto" w:fill="FFFFFF" w:themeFill="background1"/>
          </w:tcPr>
          <w:p w14:paraId="09595215" w14:textId="77777777" w:rsidR="00076AAE" w:rsidRPr="00F83E0D" w:rsidRDefault="00076AAE" w:rsidP="000737B2">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76AAE" w:rsidRPr="00F83E0D" w14:paraId="14005F85" w14:textId="77777777" w:rsidTr="000737B2">
              <w:trPr>
                <w:trHeight w:val="396"/>
              </w:trPr>
              <w:tc>
                <w:tcPr>
                  <w:tcW w:w="2552" w:type="dxa"/>
                </w:tcPr>
                <w:p w14:paraId="42AEAD98" w14:textId="77777777" w:rsidR="00076AAE" w:rsidRPr="00F83E0D" w:rsidRDefault="002529B5" w:rsidP="000737B2">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Súhlasné </w:t>
                  </w:r>
                </w:p>
              </w:tc>
              <w:tc>
                <w:tcPr>
                  <w:tcW w:w="3827" w:type="dxa"/>
                </w:tcPr>
                <w:p w14:paraId="42468260" w14:textId="77777777" w:rsidR="00076AAE" w:rsidRPr="00F83E0D" w:rsidRDefault="002529B5" w:rsidP="000737B2">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Súhlasné s  návrhom na dopracovanie</w:t>
                  </w:r>
                </w:p>
              </w:tc>
              <w:tc>
                <w:tcPr>
                  <w:tcW w:w="2534" w:type="dxa"/>
                </w:tcPr>
                <w:p w14:paraId="260474C5" w14:textId="77777777" w:rsidR="00076AAE" w:rsidRPr="00F83E0D" w:rsidRDefault="002529B5" w:rsidP="000737B2">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076AAE" w:rsidRPr="00F83E0D">
                        <w:rPr>
                          <w:rFonts w:eastAsia="MS Gothic" w:hint="eastAsia"/>
                          <w:b/>
                          <w:sz w:val="20"/>
                          <w:szCs w:val="20"/>
                        </w:rPr>
                        <w:t>☐</w:t>
                      </w:r>
                    </w:sdtContent>
                  </w:sdt>
                  <w:r w:rsidR="00076AAE" w:rsidRPr="00F83E0D">
                    <w:rPr>
                      <w:b/>
                      <w:sz w:val="20"/>
                      <w:szCs w:val="20"/>
                    </w:rPr>
                    <w:t xml:space="preserve">  Nesúhlasné</w:t>
                  </w:r>
                </w:p>
              </w:tc>
            </w:tr>
          </w:tbl>
          <w:p w14:paraId="6D5D1C66" w14:textId="77777777" w:rsidR="00076AAE" w:rsidRPr="00F83E0D" w:rsidRDefault="00076AAE" w:rsidP="000737B2">
            <w:pPr>
              <w:jc w:val="both"/>
              <w:rPr>
                <w:b/>
                <w:sz w:val="20"/>
                <w:szCs w:val="20"/>
              </w:rPr>
            </w:pPr>
            <w:r w:rsidRPr="00F83E0D">
              <w:rPr>
                <w:b/>
                <w:sz w:val="20"/>
                <w:szCs w:val="20"/>
              </w:rPr>
              <w:t>Uveďte pripomienky zo stanoviska Komisie z časti II. spolu s Vaším vyhodnotením:</w:t>
            </w:r>
          </w:p>
          <w:p w14:paraId="28175FE7" w14:textId="77777777" w:rsidR="00076AAE" w:rsidRPr="00F83E0D" w:rsidRDefault="00076AAE" w:rsidP="000737B2">
            <w:pPr>
              <w:rPr>
                <w:b/>
                <w:sz w:val="20"/>
                <w:szCs w:val="20"/>
              </w:rPr>
            </w:pPr>
          </w:p>
          <w:p w14:paraId="23C6FBA8" w14:textId="77777777" w:rsidR="00076AAE" w:rsidRPr="00F83E0D" w:rsidRDefault="00076AAE" w:rsidP="000737B2">
            <w:pPr>
              <w:rPr>
                <w:b/>
                <w:sz w:val="20"/>
                <w:szCs w:val="20"/>
              </w:rPr>
            </w:pPr>
          </w:p>
        </w:tc>
      </w:tr>
    </w:tbl>
    <w:p w14:paraId="603B9FE1" w14:textId="77777777" w:rsidR="00076AAE" w:rsidRPr="00F83E0D" w:rsidRDefault="00076AAE" w:rsidP="00076AAE">
      <w:pPr>
        <w:spacing w:after="160" w:line="259" w:lineRule="auto"/>
        <w:rPr>
          <w:rFonts w:asciiTheme="minorHAnsi" w:eastAsiaTheme="minorHAnsi" w:hAnsiTheme="minorHAnsi" w:cstheme="minorBidi"/>
          <w:sz w:val="22"/>
          <w:szCs w:val="22"/>
          <w:lang w:eastAsia="en-US"/>
        </w:rPr>
      </w:pPr>
    </w:p>
    <w:p w14:paraId="6A7173D2" w14:textId="77777777" w:rsidR="008F37A0" w:rsidRDefault="008F37A0"/>
    <w:sectPr w:rsidR="008F3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53EE4"/>
    <w:multiLevelType w:val="hybridMultilevel"/>
    <w:tmpl w:val="DEC4C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593C25"/>
    <w:multiLevelType w:val="hybridMultilevel"/>
    <w:tmpl w:val="0102EA3E"/>
    <w:lvl w:ilvl="0" w:tplc="52E4480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B8B6385"/>
    <w:multiLevelType w:val="hybridMultilevel"/>
    <w:tmpl w:val="BEF43CD4"/>
    <w:lvl w:ilvl="0" w:tplc="8D3A5300">
      <w:start w:val="1"/>
      <w:numFmt w:val="bullet"/>
      <w:lvlText w:val="-"/>
      <w:lvlJc w:val="left"/>
      <w:pPr>
        <w:ind w:left="720" w:hanging="360"/>
      </w:pPr>
      <w:rPr>
        <w:rFonts w:ascii="Times" w:eastAsiaTheme="minorHAnsi" w:hAnsi="Times" w:cs="Times"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00339E7"/>
    <w:multiLevelType w:val="hybridMultilevel"/>
    <w:tmpl w:val="497A3C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AE"/>
    <w:rsid w:val="0006613D"/>
    <w:rsid w:val="00076AAE"/>
    <w:rsid w:val="00090512"/>
    <w:rsid w:val="000A15BB"/>
    <w:rsid w:val="001B4FEA"/>
    <w:rsid w:val="001E210D"/>
    <w:rsid w:val="002529B5"/>
    <w:rsid w:val="002802B9"/>
    <w:rsid w:val="00393BA7"/>
    <w:rsid w:val="003E0555"/>
    <w:rsid w:val="003F0B83"/>
    <w:rsid w:val="00440A9B"/>
    <w:rsid w:val="004534A4"/>
    <w:rsid w:val="00627D66"/>
    <w:rsid w:val="006876C8"/>
    <w:rsid w:val="007952C3"/>
    <w:rsid w:val="008F37A0"/>
    <w:rsid w:val="009A10A2"/>
    <w:rsid w:val="00A7CDE5"/>
    <w:rsid w:val="00CA5EFC"/>
    <w:rsid w:val="00D817CD"/>
    <w:rsid w:val="054EC2BB"/>
    <w:rsid w:val="07E70145"/>
    <w:rsid w:val="08338C40"/>
    <w:rsid w:val="08BF2E5C"/>
    <w:rsid w:val="10C9CB2E"/>
    <w:rsid w:val="13F18B52"/>
    <w:rsid w:val="17E9114D"/>
    <w:rsid w:val="1E330268"/>
    <w:rsid w:val="2058E8AF"/>
    <w:rsid w:val="22F41EEE"/>
    <w:rsid w:val="256D6949"/>
    <w:rsid w:val="26CBC14F"/>
    <w:rsid w:val="2ADE1BCC"/>
    <w:rsid w:val="300B721E"/>
    <w:rsid w:val="30B474E5"/>
    <w:rsid w:val="31BA95C0"/>
    <w:rsid w:val="39FF4B7B"/>
    <w:rsid w:val="3AECEAD9"/>
    <w:rsid w:val="3F636B1E"/>
    <w:rsid w:val="41D16B6D"/>
    <w:rsid w:val="42531810"/>
    <w:rsid w:val="47FE9E8B"/>
    <w:rsid w:val="48591717"/>
    <w:rsid w:val="4D890DD1"/>
    <w:rsid w:val="4EF88E4A"/>
    <w:rsid w:val="519BA6FD"/>
    <w:rsid w:val="56EA7828"/>
    <w:rsid w:val="5A5E470D"/>
    <w:rsid w:val="5AC290A2"/>
    <w:rsid w:val="5BE1BE39"/>
    <w:rsid w:val="5E47411B"/>
    <w:rsid w:val="60E253A5"/>
    <w:rsid w:val="622CFF1C"/>
    <w:rsid w:val="63A96359"/>
    <w:rsid w:val="65219626"/>
    <w:rsid w:val="6DA023AE"/>
    <w:rsid w:val="6DD9244F"/>
    <w:rsid w:val="6E1B2E06"/>
    <w:rsid w:val="6E42ACD6"/>
    <w:rsid w:val="6ED8DDD6"/>
    <w:rsid w:val="6F03B451"/>
    <w:rsid w:val="70F5E2CC"/>
    <w:rsid w:val="72766C30"/>
    <w:rsid w:val="746B88F1"/>
    <w:rsid w:val="74FD4BE8"/>
    <w:rsid w:val="752C93F6"/>
    <w:rsid w:val="7950AC4A"/>
    <w:rsid w:val="79CE6009"/>
    <w:rsid w:val="7DAAAE04"/>
    <w:rsid w:val="7F9649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EE02"/>
  <w15:chartTrackingRefBased/>
  <w15:docId w15:val="{AB6A1395-16E9-4FA6-8A16-6D12013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6AAE"/>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07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7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0A15BB"/>
    <w:pPr>
      <w:ind w:left="720"/>
      <w:contextualSpacing/>
    </w:pPr>
  </w:style>
  <w:style w:type="character" w:styleId="Odkaznakomentr">
    <w:name w:val="annotation reference"/>
    <w:basedOn w:val="Predvolenpsmoodseku"/>
    <w:uiPriority w:val="99"/>
    <w:semiHidden/>
    <w:unhideWhenUsed/>
    <w:rsid w:val="000A15BB"/>
    <w:rPr>
      <w:sz w:val="16"/>
      <w:szCs w:val="16"/>
    </w:rPr>
  </w:style>
  <w:style w:type="paragraph" w:styleId="Textkomentra">
    <w:name w:val="annotation text"/>
    <w:basedOn w:val="Normlny"/>
    <w:link w:val="TextkomentraChar"/>
    <w:uiPriority w:val="99"/>
    <w:semiHidden/>
    <w:unhideWhenUsed/>
    <w:rsid w:val="000A15BB"/>
    <w:rPr>
      <w:sz w:val="20"/>
      <w:szCs w:val="20"/>
    </w:rPr>
  </w:style>
  <w:style w:type="character" w:customStyle="1" w:styleId="TextkomentraChar">
    <w:name w:val="Text komentára Char"/>
    <w:basedOn w:val="Predvolenpsmoodseku"/>
    <w:link w:val="Textkomentra"/>
    <w:uiPriority w:val="99"/>
    <w:semiHidden/>
    <w:rsid w:val="000A15B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A15BB"/>
    <w:rPr>
      <w:b/>
      <w:bCs/>
    </w:rPr>
  </w:style>
  <w:style w:type="character" w:customStyle="1" w:styleId="PredmetkomentraChar">
    <w:name w:val="Predmet komentára Char"/>
    <w:basedOn w:val="TextkomentraChar"/>
    <w:link w:val="Predmetkomentra"/>
    <w:uiPriority w:val="99"/>
    <w:semiHidden/>
    <w:rsid w:val="000A15B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A15BB"/>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15B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icz@mhsr.s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CF52F38788447A43E61D16C2BBC8B" ma:contentTypeVersion="4" ma:contentTypeDescription="Create a new document." ma:contentTypeScope="" ma:versionID="7b6de52bc65923b8eaf0707d00ea1c52">
  <xsd:schema xmlns:xsd="http://www.w3.org/2001/XMLSchema" xmlns:xs="http://www.w3.org/2001/XMLSchema" xmlns:p="http://schemas.microsoft.com/office/2006/metadata/properties" xmlns:ns2="5916a675-1cb6-4f8f-b5de-89db209f1482" targetNamespace="http://schemas.microsoft.com/office/2006/metadata/properties" ma:root="true" ma:fieldsID="4d68da31ef25d44f3ae246a328cce1ff" ns2:_="">
    <xsd:import namespace="5916a675-1cb6-4f8f-b5de-89db209f1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a675-1cb6-4f8f-b5de-89db209f1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146FB-11F5-49E8-959B-209DF7C00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a675-1cb6-4f8f-b5de-89db209f1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1954-F2E2-42F6-A35B-91A86476B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23AED-5462-4A46-A429-388BB54A6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4665</Words>
  <Characters>26593</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Vitoslavsky Daniel</dc:creator>
  <cp:keywords/>
  <dc:description/>
  <cp:lastModifiedBy>Dukova Nikol</cp:lastModifiedBy>
  <cp:revision>5</cp:revision>
  <dcterms:created xsi:type="dcterms:W3CDTF">2025-04-24T14:37:00Z</dcterms:created>
  <dcterms:modified xsi:type="dcterms:W3CDTF">2025-04-25T06:02:00Z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0x010100363CF52F38788447A43E61D16C2BBC8B</vt:lpwstr>
  </property>
</Properties>
</file>