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1415"/>
        <w:tblW w:w="16669"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5"/>
        <w:gridCol w:w="3421"/>
        <w:gridCol w:w="794"/>
        <w:gridCol w:w="1080"/>
        <w:gridCol w:w="900"/>
        <w:gridCol w:w="4540"/>
        <w:gridCol w:w="849"/>
        <w:gridCol w:w="1360"/>
        <w:gridCol w:w="1360"/>
        <w:gridCol w:w="1360"/>
      </w:tblGrid>
      <w:tr w:rsidR="0057633B" w:rsidRPr="0029105C" w14:paraId="60B2666D" w14:textId="77777777" w:rsidTr="00402EF0">
        <w:trPr>
          <w:trHeight w:val="512"/>
        </w:trPr>
        <w:tc>
          <w:tcPr>
            <w:tcW w:w="16669" w:type="dxa"/>
            <w:gridSpan w:val="10"/>
            <w:tcBorders>
              <w:top w:val="single" w:sz="12" w:space="0" w:color="auto"/>
              <w:left w:val="single" w:sz="12" w:space="0" w:color="auto"/>
              <w:bottom w:val="single" w:sz="4" w:space="0" w:color="auto"/>
            </w:tcBorders>
            <w:vAlign w:val="center"/>
          </w:tcPr>
          <w:p w14:paraId="2EFE6377" w14:textId="2CFFFF1A" w:rsidR="0057633B" w:rsidRPr="0029105C" w:rsidRDefault="00730922" w:rsidP="0057633B">
            <w:pPr>
              <w:keepNext/>
              <w:autoSpaceDE w:val="0"/>
              <w:autoSpaceDN w:val="0"/>
              <w:spacing w:after="0" w:line="240" w:lineRule="auto"/>
              <w:ind w:left="360"/>
              <w:jc w:val="center"/>
              <w:outlineLvl w:val="0"/>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xml:space="preserve">ČIASTKOVÁ </w:t>
            </w:r>
            <w:r w:rsidR="0057633B" w:rsidRPr="0029105C">
              <w:rPr>
                <w:rFonts w:ascii="Times New Roman" w:eastAsia="Times New Roman" w:hAnsi="Times New Roman" w:cs="Times New Roman"/>
                <w:b/>
                <w:bCs/>
                <w:sz w:val="20"/>
                <w:szCs w:val="20"/>
                <w:lang w:eastAsia="sk-SK"/>
              </w:rPr>
              <w:t xml:space="preserve">TABUĽKA ZHODY </w:t>
            </w:r>
          </w:p>
        </w:tc>
      </w:tr>
      <w:tr w:rsidR="0057633B" w:rsidRPr="0029105C" w14:paraId="2D413108" w14:textId="77777777" w:rsidTr="00402EF0">
        <w:trPr>
          <w:trHeight w:val="567"/>
        </w:trPr>
        <w:tc>
          <w:tcPr>
            <w:tcW w:w="5220" w:type="dxa"/>
            <w:gridSpan w:val="3"/>
            <w:tcBorders>
              <w:top w:val="single" w:sz="4" w:space="0" w:color="auto"/>
              <w:left w:val="single" w:sz="12" w:space="0" w:color="auto"/>
              <w:bottom w:val="single" w:sz="4" w:space="0" w:color="auto"/>
              <w:right w:val="single" w:sz="12" w:space="0" w:color="auto"/>
            </w:tcBorders>
            <w:vAlign w:val="center"/>
          </w:tcPr>
          <w:p w14:paraId="09267C45" w14:textId="5753D0E4" w:rsidR="0057633B" w:rsidRPr="0029105C" w:rsidRDefault="008B59FA" w:rsidP="00681C96">
            <w:pPr>
              <w:autoSpaceDE w:val="0"/>
              <w:autoSpaceDN w:val="0"/>
              <w:spacing w:after="0" w:line="240" w:lineRule="auto"/>
              <w:jc w:val="center"/>
              <w:rPr>
                <w:rFonts w:ascii="Times New Roman" w:eastAsia="Times New Roman" w:hAnsi="Times New Roman" w:cs="Times New Roman"/>
                <w:b/>
                <w:sz w:val="20"/>
                <w:szCs w:val="20"/>
                <w:lang w:eastAsia="sk-SK"/>
              </w:rPr>
            </w:pPr>
            <w:r w:rsidRPr="0029105C">
              <w:rPr>
                <w:rFonts w:ascii="Times New Roman" w:eastAsia="Times New Roman" w:hAnsi="Times New Roman" w:cs="Times New Roman"/>
                <w:b/>
                <w:bCs/>
                <w:color w:val="000000" w:themeColor="text1"/>
                <w:sz w:val="20"/>
                <w:szCs w:val="20"/>
                <w:lang w:eastAsia="sk-SK"/>
              </w:rPr>
              <w:t>Smernica Európskeho parlamentu a Rady (EÚ) 2023/2413 z</w:t>
            </w:r>
            <w:r w:rsidR="00681C96">
              <w:rPr>
                <w:rFonts w:ascii="Times New Roman" w:eastAsia="Times New Roman" w:hAnsi="Times New Roman" w:cs="Times New Roman"/>
                <w:b/>
                <w:bCs/>
                <w:color w:val="000000" w:themeColor="text1"/>
                <w:sz w:val="20"/>
                <w:szCs w:val="20"/>
                <w:lang w:eastAsia="sk-SK"/>
              </w:rPr>
              <w:t> </w:t>
            </w:r>
            <w:r w:rsidRPr="0029105C">
              <w:rPr>
                <w:rFonts w:ascii="Times New Roman" w:eastAsia="Times New Roman" w:hAnsi="Times New Roman" w:cs="Times New Roman"/>
                <w:b/>
                <w:bCs/>
                <w:color w:val="000000" w:themeColor="text1"/>
                <w:sz w:val="20"/>
                <w:szCs w:val="20"/>
                <w:lang w:eastAsia="sk-SK"/>
              </w:rPr>
              <w:t>18. októbra 2023, ktorou sa mení smernica (EÚ) 2018/2001, nariadenie (EÚ) 2018/1999 a smernica 98/70/ES, pokiaľ ide o podporu energie z obnoviteľných zdrojov, a</w:t>
            </w:r>
            <w:r w:rsidR="00681C96">
              <w:rPr>
                <w:rFonts w:ascii="Times New Roman" w:eastAsia="Times New Roman" w:hAnsi="Times New Roman" w:cs="Times New Roman"/>
                <w:b/>
                <w:bCs/>
                <w:color w:val="000000" w:themeColor="text1"/>
                <w:sz w:val="20"/>
                <w:szCs w:val="20"/>
                <w:lang w:eastAsia="sk-SK"/>
              </w:rPr>
              <w:t> </w:t>
            </w:r>
            <w:r w:rsidRPr="0029105C">
              <w:rPr>
                <w:rFonts w:ascii="Times New Roman" w:eastAsia="Times New Roman" w:hAnsi="Times New Roman" w:cs="Times New Roman"/>
                <w:b/>
                <w:bCs/>
                <w:color w:val="000000" w:themeColor="text1"/>
                <w:sz w:val="20"/>
                <w:szCs w:val="20"/>
                <w:lang w:eastAsia="sk-SK"/>
              </w:rPr>
              <w:t>ktorou</w:t>
            </w:r>
            <w:r w:rsidR="00681C96">
              <w:rPr>
                <w:rFonts w:ascii="Times New Roman" w:eastAsia="Times New Roman" w:hAnsi="Times New Roman" w:cs="Times New Roman"/>
                <w:b/>
                <w:bCs/>
                <w:color w:val="000000" w:themeColor="text1"/>
                <w:sz w:val="20"/>
                <w:szCs w:val="20"/>
                <w:lang w:eastAsia="sk-SK"/>
              </w:rPr>
              <w:t xml:space="preserve"> </w:t>
            </w:r>
            <w:r w:rsidRPr="0029105C">
              <w:rPr>
                <w:rFonts w:ascii="Times New Roman" w:eastAsia="Times New Roman" w:hAnsi="Times New Roman" w:cs="Times New Roman"/>
                <w:b/>
                <w:bCs/>
                <w:color w:val="000000" w:themeColor="text1"/>
                <w:sz w:val="20"/>
                <w:szCs w:val="20"/>
                <w:lang w:eastAsia="sk-SK"/>
              </w:rPr>
              <w:t>sa zrušuje smernica Rady (EÚ) 2015/652</w:t>
            </w:r>
            <w:r w:rsidR="00A375C7">
              <w:rPr>
                <w:rFonts w:ascii="Times New Roman" w:eastAsia="Times New Roman" w:hAnsi="Times New Roman" w:cs="Times New Roman"/>
                <w:b/>
                <w:bCs/>
                <w:color w:val="000000" w:themeColor="text1"/>
                <w:sz w:val="20"/>
                <w:szCs w:val="20"/>
                <w:lang w:eastAsia="sk-SK"/>
              </w:rPr>
              <w:t xml:space="preserve"> (Ú. v. EÚ L, 2023/2413, 31.10.2023)</w:t>
            </w:r>
          </w:p>
        </w:tc>
        <w:tc>
          <w:tcPr>
            <w:tcW w:w="11449" w:type="dxa"/>
            <w:gridSpan w:val="7"/>
            <w:tcBorders>
              <w:top w:val="single" w:sz="4" w:space="0" w:color="auto"/>
              <w:left w:val="nil"/>
              <w:bottom w:val="single" w:sz="4" w:space="0" w:color="auto"/>
            </w:tcBorders>
            <w:vAlign w:val="center"/>
          </w:tcPr>
          <w:p w14:paraId="21615166" w14:textId="6D61F65B" w:rsidR="000C238B" w:rsidRDefault="000C238B" w:rsidP="000C238B">
            <w:pPr>
              <w:autoSpaceDE w:val="0"/>
              <w:autoSpaceDN w:val="0"/>
              <w:spacing w:after="0" w:line="240" w:lineRule="auto"/>
              <w:ind w:left="256" w:hanging="14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F7394D">
              <w:rPr>
                <w:rFonts w:ascii="Times New Roman" w:eastAsia="Times New Roman" w:hAnsi="Times New Roman" w:cs="Times New Roman"/>
                <w:b/>
                <w:sz w:val="20"/>
                <w:szCs w:val="20"/>
                <w:lang w:eastAsia="sk-SK"/>
              </w:rPr>
              <w:t xml:space="preserve">Návrh zákona, ktorým sa mení a dopĺňa zákon č. </w:t>
            </w:r>
            <w:r w:rsidR="00F7394D" w:rsidRPr="00F7394D">
              <w:rPr>
                <w:rFonts w:ascii="Times New Roman" w:eastAsia="Times New Roman" w:hAnsi="Times New Roman" w:cs="Times New Roman"/>
                <w:b/>
                <w:sz w:val="20"/>
                <w:szCs w:val="20"/>
                <w:lang w:eastAsia="sk-SK"/>
              </w:rPr>
              <w:t>309/2009</w:t>
            </w:r>
            <w:r w:rsidRPr="00F7394D">
              <w:rPr>
                <w:rFonts w:ascii="Times New Roman" w:eastAsia="Times New Roman" w:hAnsi="Times New Roman" w:cs="Times New Roman"/>
                <w:b/>
                <w:sz w:val="20"/>
                <w:szCs w:val="20"/>
                <w:lang w:eastAsia="sk-SK"/>
              </w:rPr>
              <w:t xml:space="preserve"> Z. z. o </w:t>
            </w:r>
            <w:r w:rsidR="00BE60A7" w:rsidRPr="0029105C">
              <w:rPr>
                <w:rFonts w:ascii="Times New Roman" w:eastAsia="Times New Roman" w:hAnsi="Times New Roman" w:cs="Times New Roman"/>
                <w:sz w:val="20"/>
                <w:szCs w:val="20"/>
                <w:lang w:eastAsia="sk-SK"/>
              </w:rPr>
              <w:t xml:space="preserve"> </w:t>
            </w:r>
            <w:r w:rsidR="00BE60A7" w:rsidRPr="00BE60A7">
              <w:rPr>
                <w:rFonts w:ascii="Times New Roman" w:eastAsia="Times New Roman" w:hAnsi="Times New Roman" w:cs="Times New Roman"/>
                <w:b/>
                <w:sz w:val="20"/>
                <w:szCs w:val="20"/>
                <w:lang w:eastAsia="sk-SK"/>
              </w:rPr>
              <w:t>podpore obnoviteľných zdrojov energie a vysoko účinnej kombinovanej výroby a o zmene a doplnení  niektorých zákonov</w:t>
            </w:r>
            <w:r w:rsidR="00BE60A7" w:rsidRPr="00F7394D">
              <w:rPr>
                <w:rFonts w:ascii="Times New Roman" w:eastAsia="Times New Roman" w:hAnsi="Times New Roman" w:cs="Times New Roman"/>
                <w:b/>
                <w:sz w:val="20"/>
                <w:szCs w:val="20"/>
                <w:lang w:eastAsia="sk-SK"/>
              </w:rPr>
              <w:t xml:space="preserve"> </w:t>
            </w:r>
            <w:r w:rsidR="00F7394D" w:rsidRPr="00F7394D">
              <w:rPr>
                <w:rFonts w:ascii="Times New Roman" w:hAnsi="Times New Roman"/>
                <w:b/>
                <w:sz w:val="20"/>
                <w:szCs w:val="20"/>
              </w:rPr>
              <w:t>a ktorým sa menia a dopĺňajú niektoré zákony</w:t>
            </w:r>
          </w:p>
          <w:p w14:paraId="0B65A573" w14:textId="155DC868" w:rsidR="0057633B" w:rsidRPr="0029105C" w:rsidRDefault="00CD6B71" w:rsidP="000C238B">
            <w:pPr>
              <w:autoSpaceDE w:val="0"/>
              <w:autoSpaceDN w:val="0"/>
              <w:spacing w:after="0" w:line="240" w:lineRule="auto"/>
              <w:ind w:firstLine="112"/>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r w:rsidR="000C238B">
              <w:rPr>
                <w:rFonts w:ascii="Times New Roman" w:eastAsia="Times New Roman" w:hAnsi="Times New Roman" w:cs="Times New Roman"/>
                <w:sz w:val="20"/>
                <w:szCs w:val="20"/>
                <w:lang w:eastAsia="sk-SK"/>
              </w:rPr>
              <w:t xml:space="preserve"> </w:t>
            </w:r>
            <w:r w:rsidR="0057633B" w:rsidRPr="0029105C">
              <w:rPr>
                <w:rFonts w:ascii="Times New Roman" w:eastAsia="Times New Roman" w:hAnsi="Times New Roman" w:cs="Times New Roman"/>
                <w:sz w:val="20"/>
                <w:szCs w:val="20"/>
                <w:lang w:eastAsia="sk-SK"/>
              </w:rPr>
              <w:t>Zákon č. 251/2012 Z. z. o energetike a o zmene a doplnení niektorých zákonov</w:t>
            </w:r>
          </w:p>
          <w:p w14:paraId="0EDF3664" w14:textId="132C7DD2" w:rsidR="0057633B" w:rsidRPr="0029105C" w:rsidRDefault="00CD6B71" w:rsidP="000C238B">
            <w:pPr>
              <w:autoSpaceDE w:val="0"/>
              <w:autoSpaceDN w:val="0"/>
              <w:spacing w:after="0" w:line="240" w:lineRule="auto"/>
              <w:ind w:left="256" w:hanging="14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w:t>
            </w:r>
            <w:r w:rsidR="000C238B">
              <w:rPr>
                <w:rFonts w:ascii="Times New Roman" w:eastAsia="Times New Roman" w:hAnsi="Times New Roman" w:cs="Times New Roman"/>
                <w:sz w:val="20"/>
                <w:szCs w:val="20"/>
                <w:lang w:eastAsia="sk-SK"/>
              </w:rPr>
              <w:t xml:space="preserve"> </w:t>
            </w:r>
            <w:r w:rsidR="0057633B" w:rsidRPr="0029105C">
              <w:rPr>
                <w:rFonts w:ascii="Times New Roman" w:eastAsia="Times New Roman" w:hAnsi="Times New Roman" w:cs="Times New Roman"/>
                <w:sz w:val="20"/>
                <w:szCs w:val="20"/>
                <w:lang w:eastAsia="sk-SK"/>
              </w:rPr>
              <w:t xml:space="preserve">Zákon č. 309/2009 Z. z. o podpore obnoviteľných zdrojov energie a vysoko účinnej kombinovanej výroby a o zmene a doplnení </w:t>
            </w:r>
            <w:r w:rsidR="00FF0F38">
              <w:rPr>
                <w:rFonts w:ascii="Times New Roman" w:eastAsia="Times New Roman" w:hAnsi="Times New Roman" w:cs="Times New Roman"/>
                <w:sz w:val="20"/>
                <w:szCs w:val="20"/>
                <w:lang w:eastAsia="sk-SK"/>
              </w:rPr>
              <w:t xml:space="preserve"> </w:t>
            </w:r>
            <w:r w:rsidR="0057633B" w:rsidRPr="0029105C">
              <w:rPr>
                <w:rFonts w:ascii="Times New Roman" w:eastAsia="Times New Roman" w:hAnsi="Times New Roman" w:cs="Times New Roman"/>
                <w:sz w:val="20"/>
                <w:szCs w:val="20"/>
                <w:lang w:eastAsia="sk-SK"/>
              </w:rPr>
              <w:t>niektorých zákonov</w:t>
            </w:r>
          </w:p>
          <w:p w14:paraId="6C5B3C7B" w14:textId="63EC1524" w:rsidR="0057633B" w:rsidRPr="0029105C" w:rsidRDefault="00FF0F38" w:rsidP="000C238B">
            <w:pPr>
              <w:autoSpaceDE w:val="0"/>
              <w:autoSpaceDN w:val="0"/>
              <w:spacing w:after="0" w:line="240" w:lineRule="auto"/>
              <w:ind w:left="256" w:hanging="14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w:t>
            </w:r>
            <w:r w:rsidR="000C238B">
              <w:rPr>
                <w:rFonts w:ascii="Times New Roman" w:eastAsia="Times New Roman" w:hAnsi="Times New Roman" w:cs="Times New Roman"/>
                <w:sz w:val="20"/>
                <w:szCs w:val="20"/>
                <w:lang w:eastAsia="sk-SK"/>
              </w:rPr>
              <w:t xml:space="preserve"> </w:t>
            </w:r>
            <w:r w:rsidR="0057633B" w:rsidRPr="0029105C">
              <w:rPr>
                <w:rFonts w:ascii="Times New Roman" w:eastAsia="Times New Roman" w:hAnsi="Times New Roman" w:cs="Times New Roman"/>
                <w:sz w:val="20"/>
                <w:szCs w:val="20"/>
                <w:lang w:eastAsia="sk-SK"/>
              </w:rPr>
              <w:t>Zákon č. 657/2004 Z. z. o tepelnej energetike a o zmene a doplnení niektorých zákonov</w:t>
            </w:r>
          </w:p>
          <w:p w14:paraId="0C2EC413" w14:textId="0B3F36F8" w:rsidR="0029105C" w:rsidRDefault="00FF0F38" w:rsidP="000C238B">
            <w:pPr>
              <w:autoSpaceDE w:val="0"/>
              <w:autoSpaceDN w:val="0"/>
              <w:spacing w:after="0" w:line="240" w:lineRule="auto"/>
              <w:ind w:left="256" w:hanging="14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0029105C">
              <w:rPr>
                <w:rFonts w:ascii="Times New Roman" w:eastAsia="Times New Roman" w:hAnsi="Times New Roman" w:cs="Times New Roman"/>
                <w:sz w:val="20"/>
                <w:szCs w:val="20"/>
                <w:lang w:eastAsia="sk-SK"/>
              </w:rPr>
              <w:t>Návrh vyhlášky</w:t>
            </w:r>
            <w:r w:rsidR="0029105C">
              <w:t xml:space="preserve"> </w:t>
            </w:r>
            <w:r w:rsidR="0029105C" w:rsidRPr="0029105C">
              <w:rPr>
                <w:rFonts w:ascii="Times New Roman" w:eastAsia="Times New Roman" w:hAnsi="Times New Roman" w:cs="Times New Roman"/>
                <w:sz w:val="20"/>
                <w:szCs w:val="20"/>
                <w:lang w:eastAsia="sk-SK"/>
              </w:rPr>
              <w:t>Ministerstva životného prostredia SR , ktorou sa ustanovujú kritériá trvalej udržateľnosti</w:t>
            </w:r>
          </w:p>
          <w:p w14:paraId="70EB6CD2" w14:textId="2B7D9162" w:rsidR="0029105C" w:rsidRPr="0029105C" w:rsidRDefault="00FF0F38" w:rsidP="000C238B">
            <w:pPr>
              <w:autoSpaceDE w:val="0"/>
              <w:autoSpaceDN w:val="0"/>
              <w:spacing w:after="0" w:line="240" w:lineRule="auto"/>
              <w:ind w:left="256" w:hanging="14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0029105C" w:rsidRPr="0029105C">
              <w:rPr>
                <w:rFonts w:ascii="Times New Roman" w:eastAsia="Times New Roman" w:hAnsi="Times New Roman" w:cs="Times New Roman"/>
                <w:sz w:val="20"/>
                <w:szCs w:val="20"/>
                <w:lang w:eastAsia="sk-SK"/>
              </w:rPr>
              <w:t>Návrh vyhlášky Ministerstva životného prostredia Slovenskej republiky, ktorou sa mení a dopĺňa vyhláška Ministerstva životného prostredia Slovenskej republiky č. 251/2023 Z. z. o kvalite palív</w:t>
            </w:r>
          </w:p>
          <w:p w14:paraId="672A6659"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b/>
                <w:sz w:val="20"/>
                <w:szCs w:val="20"/>
                <w:lang w:eastAsia="sk-SK"/>
              </w:rPr>
            </w:pPr>
          </w:p>
        </w:tc>
      </w:tr>
      <w:tr w:rsidR="0057633B" w:rsidRPr="0029105C" w14:paraId="28C4D442" w14:textId="77777777" w:rsidTr="00402EF0">
        <w:tc>
          <w:tcPr>
            <w:tcW w:w="1005" w:type="dxa"/>
            <w:tcBorders>
              <w:top w:val="single" w:sz="4" w:space="0" w:color="auto"/>
              <w:left w:val="single" w:sz="12" w:space="0" w:color="auto"/>
              <w:bottom w:val="single" w:sz="4" w:space="0" w:color="auto"/>
              <w:right w:val="single" w:sz="4" w:space="0" w:color="auto"/>
            </w:tcBorders>
          </w:tcPr>
          <w:p w14:paraId="649841BE"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1</w:t>
            </w:r>
          </w:p>
        </w:tc>
        <w:tc>
          <w:tcPr>
            <w:tcW w:w="3421" w:type="dxa"/>
            <w:tcBorders>
              <w:top w:val="single" w:sz="4" w:space="0" w:color="auto"/>
              <w:left w:val="single" w:sz="4" w:space="0" w:color="auto"/>
              <w:bottom w:val="single" w:sz="4" w:space="0" w:color="auto"/>
              <w:right w:val="single" w:sz="4" w:space="0" w:color="auto"/>
            </w:tcBorders>
          </w:tcPr>
          <w:p w14:paraId="18F999B5"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2</w:t>
            </w:r>
          </w:p>
        </w:tc>
        <w:tc>
          <w:tcPr>
            <w:tcW w:w="794" w:type="dxa"/>
            <w:tcBorders>
              <w:top w:val="single" w:sz="4" w:space="0" w:color="auto"/>
              <w:left w:val="single" w:sz="4" w:space="0" w:color="auto"/>
              <w:bottom w:val="single" w:sz="4" w:space="0" w:color="auto"/>
              <w:right w:val="single" w:sz="12" w:space="0" w:color="auto"/>
            </w:tcBorders>
          </w:tcPr>
          <w:p w14:paraId="5FCD5EC4"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3</w:t>
            </w:r>
          </w:p>
        </w:tc>
        <w:tc>
          <w:tcPr>
            <w:tcW w:w="1080" w:type="dxa"/>
            <w:tcBorders>
              <w:top w:val="single" w:sz="4" w:space="0" w:color="auto"/>
              <w:left w:val="nil"/>
              <w:bottom w:val="single" w:sz="4" w:space="0" w:color="auto"/>
              <w:right w:val="single" w:sz="4" w:space="0" w:color="auto"/>
            </w:tcBorders>
          </w:tcPr>
          <w:p w14:paraId="2598DEE6"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4</w:t>
            </w:r>
          </w:p>
        </w:tc>
        <w:tc>
          <w:tcPr>
            <w:tcW w:w="900" w:type="dxa"/>
            <w:tcBorders>
              <w:top w:val="single" w:sz="4" w:space="0" w:color="auto"/>
              <w:left w:val="single" w:sz="4" w:space="0" w:color="auto"/>
              <w:bottom w:val="single" w:sz="4" w:space="0" w:color="auto"/>
              <w:right w:val="single" w:sz="4" w:space="0" w:color="auto"/>
            </w:tcBorders>
          </w:tcPr>
          <w:p w14:paraId="78941E47" w14:textId="77777777" w:rsidR="0057633B" w:rsidRPr="0029105C" w:rsidRDefault="0057633B" w:rsidP="0057633B">
            <w:pPr>
              <w:autoSpaceDE w:val="0"/>
              <w:autoSpaceDN w:val="0"/>
              <w:spacing w:after="0" w:line="240" w:lineRule="exact"/>
              <w:jc w:val="center"/>
              <w:rPr>
                <w:rFonts w:ascii="Times New Roman" w:eastAsia="Times New Roman" w:hAnsi="Times New Roman" w:cs="Times New Roman"/>
                <w:bCs/>
                <w:sz w:val="20"/>
                <w:szCs w:val="20"/>
                <w:lang w:eastAsia="sk-SK"/>
              </w:rPr>
            </w:pPr>
            <w:r w:rsidRPr="0029105C">
              <w:rPr>
                <w:rFonts w:ascii="Times New Roman" w:eastAsia="Times New Roman" w:hAnsi="Times New Roman" w:cs="Times New Roman"/>
                <w:bCs/>
                <w:sz w:val="20"/>
                <w:szCs w:val="20"/>
                <w:lang w:eastAsia="sk-SK"/>
              </w:rPr>
              <w:t>5</w:t>
            </w:r>
          </w:p>
        </w:tc>
        <w:tc>
          <w:tcPr>
            <w:tcW w:w="4540" w:type="dxa"/>
            <w:tcBorders>
              <w:top w:val="single" w:sz="4" w:space="0" w:color="auto"/>
              <w:left w:val="single" w:sz="4" w:space="0" w:color="auto"/>
              <w:bottom w:val="single" w:sz="4" w:space="0" w:color="auto"/>
              <w:right w:val="single" w:sz="4" w:space="0" w:color="auto"/>
            </w:tcBorders>
          </w:tcPr>
          <w:p w14:paraId="29B4EA11" w14:textId="77777777" w:rsidR="0057633B" w:rsidRPr="0029105C" w:rsidRDefault="0057633B" w:rsidP="0057633B">
            <w:pPr>
              <w:autoSpaceDE w:val="0"/>
              <w:autoSpaceDN w:val="0"/>
              <w:spacing w:after="0" w:line="240" w:lineRule="exact"/>
              <w:jc w:val="center"/>
              <w:rPr>
                <w:rFonts w:ascii="Times New Roman" w:eastAsia="Times New Roman" w:hAnsi="Times New Roman" w:cs="Times New Roman"/>
                <w:bCs/>
                <w:sz w:val="20"/>
                <w:szCs w:val="20"/>
                <w:lang w:eastAsia="sk-SK"/>
              </w:rPr>
            </w:pPr>
            <w:r w:rsidRPr="0029105C">
              <w:rPr>
                <w:rFonts w:ascii="Times New Roman" w:eastAsia="Times New Roman" w:hAnsi="Times New Roman" w:cs="Times New Roman"/>
                <w:bCs/>
                <w:sz w:val="20"/>
                <w:szCs w:val="20"/>
                <w:lang w:eastAsia="sk-SK"/>
              </w:rPr>
              <w:t>6</w:t>
            </w:r>
          </w:p>
        </w:tc>
        <w:tc>
          <w:tcPr>
            <w:tcW w:w="849" w:type="dxa"/>
            <w:tcBorders>
              <w:top w:val="single" w:sz="4" w:space="0" w:color="auto"/>
              <w:left w:val="single" w:sz="4" w:space="0" w:color="auto"/>
              <w:bottom w:val="single" w:sz="4" w:space="0" w:color="auto"/>
              <w:right w:val="single" w:sz="4" w:space="0" w:color="auto"/>
            </w:tcBorders>
          </w:tcPr>
          <w:p w14:paraId="75697EEC"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7</w:t>
            </w:r>
          </w:p>
        </w:tc>
        <w:tc>
          <w:tcPr>
            <w:tcW w:w="1360" w:type="dxa"/>
            <w:tcBorders>
              <w:top w:val="single" w:sz="4" w:space="0" w:color="auto"/>
              <w:left w:val="single" w:sz="4" w:space="0" w:color="auto"/>
              <w:bottom w:val="single" w:sz="4" w:space="0" w:color="auto"/>
              <w:right w:val="single" w:sz="4" w:space="0" w:color="auto"/>
            </w:tcBorders>
          </w:tcPr>
          <w:p w14:paraId="44B0A208" w14:textId="77777777" w:rsidR="0057633B" w:rsidRPr="0029105C"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8</w:t>
            </w:r>
          </w:p>
        </w:tc>
        <w:tc>
          <w:tcPr>
            <w:tcW w:w="1360" w:type="dxa"/>
            <w:tcBorders>
              <w:top w:val="single" w:sz="4" w:space="0" w:color="auto"/>
              <w:left w:val="single" w:sz="4" w:space="0" w:color="auto"/>
              <w:bottom w:val="single" w:sz="4" w:space="0" w:color="auto"/>
              <w:right w:val="single" w:sz="4" w:space="0" w:color="auto"/>
            </w:tcBorders>
          </w:tcPr>
          <w:p w14:paraId="2B2B7304" w14:textId="77777777" w:rsidR="0057633B" w:rsidRPr="0029105C"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9</w:t>
            </w:r>
          </w:p>
        </w:tc>
        <w:tc>
          <w:tcPr>
            <w:tcW w:w="1360" w:type="dxa"/>
            <w:tcBorders>
              <w:top w:val="single" w:sz="4" w:space="0" w:color="auto"/>
              <w:left w:val="single" w:sz="4" w:space="0" w:color="auto"/>
              <w:bottom w:val="single" w:sz="4" w:space="0" w:color="auto"/>
              <w:right w:val="single" w:sz="4" w:space="0" w:color="auto"/>
            </w:tcBorders>
          </w:tcPr>
          <w:p w14:paraId="5D369756"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10</w:t>
            </w:r>
          </w:p>
        </w:tc>
      </w:tr>
      <w:tr w:rsidR="0057633B" w:rsidRPr="0029105C" w14:paraId="6F14CBBB" w14:textId="77777777" w:rsidTr="00402EF0">
        <w:tc>
          <w:tcPr>
            <w:tcW w:w="1005" w:type="dxa"/>
            <w:tcBorders>
              <w:top w:val="single" w:sz="4" w:space="0" w:color="auto"/>
              <w:left w:val="single" w:sz="12" w:space="0" w:color="auto"/>
              <w:bottom w:val="single" w:sz="4" w:space="0" w:color="auto"/>
              <w:right w:val="single" w:sz="4" w:space="0" w:color="auto"/>
            </w:tcBorders>
          </w:tcPr>
          <w:p w14:paraId="6C3B6BCD"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rPr>
            </w:pPr>
            <w:r w:rsidRPr="0029105C">
              <w:rPr>
                <w:rFonts w:ascii="Times New Roman" w:eastAsia="Times New Roman" w:hAnsi="Times New Roman" w:cs="Times New Roman"/>
                <w:sz w:val="20"/>
                <w:szCs w:val="20"/>
              </w:rPr>
              <w:t>Článok</w:t>
            </w:r>
          </w:p>
          <w:p w14:paraId="241424CE"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rPr>
            </w:pPr>
            <w:r w:rsidRPr="0029105C">
              <w:rPr>
                <w:rFonts w:ascii="Times New Roman" w:eastAsia="Times New Roman" w:hAnsi="Times New Roman" w:cs="Times New Roman"/>
                <w:sz w:val="20"/>
                <w:szCs w:val="20"/>
              </w:rPr>
              <w:t>(Č, O,</w:t>
            </w:r>
          </w:p>
          <w:p w14:paraId="3CC86B73"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rPr>
            </w:pPr>
            <w:r w:rsidRPr="0029105C">
              <w:rPr>
                <w:rFonts w:ascii="Times New Roman" w:eastAsia="Times New Roman" w:hAnsi="Times New Roman" w:cs="Times New Roman"/>
                <w:sz w:val="20"/>
                <w:szCs w:val="20"/>
              </w:rPr>
              <w:t>V, P)</w:t>
            </w:r>
          </w:p>
        </w:tc>
        <w:tc>
          <w:tcPr>
            <w:tcW w:w="3421" w:type="dxa"/>
            <w:tcBorders>
              <w:top w:val="single" w:sz="4" w:space="0" w:color="auto"/>
              <w:left w:val="single" w:sz="4" w:space="0" w:color="auto"/>
              <w:bottom w:val="single" w:sz="4" w:space="0" w:color="auto"/>
              <w:right w:val="single" w:sz="4" w:space="0" w:color="auto"/>
            </w:tcBorders>
          </w:tcPr>
          <w:p w14:paraId="2CD3C4AF"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rPr>
            </w:pPr>
            <w:r w:rsidRPr="0029105C">
              <w:rPr>
                <w:rFonts w:ascii="Times New Roman" w:eastAsia="Times New Roman" w:hAnsi="Times New Roman" w:cs="Times New Roman"/>
                <w:sz w:val="20"/>
                <w:szCs w:val="20"/>
              </w:rPr>
              <w:t>Text</w:t>
            </w:r>
          </w:p>
        </w:tc>
        <w:tc>
          <w:tcPr>
            <w:tcW w:w="794" w:type="dxa"/>
            <w:tcBorders>
              <w:top w:val="single" w:sz="4" w:space="0" w:color="auto"/>
              <w:left w:val="single" w:sz="4" w:space="0" w:color="auto"/>
              <w:bottom w:val="single" w:sz="4" w:space="0" w:color="auto"/>
              <w:right w:val="single" w:sz="12" w:space="0" w:color="auto"/>
            </w:tcBorders>
          </w:tcPr>
          <w:p w14:paraId="43C9ADA8" w14:textId="603D26F9" w:rsidR="0057633B" w:rsidRPr="0029105C" w:rsidRDefault="00F46B5B" w:rsidP="0057633B">
            <w:pPr>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Spôsob </w:t>
            </w:r>
            <w:proofErr w:type="spellStart"/>
            <w:r>
              <w:rPr>
                <w:rFonts w:ascii="Times New Roman" w:eastAsia="Times New Roman" w:hAnsi="Times New Roman" w:cs="Times New Roman"/>
                <w:sz w:val="20"/>
                <w:szCs w:val="20"/>
              </w:rPr>
              <w:t>transp</w:t>
            </w:r>
            <w:proofErr w:type="spellEnd"/>
            <w:r>
              <w:rPr>
                <w:rFonts w:ascii="Times New Roman" w:eastAsia="Times New Roman" w:hAnsi="Times New Roman" w:cs="Times New Roman"/>
                <w:sz w:val="20"/>
                <w:szCs w:val="20"/>
              </w:rPr>
              <w:t>.</w:t>
            </w:r>
          </w:p>
          <w:p w14:paraId="0A37501D"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rPr>
            </w:pPr>
          </w:p>
        </w:tc>
        <w:tc>
          <w:tcPr>
            <w:tcW w:w="1080" w:type="dxa"/>
            <w:tcBorders>
              <w:top w:val="single" w:sz="4" w:space="0" w:color="auto"/>
              <w:left w:val="nil"/>
              <w:bottom w:val="single" w:sz="4" w:space="0" w:color="auto"/>
              <w:right w:val="single" w:sz="4" w:space="0" w:color="auto"/>
            </w:tcBorders>
          </w:tcPr>
          <w:p w14:paraId="2C165EB4"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rPr>
            </w:pPr>
            <w:r w:rsidRPr="0029105C">
              <w:rPr>
                <w:rFonts w:ascii="Times New Roman" w:eastAsia="Times New Roman" w:hAnsi="Times New Roman" w:cs="Times New Roman"/>
                <w:sz w:val="20"/>
                <w:szCs w:val="20"/>
              </w:rPr>
              <w:t xml:space="preserve">Číslo </w:t>
            </w:r>
          </w:p>
        </w:tc>
        <w:tc>
          <w:tcPr>
            <w:tcW w:w="900" w:type="dxa"/>
            <w:tcBorders>
              <w:top w:val="single" w:sz="4" w:space="0" w:color="auto"/>
              <w:left w:val="single" w:sz="4" w:space="0" w:color="auto"/>
              <w:bottom w:val="single" w:sz="4" w:space="0" w:color="auto"/>
              <w:right w:val="single" w:sz="4" w:space="0" w:color="auto"/>
            </w:tcBorders>
          </w:tcPr>
          <w:p w14:paraId="174051C5"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rPr>
            </w:pPr>
            <w:r w:rsidRPr="0029105C">
              <w:rPr>
                <w:rFonts w:ascii="Times New Roman" w:eastAsia="Times New Roman" w:hAnsi="Times New Roman" w:cs="Times New Roman"/>
                <w:sz w:val="20"/>
                <w:szCs w:val="20"/>
              </w:rPr>
              <w:t>Článok</w:t>
            </w:r>
          </w:p>
          <w:p w14:paraId="275888E0"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rPr>
            </w:pPr>
            <w:r w:rsidRPr="0029105C">
              <w:rPr>
                <w:rFonts w:ascii="Times New Roman" w:eastAsia="Times New Roman" w:hAnsi="Times New Roman" w:cs="Times New Roman"/>
                <w:sz w:val="20"/>
                <w:szCs w:val="20"/>
              </w:rPr>
              <w:t xml:space="preserve"> (Č, §, O, V, P)</w:t>
            </w:r>
          </w:p>
        </w:tc>
        <w:tc>
          <w:tcPr>
            <w:tcW w:w="4540" w:type="dxa"/>
            <w:tcBorders>
              <w:top w:val="single" w:sz="4" w:space="0" w:color="auto"/>
              <w:left w:val="single" w:sz="4" w:space="0" w:color="auto"/>
              <w:bottom w:val="single" w:sz="4" w:space="0" w:color="auto"/>
              <w:right w:val="single" w:sz="4" w:space="0" w:color="auto"/>
            </w:tcBorders>
          </w:tcPr>
          <w:p w14:paraId="0CCB684A"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rPr>
            </w:pPr>
            <w:r w:rsidRPr="0029105C">
              <w:rPr>
                <w:rFonts w:ascii="Times New Roman" w:eastAsia="Times New Roman" w:hAnsi="Times New Roman" w:cs="Times New Roman"/>
                <w:sz w:val="20"/>
                <w:szCs w:val="20"/>
              </w:rPr>
              <w:t>Text</w:t>
            </w:r>
          </w:p>
        </w:tc>
        <w:tc>
          <w:tcPr>
            <w:tcW w:w="849" w:type="dxa"/>
            <w:tcBorders>
              <w:top w:val="single" w:sz="4" w:space="0" w:color="auto"/>
              <w:left w:val="single" w:sz="4" w:space="0" w:color="auto"/>
              <w:bottom w:val="single" w:sz="4" w:space="0" w:color="auto"/>
              <w:right w:val="single" w:sz="4" w:space="0" w:color="auto"/>
            </w:tcBorders>
          </w:tcPr>
          <w:p w14:paraId="424CF450"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sz w:val="20"/>
                <w:szCs w:val="20"/>
              </w:rPr>
            </w:pPr>
            <w:r w:rsidRPr="0029105C">
              <w:rPr>
                <w:rFonts w:ascii="Times New Roman" w:eastAsia="Times New Roman" w:hAnsi="Times New Roman" w:cs="Times New Roman"/>
                <w:sz w:val="20"/>
                <w:szCs w:val="20"/>
              </w:rPr>
              <w:t>Zhoda</w:t>
            </w:r>
          </w:p>
        </w:tc>
        <w:tc>
          <w:tcPr>
            <w:tcW w:w="1360" w:type="dxa"/>
            <w:tcBorders>
              <w:top w:val="single" w:sz="4" w:space="0" w:color="auto"/>
              <w:left w:val="single" w:sz="4" w:space="0" w:color="auto"/>
              <w:bottom w:val="single" w:sz="4" w:space="0" w:color="auto"/>
              <w:right w:val="single" w:sz="4" w:space="0" w:color="auto"/>
            </w:tcBorders>
          </w:tcPr>
          <w:p w14:paraId="6DDCE740" w14:textId="77777777" w:rsidR="0057633B" w:rsidRPr="0029105C" w:rsidRDefault="0057633B" w:rsidP="0057633B">
            <w:pPr>
              <w:autoSpaceDE w:val="0"/>
              <w:autoSpaceDN w:val="0"/>
              <w:spacing w:after="0" w:line="240" w:lineRule="auto"/>
              <w:rPr>
                <w:rFonts w:ascii="Times New Roman" w:eastAsia="Times New Roman" w:hAnsi="Times New Roman" w:cs="Times New Roman"/>
                <w:sz w:val="20"/>
                <w:szCs w:val="20"/>
              </w:rPr>
            </w:pPr>
            <w:r w:rsidRPr="0029105C">
              <w:rPr>
                <w:rFonts w:ascii="Times New Roman" w:eastAsia="Times New Roman" w:hAnsi="Times New Roman" w:cs="Times New Roman"/>
                <w:sz w:val="20"/>
                <w:szCs w:val="20"/>
              </w:rPr>
              <w:t>Poznámky</w:t>
            </w:r>
          </w:p>
          <w:p w14:paraId="5DAB6C7B" w14:textId="77777777" w:rsidR="0057633B" w:rsidRPr="0029105C" w:rsidRDefault="0057633B" w:rsidP="0057633B">
            <w:pPr>
              <w:autoSpaceDE w:val="0"/>
              <w:autoSpaceDN w:val="0"/>
              <w:spacing w:after="0" w:line="240" w:lineRule="auto"/>
              <w:rPr>
                <w:rFonts w:ascii="Times New Roman" w:eastAsia="Times New Roman" w:hAnsi="Times New Roman" w:cs="Times New Roman"/>
                <w:b/>
                <w:sz w:val="20"/>
                <w:szCs w:val="20"/>
              </w:rPr>
            </w:pPr>
          </w:p>
        </w:tc>
        <w:tc>
          <w:tcPr>
            <w:tcW w:w="1360" w:type="dxa"/>
            <w:tcBorders>
              <w:top w:val="single" w:sz="4" w:space="0" w:color="auto"/>
              <w:left w:val="single" w:sz="4" w:space="0" w:color="auto"/>
              <w:bottom w:val="single" w:sz="4" w:space="0" w:color="auto"/>
              <w:right w:val="single" w:sz="4" w:space="0" w:color="auto"/>
            </w:tcBorders>
          </w:tcPr>
          <w:p w14:paraId="038F821C" w14:textId="77777777" w:rsidR="0057633B" w:rsidRPr="0029105C" w:rsidRDefault="0057633B" w:rsidP="0057633B">
            <w:pPr>
              <w:autoSpaceDE w:val="0"/>
              <w:autoSpaceDN w:val="0"/>
              <w:spacing w:after="0" w:line="240" w:lineRule="auto"/>
              <w:rPr>
                <w:rFonts w:ascii="Times New Roman" w:eastAsia="Times New Roman" w:hAnsi="Times New Roman" w:cs="Times New Roman"/>
                <w:sz w:val="20"/>
                <w:szCs w:val="20"/>
              </w:rPr>
            </w:pPr>
            <w:r w:rsidRPr="0029105C">
              <w:rPr>
                <w:rFonts w:ascii="Times New Roman" w:eastAsia="Times New Roman" w:hAnsi="Times New Roman" w:cs="Times New Roman"/>
                <w:sz w:val="20"/>
                <w:szCs w:val="20"/>
              </w:rPr>
              <w:t xml:space="preserve">Identifikácia </w:t>
            </w:r>
            <w:proofErr w:type="spellStart"/>
            <w:r w:rsidRPr="0029105C">
              <w:rPr>
                <w:rFonts w:ascii="Times New Roman" w:eastAsia="Times New Roman" w:hAnsi="Times New Roman" w:cs="Times New Roman"/>
                <w:sz w:val="20"/>
                <w:szCs w:val="20"/>
              </w:rPr>
              <w:t>goldplatingu</w:t>
            </w:r>
            <w:proofErr w:type="spellEnd"/>
          </w:p>
        </w:tc>
        <w:tc>
          <w:tcPr>
            <w:tcW w:w="1360" w:type="dxa"/>
            <w:tcBorders>
              <w:top w:val="single" w:sz="4" w:space="0" w:color="auto"/>
              <w:left w:val="single" w:sz="4" w:space="0" w:color="auto"/>
              <w:bottom w:val="single" w:sz="4" w:space="0" w:color="auto"/>
              <w:right w:val="single" w:sz="4" w:space="0" w:color="auto"/>
            </w:tcBorders>
          </w:tcPr>
          <w:p w14:paraId="10B812E3" w14:textId="77777777" w:rsidR="0057633B" w:rsidRPr="0029105C" w:rsidRDefault="0057633B" w:rsidP="0057633B">
            <w:pPr>
              <w:autoSpaceDE w:val="0"/>
              <w:autoSpaceDN w:val="0"/>
              <w:spacing w:after="0" w:line="240" w:lineRule="auto"/>
              <w:rPr>
                <w:rFonts w:ascii="Times New Roman" w:eastAsia="Times New Roman" w:hAnsi="Times New Roman" w:cs="Times New Roman"/>
                <w:sz w:val="20"/>
                <w:szCs w:val="20"/>
              </w:rPr>
            </w:pPr>
            <w:r w:rsidRPr="0029105C">
              <w:rPr>
                <w:rFonts w:ascii="Times New Roman" w:eastAsia="Times New Roman" w:hAnsi="Times New Roman" w:cs="Times New Roman"/>
                <w:sz w:val="20"/>
                <w:szCs w:val="20"/>
              </w:rPr>
              <w:t xml:space="preserve">Identifikácia oblasti </w:t>
            </w:r>
            <w:proofErr w:type="spellStart"/>
            <w:r w:rsidRPr="0029105C">
              <w:rPr>
                <w:rFonts w:ascii="Times New Roman" w:eastAsia="Times New Roman" w:hAnsi="Times New Roman" w:cs="Times New Roman"/>
                <w:sz w:val="20"/>
                <w:szCs w:val="20"/>
              </w:rPr>
              <w:t>goldplatingu</w:t>
            </w:r>
            <w:proofErr w:type="spellEnd"/>
            <w:r w:rsidRPr="0029105C">
              <w:rPr>
                <w:rFonts w:ascii="Times New Roman" w:eastAsia="Times New Roman" w:hAnsi="Times New Roman" w:cs="Times New Roman"/>
                <w:sz w:val="20"/>
                <w:szCs w:val="20"/>
              </w:rPr>
              <w:t xml:space="preserve"> a vyjadrenie k opodstatnenosti </w:t>
            </w:r>
            <w:proofErr w:type="spellStart"/>
            <w:r w:rsidRPr="0029105C">
              <w:rPr>
                <w:rFonts w:ascii="Times New Roman" w:eastAsia="Times New Roman" w:hAnsi="Times New Roman" w:cs="Times New Roman"/>
                <w:sz w:val="20"/>
                <w:szCs w:val="20"/>
              </w:rPr>
              <w:t>goldplatingu</w:t>
            </w:r>
            <w:proofErr w:type="spellEnd"/>
            <w:r w:rsidRPr="0029105C">
              <w:rPr>
                <w:rFonts w:ascii="Times New Roman" w:eastAsia="Times New Roman" w:hAnsi="Times New Roman" w:cs="Times New Roman"/>
                <w:sz w:val="20"/>
                <w:szCs w:val="20"/>
              </w:rPr>
              <w:t>*</w:t>
            </w:r>
          </w:p>
        </w:tc>
      </w:tr>
      <w:tr w:rsidR="0057633B" w:rsidRPr="0029105C" w14:paraId="214E7AB8" w14:textId="77777777" w:rsidTr="00402EF0">
        <w:tc>
          <w:tcPr>
            <w:tcW w:w="1005" w:type="dxa"/>
            <w:tcBorders>
              <w:top w:val="single" w:sz="4" w:space="0" w:color="auto"/>
              <w:left w:val="single" w:sz="12" w:space="0" w:color="auto"/>
              <w:bottom w:val="single" w:sz="4" w:space="0" w:color="auto"/>
              <w:right w:val="single" w:sz="4" w:space="0" w:color="auto"/>
            </w:tcBorders>
          </w:tcPr>
          <w:p w14:paraId="0F7D7F08"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4765745B"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w:t>
            </w:r>
          </w:p>
          <w:p w14:paraId="565ABD65"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P:a</w:t>
            </w:r>
          </w:p>
        </w:tc>
        <w:tc>
          <w:tcPr>
            <w:tcW w:w="3421" w:type="dxa"/>
            <w:tcBorders>
              <w:top w:val="single" w:sz="4" w:space="0" w:color="auto"/>
              <w:left w:val="single" w:sz="4" w:space="0" w:color="auto"/>
              <w:bottom w:val="single" w:sz="4" w:space="0" w:color="auto"/>
              <w:right w:val="single" w:sz="4" w:space="0" w:color="auto"/>
            </w:tcBorders>
          </w:tcPr>
          <w:p w14:paraId="66068D80" w14:textId="11ABAB25" w:rsidR="007672E6" w:rsidRPr="0029105C" w:rsidRDefault="007672E6" w:rsidP="007672E6">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1. V článku 2 sa druhý odsek mení takto:</w:t>
            </w:r>
          </w:p>
          <w:p w14:paraId="02F5CA93" w14:textId="70F477DA" w:rsidR="007672E6" w:rsidRPr="0029105C" w:rsidRDefault="007672E6" w:rsidP="007672E6">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a) Bod 1 sa nahrádza takto:</w:t>
            </w:r>
          </w:p>
          <w:p w14:paraId="4DC77C25" w14:textId="1DFF4BAA" w:rsidR="0057633B" w:rsidRPr="0029105C" w:rsidRDefault="006B53F1" w:rsidP="0057633B">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„1. </w:t>
            </w:r>
            <w:r w:rsidR="0057633B" w:rsidRPr="0029105C">
              <w:rPr>
                <w:rFonts w:ascii="Times New Roman" w:eastAsia="Times New Roman" w:hAnsi="Times New Roman" w:cs="Times New Roman"/>
                <w:color w:val="000000" w:themeColor="text1"/>
                <w:sz w:val="20"/>
                <w:szCs w:val="20"/>
                <w:lang w:eastAsia="sk-SK"/>
              </w:rPr>
              <w:t>„energia z obnoviteľných zdrojov“ je energia z obnoviteľných nefosílnych zdrojov, a to veterná, slnečná (slnečná tepelná a </w:t>
            </w:r>
            <w:proofErr w:type="spellStart"/>
            <w:r w:rsidR="0057633B" w:rsidRPr="0029105C">
              <w:rPr>
                <w:rFonts w:ascii="Times New Roman" w:eastAsia="Times New Roman" w:hAnsi="Times New Roman" w:cs="Times New Roman"/>
                <w:color w:val="000000" w:themeColor="text1"/>
                <w:sz w:val="20"/>
                <w:szCs w:val="20"/>
                <w:lang w:eastAsia="sk-SK"/>
              </w:rPr>
              <w:t>fotovoltická</w:t>
            </w:r>
            <w:proofErr w:type="spellEnd"/>
            <w:r w:rsidR="0057633B" w:rsidRPr="0029105C">
              <w:rPr>
                <w:rFonts w:ascii="Times New Roman" w:eastAsia="Times New Roman" w:hAnsi="Times New Roman" w:cs="Times New Roman"/>
                <w:color w:val="000000" w:themeColor="text1"/>
                <w:sz w:val="20"/>
                <w:szCs w:val="20"/>
                <w:lang w:eastAsia="sk-SK"/>
              </w:rPr>
              <w:t xml:space="preserve"> slnečná) a geotermálna energia, </w:t>
            </w:r>
            <w:proofErr w:type="spellStart"/>
            <w:r w:rsidR="0057633B" w:rsidRPr="0029105C">
              <w:rPr>
                <w:rFonts w:ascii="Times New Roman" w:eastAsia="Times New Roman" w:hAnsi="Times New Roman" w:cs="Times New Roman"/>
                <w:color w:val="000000" w:themeColor="text1"/>
                <w:sz w:val="20"/>
                <w:szCs w:val="20"/>
                <w:lang w:eastAsia="sk-SK"/>
              </w:rPr>
              <w:t>osmotická</w:t>
            </w:r>
            <w:proofErr w:type="spellEnd"/>
            <w:r w:rsidR="0057633B" w:rsidRPr="0029105C">
              <w:rPr>
                <w:rFonts w:ascii="Times New Roman" w:eastAsia="Times New Roman" w:hAnsi="Times New Roman" w:cs="Times New Roman"/>
                <w:color w:val="000000" w:themeColor="text1"/>
                <w:sz w:val="20"/>
                <w:szCs w:val="20"/>
                <w:lang w:eastAsia="sk-SK"/>
              </w:rPr>
              <w:t xml:space="preserve"> energia, energia z okolia, energia z prílivu, vĺn a iná energia oceánu, vodná energia, biomasa, skládkový plyn, plyn z čističiek odpadových vôd a bioplyn;</w:t>
            </w:r>
          </w:p>
          <w:p w14:paraId="299F3E22" w14:textId="77777777" w:rsidR="006B53F1" w:rsidRPr="0029105C" w:rsidRDefault="006B53F1" w:rsidP="0057633B">
            <w:pPr>
              <w:keepNext/>
              <w:spacing w:after="0" w:line="240" w:lineRule="auto"/>
              <w:ind w:right="63"/>
              <w:jc w:val="both"/>
              <w:rPr>
                <w:rFonts w:ascii="Times New Roman" w:eastAsia="Times New Roman" w:hAnsi="Times New Roman" w:cs="Times New Roman"/>
                <w:color w:val="000000" w:themeColor="text1"/>
                <w:sz w:val="20"/>
                <w:szCs w:val="20"/>
                <w:lang w:eastAsia="sk-SK"/>
              </w:rPr>
            </w:pPr>
          </w:p>
          <w:p w14:paraId="4A619FE8" w14:textId="741166BA" w:rsidR="006B53F1" w:rsidRPr="0029105C" w:rsidRDefault="006B53F1" w:rsidP="0057633B">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1a. „priemyselné surové drevo“ sú piliarske a </w:t>
            </w:r>
            <w:proofErr w:type="spellStart"/>
            <w:r w:rsidRPr="0029105C">
              <w:rPr>
                <w:rFonts w:ascii="Times New Roman" w:eastAsia="Times New Roman" w:hAnsi="Times New Roman" w:cs="Times New Roman"/>
                <w:color w:val="000000" w:themeColor="text1"/>
                <w:sz w:val="20"/>
                <w:szCs w:val="20"/>
                <w:lang w:eastAsia="sk-SK"/>
              </w:rPr>
              <w:t>dyhárenské</w:t>
            </w:r>
            <w:proofErr w:type="spellEnd"/>
            <w:r w:rsidRPr="0029105C">
              <w:rPr>
                <w:rFonts w:ascii="Times New Roman" w:eastAsia="Times New Roman" w:hAnsi="Times New Roman" w:cs="Times New Roman"/>
                <w:color w:val="000000" w:themeColor="text1"/>
                <w:sz w:val="20"/>
                <w:szCs w:val="20"/>
                <w:lang w:eastAsia="sk-SK"/>
              </w:rPr>
              <w:t xml:space="preserve"> výrezy, vláknité drevo (surové drevo alebo štiepka), ako aj všetky ostatné druhy surového dreva vhodné na priemyselné účely s výnimkou surového dreva, ktoré je vďaka svojim vlastnostiam, ako sú druh, rozmery, </w:t>
            </w:r>
            <w:r w:rsidRPr="0029105C">
              <w:rPr>
                <w:rFonts w:ascii="Times New Roman" w:eastAsia="Times New Roman" w:hAnsi="Times New Roman" w:cs="Times New Roman"/>
                <w:color w:val="000000" w:themeColor="text1"/>
                <w:sz w:val="20"/>
                <w:szCs w:val="20"/>
                <w:lang w:eastAsia="sk-SK"/>
              </w:rPr>
              <w:lastRenderedPageBreak/>
              <w:t>rovný tvar a hustota hrčí, nevhodné na priemyselné použitie podľa vymedzenia a náležitého opodstatnenia zo strany členských štátov v súlade s relevantnými lesnými a trhovými podmienkami;“.</w:t>
            </w:r>
          </w:p>
        </w:tc>
        <w:tc>
          <w:tcPr>
            <w:tcW w:w="794" w:type="dxa"/>
            <w:tcBorders>
              <w:top w:val="single" w:sz="4" w:space="0" w:color="auto"/>
              <w:left w:val="single" w:sz="4" w:space="0" w:color="auto"/>
              <w:bottom w:val="single" w:sz="4" w:space="0" w:color="auto"/>
              <w:right w:val="single" w:sz="12" w:space="0" w:color="auto"/>
            </w:tcBorders>
          </w:tcPr>
          <w:p w14:paraId="350C21BE" w14:textId="59A1DF56" w:rsidR="0057633B" w:rsidRPr="0029105C" w:rsidRDefault="00046617"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w:t>
            </w:r>
          </w:p>
        </w:tc>
        <w:tc>
          <w:tcPr>
            <w:tcW w:w="1080" w:type="dxa"/>
            <w:tcBorders>
              <w:top w:val="single" w:sz="4" w:space="0" w:color="auto"/>
              <w:left w:val="nil"/>
              <w:bottom w:val="single" w:sz="4" w:space="0" w:color="auto"/>
              <w:right w:val="single" w:sz="4" w:space="0" w:color="auto"/>
            </w:tcBorders>
          </w:tcPr>
          <w:p w14:paraId="30E8AEDB" w14:textId="6331C20E" w:rsidR="0057633B" w:rsidRDefault="00B80082" w:rsidP="008A6D0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309/2009</w:t>
            </w:r>
          </w:p>
          <w:p w14:paraId="4016FBF0" w14:textId="77777777" w:rsidR="000C238B" w:rsidRDefault="000C238B" w:rsidP="008A6D0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94024F" w14:textId="77777777" w:rsidR="000C238B" w:rsidRDefault="000C238B" w:rsidP="008A6D0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543692" w14:textId="77777777" w:rsidR="000C238B" w:rsidRDefault="000C238B" w:rsidP="008A6D0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564D92" w14:textId="77777777" w:rsidR="000C238B" w:rsidRDefault="000C238B" w:rsidP="008A6D0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C24CF0" w14:textId="77777777" w:rsidR="000C238B" w:rsidRDefault="000C238B" w:rsidP="008A6D0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40A7D7" w14:textId="77777777" w:rsidR="000C238B" w:rsidRDefault="000C238B" w:rsidP="008A6D0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57C850" w14:textId="77777777" w:rsidR="000C238B" w:rsidRDefault="000C238B" w:rsidP="008A6D0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36CDF5" w14:textId="77777777" w:rsidR="000C238B" w:rsidRDefault="000C238B" w:rsidP="008A6D0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ABAA13" w14:textId="77777777" w:rsidR="000C238B" w:rsidRDefault="000C238B" w:rsidP="008A6D0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4BEB27" w14:textId="32144930" w:rsidR="000C238B" w:rsidRPr="0029105C" w:rsidRDefault="000C238B" w:rsidP="00B80082">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Návrh zákona </w:t>
            </w:r>
            <w:r w:rsidR="00CD6B71">
              <w:rPr>
                <w:rFonts w:ascii="Times New Roman" w:eastAsia="Times New Roman" w:hAnsi="Times New Roman" w:cs="Times New Roman"/>
                <w:color w:val="000000" w:themeColor="text1"/>
                <w:sz w:val="20"/>
                <w:szCs w:val="20"/>
                <w:lang w:eastAsia="sk-SK"/>
              </w:rPr>
              <w:t>č.</w:t>
            </w:r>
            <w:r w:rsidR="00B80082">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FF198D"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2</w:t>
            </w:r>
          </w:p>
          <w:p w14:paraId="6101EB7A"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 1</w:t>
            </w:r>
          </w:p>
          <w:p w14:paraId="363B2EA8" w14:textId="423C1CAD" w:rsidR="0057633B" w:rsidRPr="0029105C" w:rsidRDefault="00757880"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w:t>
            </w:r>
          </w:p>
          <w:p w14:paraId="5BD87F03" w14:textId="77777777" w:rsidR="006B53F1" w:rsidRPr="0029105C" w:rsidRDefault="006B53F1"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7D7B6D" w14:textId="77777777" w:rsidR="006B53F1" w:rsidRPr="0029105C" w:rsidRDefault="006B53F1"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1F1E71" w14:textId="77777777" w:rsidR="006B53F1" w:rsidRPr="0029105C" w:rsidRDefault="006B53F1"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8F0BD2" w14:textId="77777777" w:rsidR="006B53F1" w:rsidRPr="0029105C" w:rsidRDefault="006B53F1"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4B9007" w14:textId="77777777" w:rsidR="006B53F1" w:rsidRPr="0029105C" w:rsidRDefault="006B53F1"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26B8A5" w14:textId="77777777" w:rsidR="006B53F1" w:rsidRPr="0029105C" w:rsidRDefault="006B53F1"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9DFA51" w14:textId="77777777" w:rsidR="006B53F1" w:rsidRPr="0029105C" w:rsidRDefault="006B53F1"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098AC9" w14:textId="77777777" w:rsidR="00402EF0" w:rsidRPr="0029105C" w:rsidRDefault="00402EF0"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9FF417" w14:textId="77777777" w:rsidR="00402EF0" w:rsidRPr="0029105C" w:rsidRDefault="00402EF0"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03329D" w14:textId="7E8AC699" w:rsidR="006B53F1" w:rsidRPr="0029105C" w:rsidRDefault="006B53F1"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w:t>
            </w:r>
            <w:r w:rsidR="00115401" w:rsidRPr="0029105C">
              <w:rPr>
                <w:rFonts w:ascii="Times New Roman" w:eastAsia="Times New Roman" w:hAnsi="Times New Roman" w:cs="Times New Roman"/>
                <w:color w:val="000000" w:themeColor="text1"/>
                <w:sz w:val="20"/>
                <w:szCs w:val="20"/>
                <w:lang w:eastAsia="sk-SK"/>
              </w:rPr>
              <w:t xml:space="preserve"> </w:t>
            </w:r>
            <w:r w:rsidR="00757880">
              <w:rPr>
                <w:rFonts w:ascii="Times New Roman" w:eastAsia="Times New Roman" w:hAnsi="Times New Roman" w:cs="Times New Roman"/>
                <w:color w:val="000000" w:themeColor="text1"/>
                <w:sz w:val="20"/>
                <w:szCs w:val="20"/>
                <w:lang w:eastAsia="sk-SK"/>
              </w:rPr>
              <w:t>o</w:t>
            </w:r>
          </w:p>
          <w:p w14:paraId="7CC6F712" w14:textId="77777777" w:rsidR="006B53F1" w:rsidRPr="0029105C" w:rsidRDefault="006B53F1"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EB378F"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00793885" w14:textId="77777777" w:rsidR="00EC66D8" w:rsidRPr="00EC66D8" w:rsidRDefault="00EC66D8" w:rsidP="00EC66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C66D8">
              <w:rPr>
                <w:rFonts w:ascii="Times New Roman" w:eastAsia="Times New Roman" w:hAnsi="Times New Roman" w:cs="Times New Roman"/>
                <w:color w:val="000000" w:themeColor="text1"/>
                <w:sz w:val="20"/>
                <w:szCs w:val="20"/>
                <w:lang w:eastAsia="sk-SK"/>
              </w:rPr>
              <w:t>(1) Pri podpore obnoviteľných zdrojov energie sa na účely tohto zákona rozumie</w:t>
            </w:r>
          </w:p>
          <w:p w14:paraId="21562B59" w14:textId="457A009C" w:rsidR="006B53F1" w:rsidRPr="0029105C" w:rsidRDefault="00EC66D8" w:rsidP="00EC66D8">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C66D8">
              <w:rPr>
                <w:rFonts w:ascii="Times New Roman" w:eastAsia="Times New Roman" w:hAnsi="Times New Roman" w:cs="Times New Roman"/>
                <w:color w:val="000000" w:themeColor="text1"/>
                <w:sz w:val="20"/>
                <w:szCs w:val="20"/>
                <w:lang w:eastAsia="sk-SK"/>
              </w:rPr>
              <w:t xml:space="preserve">a) obnoviteľným zdrojom energie nefosílny zdroj energie, a to vodná energia, veterná energia, slnečná energia, geotermálna energia, </w:t>
            </w:r>
            <w:proofErr w:type="spellStart"/>
            <w:r w:rsidRPr="00EC66D8">
              <w:rPr>
                <w:rFonts w:ascii="Times New Roman" w:eastAsia="Times New Roman" w:hAnsi="Times New Roman" w:cs="Times New Roman"/>
                <w:color w:val="000000" w:themeColor="text1"/>
                <w:sz w:val="20"/>
                <w:szCs w:val="20"/>
                <w:lang w:eastAsia="sk-SK"/>
              </w:rPr>
              <w:t>osmotická</w:t>
            </w:r>
            <w:proofErr w:type="spellEnd"/>
            <w:r w:rsidRPr="00EC66D8">
              <w:rPr>
                <w:rFonts w:ascii="Times New Roman" w:eastAsia="Times New Roman" w:hAnsi="Times New Roman" w:cs="Times New Roman"/>
                <w:color w:val="000000" w:themeColor="text1"/>
                <w:sz w:val="20"/>
                <w:szCs w:val="20"/>
                <w:lang w:eastAsia="sk-SK"/>
              </w:rPr>
              <w:t xml:space="preserve"> energia, energia z okolia, biomasa, bioplyn, skládkový plyn, plyn z čistiarní odpadových vôd a energia prílivu, vĺn a iná energia oceánu,</w:t>
            </w:r>
          </w:p>
          <w:p w14:paraId="13B4C245" w14:textId="77777777" w:rsidR="006B53F1" w:rsidRPr="0029105C" w:rsidRDefault="006B53F1" w:rsidP="0057633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4BDA130" w14:textId="77777777" w:rsidR="006B53F1" w:rsidRPr="0029105C" w:rsidRDefault="006B53F1" w:rsidP="0057633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85DE4AA" w14:textId="77777777" w:rsidR="00402EF0" w:rsidRPr="0029105C" w:rsidRDefault="00402EF0" w:rsidP="0057633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21887AF" w14:textId="77777777" w:rsidR="00402EF0" w:rsidRPr="0029105C" w:rsidRDefault="00402EF0" w:rsidP="0057633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EE26DB9" w14:textId="09D76E8B" w:rsidR="006B53F1" w:rsidRPr="0029105C" w:rsidRDefault="004636A4" w:rsidP="00B80082">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636A4">
              <w:rPr>
                <w:rFonts w:ascii="Times New Roman" w:eastAsia="Times New Roman" w:hAnsi="Times New Roman" w:cs="Times New Roman"/>
                <w:color w:val="000000" w:themeColor="text1"/>
                <w:sz w:val="20"/>
                <w:szCs w:val="20"/>
                <w:lang w:eastAsia="sk-SK"/>
              </w:rPr>
              <w:t xml:space="preserve">o) </w:t>
            </w:r>
            <w:r w:rsidR="00E1385B" w:rsidRPr="00E1385B">
              <w:rPr>
                <w:rFonts w:ascii="Times New Roman" w:eastAsia="Times New Roman" w:hAnsi="Times New Roman" w:cs="Times New Roman"/>
                <w:color w:val="000000" w:themeColor="text1"/>
                <w:sz w:val="20"/>
                <w:szCs w:val="20"/>
                <w:lang w:eastAsia="sk-SK"/>
              </w:rPr>
              <w:t xml:space="preserve">priemyselným surovinovým drevom piliarske a </w:t>
            </w:r>
            <w:proofErr w:type="spellStart"/>
            <w:r w:rsidR="00E1385B" w:rsidRPr="00E1385B">
              <w:rPr>
                <w:rFonts w:ascii="Times New Roman" w:eastAsia="Times New Roman" w:hAnsi="Times New Roman" w:cs="Times New Roman"/>
                <w:color w:val="000000" w:themeColor="text1"/>
                <w:sz w:val="20"/>
                <w:szCs w:val="20"/>
                <w:lang w:eastAsia="sk-SK"/>
              </w:rPr>
              <w:t>dyharenské</w:t>
            </w:r>
            <w:proofErr w:type="spellEnd"/>
            <w:r w:rsidR="00E1385B" w:rsidRPr="00E1385B">
              <w:rPr>
                <w:rFonts w:ascii="Times New Roman" w:eastAsia="Times New Roman" w:hAnsi="Times New Roman" w:cs="Times New Roman"/>
                <w:color w:val="000000" w:themeColor="text1"/>
                <w:sz w:val="20"/>
                <w:szCs w:val="20"/>
                <w:lang w:eastAsia="sk-SK"/>
              </w:rPr>
              <w:t xml:space="preserve"> výrezy, vláknité drevo, ako aj všetky ostatné druhy surového dreva vhodné na priemyselné účely s výnimkou surového dreva, ktoré je vďaka svojim vlastnostiam, ako sú druh, rozmery, rovný tvar a hustota hrčí, nevhodné na priemyselné použitie</w:t>
            </w:r>
            <w:r w:rsidRPr="004636A4">
              <w:rPr>
                <w:rFonts w:ascii="Times New Roman" w:eastAsia="Times New Roman" w:hAnsi="Times New Roman" w:cs="Times New Roman"/>
                <w:color w:val="000000" w:themeColor="text1"/>
                <w:sz w:val="20"/>
                <w:szCs w:val="20"/>
                <w:lang w:eastAsia="sk-SK"/>
              </w:rPr>
              <w:t>,</w:t>
            </w:r>
          </w:p>
        </w:tc>
        <w:tc>
          <w:tcPr>
            <w:tcW w:w="849" w:type="dxa"/>
            <w:tcBorders>
              <w:top w:val="single" w:sz="4" w:space="0" w:color="auto"/>
              <w:left w:val="single" w:sz="4" w:space="0" w:color="auto"/>
              <w:bottom w:val="single" w:sz="4" w:space="0" w:color="auto"/>
              <w:right w:val="single" w:sz="4" w:space="0" w:color="auto"/>
            </w:tcBorders>
          </w:tcPr>
          <w:p w14:paraId="434E8913" w14:textId="77777777" w:rsidR="0057633B" w:rsidRPr="0029105C" w:rsidRDefault="0057633B"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7CC7317D" w14:textId="77777777" w:rsidR="0057633B" w:rsidRPr="0029105C" w:rsidRDefault="0057633B" w:rsidP="0057633B">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Doterajšie ustanovenie je v súlade so znením Smernice. Revízia Smernice len rozšírila definíciu energie z obnoviteľných zdrojov o </w:t>
            </w:r>
            <w:proofErr w:type="spellStart"/>
            <w:r w:rsidRPr="0029105C">
              <w:rPr>
                <w:rFonts w:ascii="Times New Roman" w:eastAsia="Times New Roman" w:hAnsi="Times New Roman" w:cs="Times New Roman"/>
                <w:color w:val="000000" w:themeColor="text1"/>
                <w:sz w:val="20"/>
                <w:szCs w:val="20"/>
                <w:lang w:eastAsia="sk-SK"/>
              </w:rPr>
              <w:t>osmotickú</w:t>
            </w:r>
            <w:proofErr w:type="spellEnd"/>
            <w:r w:rsidRPr="0029105C">
              <w:rPr>
                <w:rFonts w:ascii="Times New Roman" w:eastAsia="Times New Roman" w:hAnsi="Times New Roman" w:cs="Times New Roman"/>
                <w:color w:val="000000" w:themeColor="text1"/>
                <w:sz w:val="20"/>
                <w:szCs w:val="20"/>
                <w:lang w:eastAsia="sk-SK"/>
              </w:rPr>
              <w:t xml:space="preserve"> energiu. </w:t>
            </w:r>
          </w:p>
        </w:tc>
        <w:tc>
          <w:tcPr>
            <w:tcW w:w="1360" w:type="dxa"/>
            <w:tcBorders>
              <w:top w:val="single" w:sz="4" w:space="0" w:color="auto"/>
              <w:left w:val="single" w:sz="4" w:space="0" w:color="auto"/>
              <w:bottom w:val="single" w:sz="4" w:space="0" w:color="auto"/>
              <w:right w:val="single" w:sz="4" w:space="0" w:color="auto"/>
            </w:tcBorders>
          </w:tcPr>
          <w:p w14:paraId="215341B5" w14:textId="77777777" w:rsidR="0057633B" w:rsidRPr="0029105C" w:rsidRDefault="0057633B" w:rsidP="0057633B">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6A05A809" w14:textId="77777777" w:rsidR="0057633B" w:rsidRPr="0029105C" w:rsidRDefault="0057633B" w:rsidP="0057633B">
            <w:pPr>
              <w:autoSpaceDE w:val="0"/>
              <w:autoSpaceDN w:val="0"/>
              <w:spacing w:after="0" w:line="240" w:lineRule="auto"/>
              <w:rPr>
                <w:rFonts w:ascii="Times New Roman" w:eastAsia="Times New Roman" w:hAnsi="Times New Roman" w:cs="Times New Roman"/>
                <w:color w:val="000000" w:themeColor="text1"/>
                <w:sz w:val="20"/>
                <w:szCs w:val="20"/>
                <w:lang w:eastAsia="sk-SK"/>
              </w:rPr>
            </w:pPr>
          </w:p>
        </w:tc>
      </w:tr>
      <w:tr w:rsidR="00046617" w:rsidRPr="0029105C" w14:paraId="5AE45A2D" w14:textId="77777777" w:rsidTr="00402EF0">
        <w:tc>
          <w:tcPr>
            <w:tcW w:w="1005" w:type="dxa"/>
            <w:tcBorders>
              <w:top w:val="single" w:sz="4" w:space="0" w:color="auto"/>
              <w:left w:val="single" w:sz="12" w:space="0" w:color="auto"/>
              <w:bottom w:val="single" w:sz="4" w:space="0" w:color="auto"/>
              <w:right w:val="single" w:sz="4" w:space="0" w:color="auto"/>
            </w:tcBorders>
          </w:tcPr>
          <w:p w14:paraId="3C58E686" w14:textId="77777777" w:rsidR="00046617" w:rsidRPr="0029105C" w:rsidRDefault="00046617" w:rsidP="0004661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39907CE5" w14:textId="77777777" w:rsidR="00046617" w:rsidRPr="0029105C" w:rsidRDefault="00046617" w:rsidP="0004661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w:t>
            </w:r>
          </w:p>
          <w:p w14:paraId="71FCF05E" w14:textId="2DAD6EDE" w:rsidR="00046617" w:rsidRPr="0029105C" w:rsidRDefault="00046617" w:rsidP="0004661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P:c</w:t>
            </w:r>
          </w:p>
        </w:tc>
        <w:tc>
          <w:tcPr>
            <w:tcW w:w="3421" w:type="dxa"/>
            <w:tcBorders>
              <w:top w:val="single" w:sz="4" w:space="0" w:color="auto"/>
              <w:left w:val="single" w:sz="4" w:space="0" w:color="auto"/>
              <w:bottom w:val="single" w:sz="4" w:space="0" w:color="auto"/>
              <w:right w:val="single" w:sz="4" w:space="0" w:color="auto"/>
            </w:tcBorders>
          </w:tcPr>
          <w:p w14:paraId="19D4BF13" w14:textId="78629359" w:rsidR="0020537D" w:rsidRDefault="0020537D" w:rsidP="00046617">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20537D">
              <w:rPr>
                <w:rFonts w:ascii="Times New Roman" w:eastAsia="Times New Roman" w:hAnsi="Times New Roman" w:cs="Times New Roman"/>
                <w:color w:val="000000" w:themeColor="text1"/>
                <w:sz w:val="20"/>
                <w:szCs w:val="20"/>
                <w:lang w:eastAsia="sk-SK"/>
              </w:rPr>
              <w:t>V článku 2 sa druhý odsek mení takto:</w:t>
            </w:r>
          </w:p>
          <w:p w14:paraId="787E3204" w14:textId="3944A758" w:rsidR="00757880" w:rsidRDefault="00757880" w:rsidP="00046617">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757880">
              <w:rPr>
                <w:rFonts w:ascii="Times New Roman" w:eastAsia="Times New Roman" w:hAnsi="Times New Roman" w:cs="Times New Roman"/>
                <w:color w:val="000000" w:themeColor="text1"/>
                <w:sz w:val="20"/>
                <w:szCs w:val="20"/>
                <w:lang w:eastAsia="sk-SK"/>
              </w:rPr>
              <w:t>c) Vkladajú sa tieto body:</w:t>
            </w:r>
          </w:p>
          <w:p w14:paraId="0F9E3E69" w14:textId="79F9A00E" w:rsidR="00046617" w:rsidRPr="0029105C" w:rsidRDefault="00046617" w:rsidP="00046617">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046617">
              <w:rPr>
                <w:rFonts w:ascii="Times New Roman" w:eastAsia="Times New Roman" w:hAnsi="Times New Roman" w:cs="Times New Roman"/>
                <w:color w:val="000000" w:themeColor="text1"/>
                <w:sz w:val="20"/>
                <w:szCs w:val="20"/>
                <w:lang w:eastAsia="sk-SK"/>
              </w:rPr>
              <w:t>9b.</w:t>
            </w:r>
            <w:r>
              <w:rPr>
                <w:rFonts w:ascii="Times New Roman" w:eastAsia="Times New Roman" w:hAnsi="Times New Roman" w:cs="Times New Roman"/>
                <w:color w:val="000000" w:themeColor="text1"/>
                <w:sz w:val="20"/>
                <w:szCs w:val="20"/>
                <w:lang w:eastAsia="sk-SK"/>
              </w:rPr>
              <w:t xml:space="preserve"> </w:t>
            </w:r>
            <w:r w:rsidRPr="00046617">
              <w:rPr>
                <w:rFonts w:ascii="Times New Roman" w:eastAsia="Times New Roman" w:hAnsi="Times New Roman" w:cs="Times New Roman"/>
                <w:color w:val="000000" w:themeColor="text1"/>
                <w:sz w:val="20"/>
                <w:szCs w:val="20"/>
                <w:lang w:eastAsia="sk-SK"/>
              </w:rPr>
              <w:t xml:space="preserve">„solárne zariadenie“ je zariadenie, ktoré premieňa energiu zo slnka na tepelnú alebo elektrickú energiu, najmä solárne tepelné a solárne </w:t>
            </w:r>
            <w:proofErr w:type="spellStart"/>
            <w:r w:rsidRPr="00046617">
              <w:rPr>
                <w:rFonts w:ascii="Times New Roman" w:eastAsia="Times New Roman" w:hAnsi="Times New Roman" w:cs="Times New Roman"/>
                <w:color w:val="000000" w:themeColor="text1"/>
                <w:sz w:val="20"/>
                <w:szCs w:val="20"/>
                <w:lang w:eastAsia="sk-SK"/>
              </w:rPr>
              <w:t>fotovoltické</w:t>
            </w:r>
            <w:proofErr w:type="spellEnd"/>
            <w:r w:rsidRPr="00046617">
              <w:rPr>
                <w:rFonts w:ascii="Times New Roman" w:eastAsia="Times New Roman" w:hAnsi="Times New Roman" w:cs="Times New Roman"/>
                <w:color w:val="000000" w:themeColor="text1"/>
                <w:sz w:val="20"/>
                <w:szCs w:val="20"/>
                <w:lang w:eastAsia="sk-SK"/>
              </w:rPr>
              <w:t xml:space="preserve"> zariadenia;“.</w:t>
            </w:r>
          </w:p>
        </w:tc>
        <w:tc>
          <w:tcPr>
            <w:tcW w:w="794" w:type="dxa"/>
            <w:tcBorders>
              <w:top w:val="single" w:sz="4" w:space="0" w:color="auto"/>
              <w:left w:val="single" w:sz="4" w:space="0" w:color="auto"/>
              <w:bottom w:val="single" w:sz="4" w:space="0" w:color="auto"/>
              <w:right w:val="single" w:sz="12" w:space="0" w:color="auto"/>
            </w:tcBorders>
          </w:tcPr>
          <w:p w14:paraId="44CD0A27" w14:textId="67AF6D33" w:rsidR="00046617" w:rsidRPr="0029105C" w:rsidRDefault="00046617"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090B4300" w14:textId="0B977CDF" w:rsidR="00046617" w:rsidRPr="0029105C" w:rsidRDefault="00CD6B71" w:rsidP="0017306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17306B">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0D65A5" w14:textId="2D42B578" w:rsidR="00046617" w:rsidRDefault="00046617"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2</w:t>
            </w:r>
          </w:p>
          <w:p w14:paraId="4D05E82D" w14:textId="77777777" w:rsidR="00046617" w:rsidRDefault="00046617"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10161FC2" w14:textId="568EA239" w:rsidR="00046617" w:rsidRPr="0029105C" w:rsidRDefault="00757880"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p</w:t>
            </w:r>
          </w:p>
        </w:tc>
        <w:tc>
          <w:tcPr>
            <w:tcW w:w="4540" w:type="dxa"/>
            <w:tcBorders>
              <w:top w:val="single" w:sz="4" w:space="0" w:color="auto"/>
              <w:left w:val="single" w:sz="4" w:space="0" w:color="auto"/>
              <w:bottom w:val="single" w:sz="4" w:space="0" w:color="auto"/>
              <w:right w:val="single" w:sz="4" w:space="0" w:color="auto"/>
            </w:tcBorders>
          </w:tcPr>
          <w:p w14:paraId="6E6DC9C6" w14:textId="4A5B5E83" w:rsidR="00CD6B71" w:rsidRDefault="00CD6B71" w:rsidP="001945DE">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D6B71">
              <w:rPr>
                <w:rFonts w:ascii="Times New Roman" w:eastAsia="Times New Roman" w:hAnsi="Times New Roman" w:cs="Times New Roman"/>
                <w:color w:val="000000" w:themeColor="text1"/>
                <w:sz w:val="20"/>
                <w:szCs w:val="20"/>
                <w:lang w:eastAsia="sk-SK"/>
              </w:rPr>
              <w:t>(1) Pri podpore obnoviteľných zdrojov energie sa na účely tohto zákona rozumie</w:t>
            </w:r>
          </w:p>
          <w:p w14:paraId="3BCD1744" w14:textId="577198EB" w:rsidR="00046617" w:rsidRPr="0029105C" w:rsidRDefault="004636A4" w:rsidP="004636A4">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636A4">
              <w:rPr>
                <w:rFonts w:ascii="Times New Roman" w:eastAsia="Times New Roman" w:hAnsi="Times New Roman" w:cs="Times New Roman"/>
                <w:color w:val="000000" w:themeColor="text1"/>
                <w:sz w:val="20"/>
                <w:szCs w:val="20"/>
                <w:lang w:eastAsia="sk-SK"/>
              </w:rPr>
              <w:t xml:space="preserve">p) </w:t>
            </w:r>
            <w:r w:rsidR="00E1385B">
              <w:t xml:space="preserve"> </w:t>
            </w:r>
            <w:r w:rsidR="00E1385B" w:rsidRPr="00E1385B">
              <w:rPr>
                <w:rFonts w:ascii="Times New Roman" w:eastAsia="Times New Roman" w:hAnsi="Times New Roman" w:cs="Times New Roman"/>
                <w:color w:val="000000" w:themeColor="text1"/>
                <w:sz w:val="20"/>
                <w:szCs w:val="20"/>
                <w:lang w:eastAsia="sk-SK"/>
              </w:rPr>
              <w:t xml:space="preserve">solárnym zariadením je zariadenie, ktoré premieňa energiu zo slnka na tepelnú alebo elektrickú energiu, najmä solárne tepelné a solárne </w:t>
            </w:r>
            <w:proofErr w:type="spellStart"/>
            <w:r w:rsidR="00E1385B" w:rsidRPr="00E1385B">
              <w:rPr>
                <w:rFonts w:ascii="Times New Roman" w:eastAsia="Times New Roman" w:hAnsi="Times New Roman" w:cs="Times New Roman"/>
                <w:color w:val="000000" w:themeColor="text1"/>
                <w:sz w:val="20"/>
                <w:szCs w:val="20"/>
                <w:lang w:eastAsia="sk-SK"/>
              </w:rPr>
              <w:t>fotovoltické</w:t>
            </w:r>
            <w:proofErr w:type="spellEnd"/>
            <w:r w:rsidR="00E1385B" w:rsidRPr="00E1385B">
              <w:rPr>
                <w:rFonts w:ascii="Times New Roman" w:eastAsia="Times New Roman" w:hAnsi="Times New Roman" w:cs="Times New Roman"/>
                <w:color w:val="000000" w:themeColor="text1"/>
                <w:sz w:val="20"/>
                <w:szCs w:val="20"/>
                <w:lang w:eastAsia="sk-SK"/>
              </w:rPr>
              <w:t xml:space="preserve"> zariadenia,</w:t>
            </w:r>
          </w:p>
        </w:tc>
        <w:tc>
          <w:tcPr>
            <w:tcW w:w="849" w:type="dxa"/>
            <w:tcBorders>
              <w:top w:val="single" w:sz="4" w:space="0" w:color="auto"/>
              <w:left w:val="single" w:sz="4" w:space="0" w:color="auto"/>
              <w:bottom w:val="single" w:sz="4" w:space="0" w:color="auto"/>
              <w:right w:val="single" w:sz="4" w:space="0" w:color="auto"/>
            </w:tcBorders>
          </w:tcPr>
          <w:p w14:paraId="4602519C" w14:textId="1AC5A35D" w:rsidR="00046617" w:rsidRPr="0029105C" w:rsidRDefault="00046617" w:rsidP="005763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6201B991" w14:textId="77777777" w:rsidR="00046617" w:rsidRPr="0029105C" w:rsidRDefault="00046617" w:rsidP="0057633B">
            <w:pPr>
              <w:autoSpaceDE w:val="0"/>
              <w:autoSpaceDN w:val="0"/>
              <w:spacing w:after="0" w:line="240" w:lineRule="auto"/>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7738DF17" w14:textId="0C314D4B" w:rsidR="00046617" w:rsidRPr="0029105C" w:rsidRDefault="00046617" w:rsidP="0057633B">
            <w:pPr>
              <w:autoSpaceDE w:val="0"/>
              <w:autoSpaceDN w:val="0"/>
              <w:spacing w:after="0" w:line="240" w:lineRule="auto"/>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5BD37961" w14:textId="77777777" w:rsidR="00046617" w:rsidRPr="0029105C" w:rsidRDefault="00046617" w:rsidP="0057633B">
            <w:pPr>
              <w:autoSpaceDE w:val="0"/>
              <w:autoSpaceDN w:val="0"/>
              <w:spacing w:after="0" w:line="240" w:lineRule="auto"/>
              <w:rPr>
                <w:rFonts w:ascii="Times New Roman" w:eastAsia="Times New Roman" w:hAnsi="Times New Roman" w:cs="Times New Roman"/>
                <w:color w:val="000000" w:themeColor="text1"/>
                <w:sz w:val="20"/>
                <w:szCs w:val="20"/>
                <w:lang w:eastAsia="sk-SK"/>
              </w:rPr>
            </w:pPr>
          </w:p>
        </w:tc>
      </w:tr>
      <w:tr w:rsidR="00850A3D" w:rsidRPr="0029105C" w14:paraId="4F03FE0B" w14:textId="77777777" w:rsidTr="00402EF0">
        <w:tc>
          <w:tcPr>
            <w:tcW w:w="1005" w:type="dxa"/>
            <w:tcBorders>
              <w:top w:val="single" w:sz="4" w:space="0" w:color="auto"/>
              <w:left w:val="single" w:sz="12" w:space="0" w:color="auto"/>
              <w:bottom w:val="single" w:sz="4" w:space="0" w:color="auto"/>
              <w:right w:val="single" w:sz="4" w:space="0" w:color="auto"/>
            </w:tcBorders>
          </w:tcPr>
          <w:p w14:paraId="04EDD61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3339EC6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w:t>
            </w:r>
          </w:p>
          <w:p w14:paraId="69F708B3" w14:textId="502F9F16"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P:d</w:t>
            </w:r>
          </w:p>
        </w:tc>
        <w:tc>
          <w:tcPr>
            <w:tcW w:w="3421" w:type="dxa"/>
            <w:tcBorders>
              <w:top w:val="single" w:sz="4" w:space="0" w:color="auto"/>
              <w:left w:val="single" w:sz="4" w:space="0" w:color="auto"/>
              <w:bottom w:val="single" w:sz="4" w:space="0" w:color="auto"/>
              <w:right w:val="single" w:sz="4" w:space="0" w:color="auto"/>
            </w:tcBorders>
          </w:tcPr>
          <w:p w14:paraId="546EAD95" w14:textId="7AC4CCAD" w:rsidR="0020537D" w:rsidRDefault="0020537D" w:rsidP="00850A3D">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20537D">
              <w:rPr>
                <w:rFonts w:ascii="Times New Roman" w:eastAsia="Times New Roman" w:hAnsi="Times New Roman" w:cs="Times New Roman"/>
                <w:color w:val="000000" w:themeColor="text1"/>
                <w:sz w:val="20"/>
                <w:szCs w:val="20"/>
                <w:lang w:eastAsia="sk-SK"/>
              </w:rPr>
              <w:t>V článku 2 sa druhý odsek mení takto:</w:t>
            </w:r>
          </w:p>
          <w:p w14:paraId="0BABDD5D" w14:textId="78BBB72A" w:rsidR="00757880" w:rsidRDefault="00757880" w:rsidP="00850A3D">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757880">
              <w:rPr>
                <w:rFonts w:ascii="Times New Roman" w:eastAsia="Times New Roman" w:hAnsi="Times New Roman" w:cs="Times New Roman"/>
                <w:color w:val="000000" w:themeColor="text1"/>
                <w:sz w:val="20"/>
                <w:szCs w:val="20"/>
                <w:lang w:eastAsia="sk-SK"/>
              </w:rPr>
              <w:t>d) Vkladajú sa tieto body:</w:t>
            </w:r>
          </w:p>
          <w:p w14:paraId="4515AEDE" w14:textId="3139A641" w:rsidR="00850A3D" w:rsidRPr="00046617" w:rsidRDefault="00850A3D" w:rsidP="00850A3D">
            <w:pPr>
              <w:keepNext/>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14q </w:t>
            </w:r>
            <w:r w:rsidRPr="00850A3D">
              <w:rPr>
                <w:rFonts w:ascii="Times New Roman" w:eastAsia="Times New Roman" w:hAnsi="Times New Roman" w:cs="Times New Roman"/>
                <w:color w:val="000000" w:themeColor="text1"/>
                <w:sz w:val="20"/>
                <w:szCs w:val="20"/>
                <w:lang w:eastAsia="sk-SK"/>
              </w:rPr>
              <w:t>„zmluva o nákupe energie z obnoviteľných zdrojov“ je zmluva, na základe ktorej fyzická alebo právnická osoba súhlasí s nákupom energie z obnoviteľných zdrojov priamo od výrobcu, ktorá okrem iného zahŕňa zmluvy o nákupe energie z obnoviteľných zdrojov a zmluvy o nákupe tepla a chladu z obnoviteľných zdrojov;</w:t>
            </w:r>
          </w:p>
        </w:tc>
        <w:tc>
          <w:tcPr>
            <w:tcW w:w="794" w:type="dxa"/>
            <w:tcBorders>
              <w:top w:val="single" w:sz="4" w:space="0" w:color="auto"/>
              <w:left w:val="single" w:sz="4" w:space="0" w:color="auto"/>
              <w:bottom w:val="single" w:sz="4" w:space="0" w:color="auto"/>
              <w:right w:val="single" w:sz="12" w:space="0" w:color="auto"/>
            </w:tcBorders>
          </w:tcPr>
          <w:p w14:paraId="6BE24D71" w14:textId="128E993B"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63C1DD3D" w14:textId="45C8867D" w:rsidR="00850A3D" w:rsidRPr="0029105C" w:rsidRDefault="00CD6B71" w:rsidP="0017306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17306B">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657/2004</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2F45021"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2</w:t>
            </w:r>
          </w:p>
          <w:p w14:paraId="1F514A4C" w14:textId="6B29EE4D"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ah</w:t>
            </w:r>
          </w:p>
        </w:tc>
        <w:tc>
          <w:tcPr>
            <w:tcW w:w="4540" w:type="dxa"/>
            <w:tcBorders>
              <w:top w:val="single" w:sz="4" w:space="0" w:color="auto"/>
              <w:left w:val="single" w:sz="4" w:space="0" w:color="auto"/>
              <w:bottom w:val="single" w:sz="4" w:space="0" w:color="auto"/>
              <w:right w:val="single" w:sz="4" w:space="0" w:color="auto"/>
            </w:tcBorders>
          </w:tcPr>
          <w:p w14:paraId="30D771FE" w14:textId="4AD10F02" w:rsidR="00757880" w:rsidRDefault="00757880"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757880">
              <w:rPr>
                <w:rFonts w:ascii="Times New Roman" w:eastAsia="Times New Roman" w:hAnsi="Times New Roman" w:cs="Times New Roman"/>
                <w:color w:val="000000" w:themeColor="text1"/>
                <w:sz w:val="20"/>
                <w:szCs w:val="20"/>
                <w:lang w:eastAsia="sk-SK"/>
              </w:rPr>
              <w:t>Na účely tohto zákona sa rozumie:</w:t>
            </w:r>
          </w:p>
          <w:p w14:paraId="0C9C16FC" w14:textId="48299B3F" w:rsidR="00850A3D" w:rsidRPr="00046617" w:rsidRDefault="00757880"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ah) </w:t>
            </w:r>
            <w:r w:rsidR="00850A3D" w:rsidRPr="00D27649">
              <w:rPr>
                <w:rFonts w:ascii="Times New Roman" w:eastAsia="Times New Roman" w:hAnsi="Times New Roman" w:cs="Times New Roman"/>
                <w:color w:val="000000" w:themeColor="text1"/>
                <w:sz w:val="20"/>
                <w:szCs w:val="20"/>
                <w:lang w:eastAsia="sk-SK"/>
              </w:rPr>
              <w:t xml:space="preserve">zmluvou o nákupe tepla alebo chladu z obnoviteľných zdrojov energie zmluva, ktorou sa odberateľ tepla alebo chladu zaväzuje odoberať teplo alebo chlad vyrobené z obnoviteľných zdrojov energie priamo od výrobcu </w:t>
            </w:r>
            <w:r w:rsidR="00D27649">
              <w:rPr>
                <w:rFonts w:ascii="Times New Roman" w:eastAsia="Times New Roman" w:hAnsi="Times New Roman" w:cs="Times New Roman"/>
                <w:color w:val="000000" w:themeColor="text1"/>
                <w:sz w:val="20"/>
                <w:szCs w:val="20"/>
                <w:lang w:eastAsia="sk-SK"/>
              </w:rPr>
              <w:t>tepla alebo chladu</w:t>
            </w:r>
          </w:p>
        </w:tc>
        <w:tc>
          <w:tcPr>
            <w:tcW w:w="849" w:type="dxa"/>
            <w:tcBorders>
              <w:top w:val="single" w:sz="4" w:space="0" w:color="auto"/>
              <w:left w:val="single" w:sz="4" w:space="0" w:color="auto"/>
              <w:bottom w:val="single" w:sz="4" w:space="0" w:color="auto"/>
              <w:right w:val="single" w:sz="4" w:space="0" w:color="auto"/>
            </w:tcBorders>
          </w:tcPr>
          <w:p w14:paraId="5B2A7F10" w14:textId="1820BCF4"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08596787"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68E549EE" w14:textId="3AFDA1E0" w:rsidR="00850A3D"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3F522FE3"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tc>
      </w:tr>
      <w:tr w:rsidR="00850A3D" w:rsidRPr="0029105C" w14:paraId="730A7853" w14:textId="77777777" w:rsidTr="00402EF0">
        <w:tc>
          <w:tcPr>
            <w:tcW w:w="1005" w:type="dxa"/>
            <w:tcBorders>
              <w:top w:val="single" w:sz="4" w:space="0" w:color="auto"/>
              <w:left w:val="single" w:sz="12" w:space="0" w:color="auto"/>
              <w:bottom w:val="single" w:sz="4" w:space="0" w:color="auto"/>
              <w:right w:val="single" w:sz="4" w:space="0" w:color="auto"/>
            </w:tcBorders>
          </w:tcPr>
          <w:p w14:paraId="1037028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2967BBD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w:t>
            </w:r>
          </w:p>
          <w:p w14:paraId="156B4869" w14:textId="0B9D4088"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P:e</w:t>
            </w:r>
          </w:p>
        </w:tc>
        <w:tc>
          <w:tcPr>
            <w:tcW w:w="3421" w:type="dxa"/>
            <w:tcBorders>
              <w:top w:val="single" w:sz="4" w:space="0" w:color="auto"/>
              <w:left w:val="single" w:sz="4" w:space="0" w:color="auto"/>
              <w:bottom w:val="single" w:sz="4" w:space="0" w:color="auto"/>
              <w:right w:val="single" w:sz="4" w:space="0" w:color="auto"/>
            </w:tcBorders>
          </w:tcPr>
          <w:p w14:paraId="21C911C0" w14:textId="2003EC52" w:rsidR="0020537D" w:rsidRDefault="0020537D" w:rsidP="00850A3D">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20537D">
              <w:rPr>
                <w:rFonts w:ascii="Times New Roman" w:eastAsia="Times New Roman" w:hAnsi="Times New Roman" w:cs="Times New Roman"/>
                <w:color w:val="000000" w:themeColor="text1"/>
                <w:sz w:val="20"/>
                <w:szCs w:val="20"/>
                <w:lang w:eastAsia="sk-SK"/>
              </w:rPr>
              <w:t>V článku 2 sa druhý odsek mení takto:</w:t>
            </w:r>
          </w:p>
          <w:p w14:paraId="406F9089" w14:textId="6AED0441" w:rsidR="00757880" w:rsidRDefault="00757880" w:rsidP="00850A3D">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757880">
              <w:rPr>
                <w:rFonts w:ascii="Times New Roman" w:eastAsia="Times New Roman" w:hAnsi="Times New Roman" w:cs="Times New Roman"/>
                <w:color w:val="000000" w:themeColor="text1"/>
                <w:sz w:val="20"/>
                <w:szCs w:val="20"/>
                <w:lang w:eastAsia="sk-SK"/>
              </w:rPr>
              <w:t>e) Vkladajú sa tieto body:</w:t>
            </w:r>
          </w:p>
          <w:p w14:paraId="4FC5AF5F" w14:textId="3292AFD0" w:rsidR="00850A3D" w:rsidRPr="00046617" w:rsidRDefault="00850A3D" w:rsidP="00850A3D">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046617">
              <w:rPr>
                <w:rFonts w:ascii="Times New Roman" w:eastAsia="Times New Roman" w:hAnsi="Times New Roman" w:cs="Times New Roman"/>
                <w:color w:val="000000" w:themeColor="text1"/>
                <w:sz w:val="20"/>
                <w:szCs w:val="20"/>
                <w:lang w:eastAsia="sk-SK"/>
              </w:rPr>
              <w:t>18b.</w:t>
            </w:r>
            <w:r>
              <w:rPr>
                <w:rFonts w:ascii="Times New Roman" w:eastAsia="Times New Roman" w:hAnsi="Times New Roman" w:cs="Times New Roman"/>
                <w:color w:val="000000" w:themeColor="text1"/>
                <w:sz w:val="20"/>
                <w:szCs w:val="20"/>
                <w:lang w:eastAsia="sk-SK"/>
              </w:rPr>
              <w:t xml:space="preserve"> </w:t>
            </w:r>
            <w:r w:rsidRPr="00046617">
              <w:rPr>
                <w:rFonts w:ascii="Times New Roman" w:eastAsia="Times New Roman" w:hAnsi="Times New Roman" w:cs="Times New Roman"/>
                <w:color w:val="000000" w:themeColor="text1"/>
                <w:sz w:val="20"/>
                <w:szCs w:val="20"/>
                <w:lang w:eastAsia="sk-SK"/>
              </w:rPr>
              <w:t>„neenergetický účel“ je použitie palív ako suroviny v priemyselnom procese, namiesto použitia na výrobu energie;</w:t>
            </w:r>
          </w:p>
        </w:tc>
        <w:tc>
          <w:tcPr>
            <w:tcW w:w="794" w:type="dxa"/>
            <w:tcBorders>
              <w:top w:val="single" w:sz="4" w:space="0" w:color="auto"/>
              <w:left w:val="single" w:sz="4" w:space="0" w:color="auto"/>
              <w:bottom w:val="single" w:sz="4" w:space="0" w:color="auto"/>
              <w:right w:val="single" w:sz="12" w:space="0" w:color="auto"/>
            </w:tcBorders>
          </w:tcPr>
          <w:p w14:paraId="6DE5B76F" w14:textId="7C01654D"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20BB1B0E" w14:textId="77880356" w:rsidR="00850A3D" w:rsidRPr="0029105C" w:rsidRDefault="00CD6B71" w:rsidP="0017306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17306B">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B01810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2</w:t>
            </w:r>
          </w:p>
          <w:p w14:paraId="43BFEF5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 1</w:t>
            </w:r>
          </w:p>
          <w:p w14:paraId="4509BA22" w14:textId="44E756CC"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P: </w:t>
            </w:r>
            <w:r>
              <w:rPr>
                <w:rFonts w:ascii="Times New Roman" w:eastAsia="Times New Roman" w:hAnsi="Times New Roman" w:cs="Times New Roman"/>
                <w:color w:val="000000" w:themeColor="text1"/>
                <w:sz w:val="20"/>
                <w:szCs w:val="20"/>
                <w:lang w:eastAsia="sk-SK"/>
              </w:rPr>
              <w:t>q</w:t>
            </w:r>
          </w:p>
        </w:tc>
        <w:tc>
          <w:tcPr>
            <w:tcW w:w="4540" w:type="dxa"/>
            <w:tcBorders>
              <w:top w:val="single" w:sz="4" w:space="0" w:color="auto"/>
              <w:left w:val="single" w:sz="4" w:space="0" w:color="auto"/>
              <w:bottom w:val="single" w:sz="4" w:space="0" w:color="auto"/>
              <w:right w:val="single" w:sz="4" w:space="0" w:color="auto"/>
            </w:tcBorders>
          </w:tcPr>
          <w:p w14:paraId="40D024D0" w14:textId="6F7571D7" w:rsidR="00CD6B71" w:rsidRDefault="00CD6B71"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D6B71">
              <w:rPr>
                <w:rFonts w:ascii="Times New Roman" w:eastAsia="Times New Roman" w:hAnsi="Times New Roman" w:cs="Times New Roman"/>
                <w:color w:val="000000" w:themeColor="text1"/>
                <w:sz w:val="20"/>
                <w:szCs w:val="20"/>
                <w:lang w:eastAsia="sk-SK"/>
              </w:rPr>
              <w:t>(1) Pri podpore obnoviteľných zdrojov energie sa na účely tohto zákona rozumie</w:t>
            </w:r>
          </w:p>
          <w:p w14:paraId="21368039" w14:textId="22E46D62" w:rsidR="00850A3D" w:rsidRPr="00046617" w:rsidRDefault="0017306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q) </w:t>
            </w:r>
            <w:r w:rsidR="00E1385B" w:rsidRPr="00E1385B">
              <w:rPr>
                <w:rFonts w:ascii="Times New Roman" w:eastAsia="Times New Roman" w:hAnsi="Times New Roman" w:cs="Times New Roman"/>
                <w:color w:val="000000" w:themeColor="text1"/>
                <w:sz w:val="20"/>
                <w:szCs w:val="20"/>
                <w:lang w:eastAsia="sk-SK"/>
              </w:rPr>
              <w:t>neenergetickým účelom je použitie palív ako suroviny v priemyselnom procese, namiesto použitia na výrobu energie,</w:t>
            </w:r>
          </w:p>
        </w:tc>
        <w:tc>
          <w:tcPr>
            <w:tcW w:w="849" w:type="dxa"/>
            <w:tcBorders>
              <w:top w:val="single" w:sz="4" w:space="0" w:color="auto"/>
              <w:left w:val="single" w:sz="4" w:space="0" w:color="auto"/>
              <w:bottom w:val="single" w:sz="4" w:space="0" w:color="auto"/>
              <w:right w:val="single" w:sz="4" w:space="0" w:color="auto"/>
            </w:tcBorders>
          </w:tcPr>
          <w:p w14:paraId="42E1C454" w14:textId="6ACB577B"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6A359824"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251A7DD0" w14:textId="0DF3F4AE" w:rsidR="00850A3D"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04595B26"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tc>
      </w:tr>
      <w:tr w:rsidR="00850A3D" w:rsidRPr="0029105C" w14:paraId="2D3703BB" w14:textId="77777777" w:rsidTr="00402EF0">
        <w:tc>
          <w:tcPr>
            <w:tcW w:w="1005" w:type="dxa"/>
            <w:tcBorders>
              <w:top w:val="single" w:sz="4" w:space="0" w:color="auto"/>
              <w:left w:val="single" w:sz="12" w:space="0" w:color="auto"/>
              <w:bottom w:val="single" w:sz="4" w:space="0" w:color="auto"/>
              <w:right w:val="single" w:sz="4" w:space="0" w:color="auto"/>
            </w:tcBorders>
          </w:tcPr>
          <w:p w14:paraId="2CDA388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272A668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w:t>
            </w:r>
          </w:p>
          <w:p w14:paraId="3D12836B" w14:textId="3332FC36"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P:g</w:t>
            </w:r>
          </w:p>
        </w:tc>
        <w:tc>
          <w:tcPr>
            <w:tcW w:w="3421" w:type="dxa"/>
            <w:tcBorders>
              <w:top w:val="single" w:sz="4" w:space="0" w:color="auto"/>
              <w:left w:val="single" w:sz="4" w:space="0" w:color="auto"/>
              <w:bottom w:val="single" w:sz="4" w:space="0" w:color="auto"/>
              <w:right w:val="single" w:sz="4" w:space="0" w:color="auto"/>
            </w:tcBorders>
          </w:tcPr>
          <w:p w14:paraId="5E3598AC" w14:textId="77777777" w:rsidR="0020537D" w:rsidRDefault="0020537D" w:rsidP="0020537D">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20537D">
              <w:rPr>
                <w:rFonts w:ascii="Times New Roman" w:eastAsia="Times New Roman" w:hAnsi="Times New Roman" w:cs="Times New Roman"/>
                <w:color w:val="000000" w:themeColor="text1"/>
                <w:sz w:val="20"/>
                <w:szCs w:val="20"/>
                <w:lang w:eastAsia="sk-SK"/>
              </w:rPr>
              <w:t>V článku 2 sa druhý odsek mení takto:</w:t>
            </w:r>
          </w:p>
          <w:p w14:paraId="68ED071D" w14:textId="0B3ADEC7" w:rsidR="00850A3D" w:rsidRPr="0029105C" w:rsidRDefault="00850A3D" w:rsidP="00850A3D">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Bod 36 sa nahrádza takto:</w:t>
            </w:r>
          </w:p>
          <w:p w14:paraId="774E7E32" w14:textId="2571EEC4" w:rsidR="00850A3D" w:rsidRPr="0029105C" w:rsidRDefault="00850A3D" w:rsidP="00850A3D">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„36. „palivá z obnoviteľných zdrojov nebiologického pôvodu“ sú kvapalné a plynné palivá, ktorých energetický obsah pochádza z iných obnoviteľných zdrojov než biomasa;“.</w:t>
            </w:r>
          </w:p>
        </w:tc>
        <w:tc>
          <w:tcPr>
            <w:tcW w:w="794" w:type="dxa"/>
            <w:tcBorders>
              <w:top w:val="single" w:sz="4" w:space="0" w:color="auto"/>
              <w:left w:val="single" w:sz="4" w:space="0" w:color="auto"/>
              <w:bottom w:val="single" w:sz="4" w:space="0" w:color="auto"/>
              <w:right w:val="single" w:sz="12" w:space="0" w:color="auto"/>
            </w:tcBorders>
          </w:tcPr>
          <w:p w14:paraId="13F9A87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545AF6E3" w14:textId="4DA5C8D0" w:rsidR="00850A3D" w:rsidRPr="0029105C" w:rsidRDefault="00CD6B71" w:rsidP="0017306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17306B">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tc>
        <w:tc>
          <w:tcPr>
            <w:tcW w:w="900" w:type="dxa"/>
            <w:tcBorders>
              <w:top w:val="single" w:sz="4" w:space="0" w:color="auto"/>
              <w:left w:val="single" w:sz="4" w:space="0" w:color="auto"/>
              <w:bottom w:val="single" w:sz="4" w:space="0" w:color="auto"/>
              <w:right w:val="single" w:sz="4" w:space="0" w:color="auto"/>
            </w:tcBorders>
          </w:tcPr>
          <w:p w14:paraId="5CEE1DEE" w14:textId="26D22D9C"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2</w:t>
            </w:r>
          </w:p>
          <w:p w14:paraId="7827731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 3</w:t>
            </w:r>
          </w:p>
          <w:p w14:paraId="70DEFE23" w14:textId="1EE1A095"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 s)</w:t>
            </w:r>
          </w:p>
          <w:p w14:paraId="5A39BBE3"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5BE7B605" w14:textId="60C6C3B7" w:rsidR="004A1445" w:rsidRDefault="004A1445"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4A1445">
              <w:rPr>
                <w:rFonts w:ascii="Times New Roman" w:eastAsia="Times New Roman" w:hAnsi="Times New Roman" w:cs="Times New Roman"/>
                <w:color w:val="000000" w:themeColor="text1"/>
                <w:sz w:val="20"/>
                <w:szCs w:val="20"/>
                <w:lang w:eastAsia="sk-SK"/>
              </w:rPr>
              <w:t>(3) Na účely tohoto zákona sa všeobecne rozumie</w:t>
            </w:r>
          </w:p>
          <w:p w14:paraId="64BCA8E1" w14:textId="30451C99" w:rsidR="00850A3D" w:rsidRPr="0029105C" w:rsidRDefault="0017306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s) </w:t>
            </w:r>
            <w:r w:rsidR="00850A3D" w:rsidRPr="0029105C">
              <w:rPr>
                <w:rFonts w:ascii="Times New Roman" w:eastAsia="Times New Roman" w:hAnsi="Times New Roman" w:cs="Times New Roman"/>
                <w:color w:val="000000" w:themeColor="text1"/>
                <w:sz w:val="20"/>
                <w:szCs w:val="20"/>
                <w:lang w:eastAsia="sk-SK"/>
              </w:rPr>
              <w:t>palivom z obnoviteľných zdrojov nebiologického pôvodu kvapalné alebo plynné palivo, ktorého energetický obsah pochádza z iného obnoviteľného zdroja energie ako biomasa,</w:t>
            </w:r>
          </w:p>
        </w:tc>
        <w:tc>
          <w:tcPr>
            <w:tcW w:w="849" w:type="dxa"/>
            <w:tcBorders>
              <w:top w:val="single" w:sz="4" w:space="0" w:color="auto"/>
              <w:left w:val="single" w:sz="4" w:space="0" w:color="auto"/>
              <w:bottom w:val="single" w:sz="4" w:space="0" w:color="auto"/>
              <w:right w:val="single" w:sz="4" w:space="0" w:color="auto"/>
            </w:tcBorders>
          </w:tcPr>
          <w:p w14:paraId="2B80580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41C8F396"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52D75640"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72A3D3EC"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4DDB253E" w14:textId="77777777" w:rsidTr="00402EF0">
        <w:tc>
          <w:tcPr>
            <w:tcW w:w="1005" w:type="dxa"/>
            <w:tcBorders>
              <w:top w:val="single" w:sz="4" w:space="0" w:color="auto"/>
              <w:left w:val="single" w:sz="12" w:space="0" w:color="auto"/>
              <w:bottom w:val="single" w:sz="4" w:space="0" w:color="auto"/>
              <w:right w:val="single" w:sz="4" w:space="0" w:color="auto"/>
            </w:tcBorders>
          </w:tcPr>
          <w:p w14:paraId="7B71149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Č:1</w:t>
            </w:r>
          </w:p>
          <w:p w14:paraId="3113050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w:t>
            </w:r>
          </w:p>
          <w:p w14:paraId="59E68C8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P:h</w:t>
            </w:r>
          </w:p>
        </w:tc>
        <w:tc>
          <w:tcPr>
            <w:tcW w:w="3421" w:type="dxa"/>
            <w:tcBorders>
              <w:top w:val="single" w:sz="4" w:space="0" w:color="auto"/>
              <w:left w:val="single" w:sz="4" w:space="0" w:color="auto"/>
              <w:bottom w:val="single" w:sz="4" w:space="0" w:color="auto"/>
              <w:right w:val="single" w:sz="4" w:space="0" w:color="auto"/>
            </w:tcBorders>
          </w:tcPr>
          <w:p w14:paraId="14FC148A" w14:textId="77777777" w:rsidR="0020537D" w:rsidRDefault="0020537D" w:rsidP="0020537D">
            <w:pPr>
              <w:keepNext/>
              <w:spacing w:after="0" w:line="240" w:lineRule="auto"/>
              <w:ind w:right="63"/>
              <w:jc w:val="both"/>
              <w:rPr>
                <w:rFonts w:ascii="Times New Roman" w:eastAsia="Times New Roman" w:hAnsi="Times New Roman" w:cs="Times New Roman"/>
                <w:color w:val="000000" w:themeColor="text1"/>
                <w:sz w:val="20"/>
                <w:szCs w:val="20"/>
                <w:lang w:eastAsia="sk-SK"/>
              </w:rPr>
            </w:pPr>
            <w:r w:rsidRPr="0020537D">
              <w:rPr>
                <w:rFonts w:ascii="Times New Roman" w:eastAsia="Times New Roman" w:hAnsi="Times New Roman" w:cs="Times New Roman"/>
                <w:color w:val="000000" w:themeColor="text1"/>
                <w:sz w:val="20"/>
                <w:szCs w:val="20"/>
                <w:lang w:eastAsia="sk-SK"/>
              </w:rPr>
              <w:t>V článku 2 sa druhý odsek mení takto:</w:t>
            </w:r>
          </w:p>
          <w:p w14:paraId="7205CA55" w14:textId="492EED3A" w:rsidR="00757880" w:rsidRDefault="00757880"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57880">
              <w:rPr>
                <w:rFonts w:ascii="Times New Roman" w:eastAsia="Times New Roman" w:hAnsi="Times New Roman" w:cs="Times New Roman"/>
                <w:color w:val="000000" w:themeColor="text1"/>
                <w:sz w:val="20"/>
                <w:szCs w:val="20"/>
                <w:lang w:eastAsia="sk-SK"/>
              </w:rPr>
              <w:t>h) Vkladajú sa tieto body:</w:t>
            </w:r>
          </w:p>
          <w:p w14:paraId="6D892124" w14:textId="5D67CBE4"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44b. „</w:t>
            </w:r>
            <w:proofErr w:type="spellStart"/>
            <w:r w:rsidRPr="0029105C">
              <w:rPr>
                <w:rFonts w:ascii="Times New Roman" w:eastAsia="Times New Roman" w:hAnsi="Times New Roman" w:cs="Times New Roman"/>
                <w:color w:val="000000" w:themeColor="text1"/>
                <w:sz w:val="20"/>
                <w:szCs w:val="20"/>
                <w:lang w:eastAsia="sk-SK"/>
              </w:rPr>
              <w:t>osmotická</w:t>
            </w:r>
            <w:proofErr w:type="spellEnd"/>
            <w:r w:rsidRPr="0029105C">
              <w:rPr>
                <w:rFonts w:ascii="Times New Roman" w:eastAsia="Times New Roman" w:hAnsi="Times New Roman" w:cs="Times New Roman"/>
                <w:color w:val="000000" w:themeColor="text1"/>
                <w:sz w:val="20"/>
                <w:szCs w:val="20"/>
                <w:lang w:eastAsia="sk-SK"/>
              </w:rPr>
              <w:t xml:space="preserve"> energia“ je energia, ktorá vznikne v dôsledku rozdielu v koncentrácii soli medzi dvoma tekutinami, ako je napríklad sladká a slaná voda;</w:t>
            </w:r>
          </w:p>
        </w:tc>
        <w:tc>
          <w:tcPr>
            <w:tcW w:w="794" w:type="dxa"/>
            <w:tcBorders>
              <w:top w:val="single" w:sz="4" w:space="0" w:color="auto"/>
              <w:left w:val="single" w:sz="4" w:space="0" w:color="auto"/>
              <w:bottom w:val="single" w:sz="4" w:space="0" w:color="auto"/>
              <w:right w:val="single" w:sz="12" w:space="0" w:color="auto"/>
            </w:tcBorders>
          </w:tcPr>
          <w:p w14:paraId="0957B6B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6E0702C9" w14:textId="14FDCD5D" w:rsidR="00850A3D" w:rsidRPr="0029105C" w:rsidRDefault="00CD6B71" w:rsidP="0017306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17306B">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tc>
        <w:tc>
          <w:tcPr>
            <w:tcW w:w="900" w:type="dxa"/>
            <w:tcBorders>
              <w:top w:val="single" w:sz="4" w:space="0" w:color="auto"/>
              <w:left w:val="single" w:sz="4" w:space="0" w:color="auto"/>
              <w:bottom w:val="single" w:sz="4" w:space="0" w:color="auto"/>
              <w:right w:val="single" w:sz="4" w:space="0" w:color="auto"/>
            </w:tcBorders>
          </w:tcPr>
          <w:p w14:paraId="2E2B0AF9" w14:textId="5FFB4D65"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2</w:t>
            </w:r>
          </w:p>
          <w:p w14:paraId="62809BE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 1</w:t>
            </w:r>
          </w:p>
          <w:p w14:paraId="7CDC8E6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 n)</w:t>
            </w:r>
          </w:p>
          <w:p w14:paraId="0D0B940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21D709C8" w14:textId="77777777" w:rsidR="004A1445" w:rsidRDefault="004A1445" w:rsidP="004A1445">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D6B71">
              <w:rPr>
                <w:rFonts w:ascii="Times New Roman" w:eastAsia="Times New Roman" w:hAnsi="Times New Roman" w:cs="Times New Roman"/>
                <w:color w:val="000000" w:themeColor="text1"/>
                <w:sz w:val="20"/>
                <w:szCs w:val="20"/>
                <w:lang w:eastAsia="sk-SK"/>
              </w:rPr>
              <w:t>(1) Pri podpore obnoviteľných zdrojov energie sa na účely tohto zákona rozumie</w:t>
            </w:r>
          </w:p>
          <w:p w14:paraId="30D5BAD0" w14:textId="28B0AAE0" w:rsidR="00850A3D" w:rsidRPr="0029105C" w:rsidRDefault="001D788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1D788D">
              <w:rPr>
                <w:rFonts w:ascii="Times New Roman" w:eastAsia="Times New Roman" w:hAnsi="Times New Roman" w:cs="Times New Roman"/>
                <w:color w:val="000000" w:themeColor="text1"/>
                <w:sz w:val="20"/>
                <w:szCs w:val="20"/>
                <w:lang w:eastAsia="sk-SK"/>
              </w:rPr>
              <w:t xml:space="preserve">n) </w:t>
            </w:r>
            <w:proofErr w:type="spellStart"/>
            <w:r w:rsidRPr="001D788D">
              <w:rPr>
                <w:rFonts w:ascii="Times New Roman" w:eastAsia="Times New Roman" w:hAnsi="Times New Roman" w:cs="Times New Roman"/>
                <w:color w:val="000000" w:themeColor="text1"/>
                <w:sz w:val="20"/>
                <w:szCs w:val="20"/>
                <w:lang w:eastAsia="sk-SK"/>
              </w:rPr>
              <w:t>osmotickou</w:t>
            </w:r>
            <w:proofErr w:type="spellEnd"/>
            <w:r w:rsidRPr="001D788D">
              <w:rPr>
                <w:rFonts w:ascii="Times New Roman" w:eastAsia="Times New Roman" w:hAnsi="Times New Roman" w:cs="Times New Roman"/>
                <w:color w:val="000000" w:themeColor="text1"/>
                <w:sz w:val="20"/>
                <w:szCs w:val="20"/>
                <w:lang w:eastAsia="sk-SK"/>
              </w:rPr>
              <w:t xml:space="preserve"> energiou energia, ktorá vzniká v dôsledku rozdielu v koncentrácii soli medzi dvoma tekutinami,</w:t>
            </w:r>
          </w:p>
        </w:tc>
        <w:tc>
          <w:tcPr>
            <w:tcW w:w="849" w:type="dxa"/>
            <w:tcBorders>
              <w:top w:val="single" w:sz="4" w:space="0" w:color="auto"/>
              <w:left w:val="single" w:sz="4" w:space="0" w:color="auto"/>
              <w:bottom w:val="single" w:sz="4" w:space="0" w:color="auto"/>
              <w:right w:val="single" w:sz="4" w:space="0" w:color="auto"/>
            </w:tcBorders>
          </w:tcPr>
          <w:p w14:paraId="1C1BBF71" w14:textId="24DE4BDB"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0E27B00A"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0D3C077F"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60061E4C"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7E5A67A9" w14:textId="77777777" w:rsidTr="00402EF0">
        <w:tc>
          <w:tcPr>
            <w:tcW w:w="1005" w:type="dxa"/>
            <w:tcBorders>
              <w:top w:val="single" w:sz="4" w:space="0" w:color="auto"/>
              <w:left w:val="single" w:sz="12" w:space="0" w:color="auto"/>
              <w:bottom w:val="single" w:sz="4" w:space="0" w:color="auto"/>
              <w:right w:val="single" w:sz="4" w:space="0" w:color="auto"/>
            </w:tcBorders>
          </w:tcPr>
          <w:p w14:paraId="6A5C8B0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24C929D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O:2</w:t>
            </w:r>
          </w:p>
          <w:p w14:paraId="7D1ED8C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P:b</w:t>
            </w:r>
          </w:p>
        </w:tc>
        <w:tc>
          <w:tcPr>
            <w:tcW w:w="3421" w:type="dxa"/>
            <w:tcBorders>
              <w:top w:val="single" w:sz="4" w:space="0" w:color="auto"/>
              <w:left w:val="single" w:sz="4" w:space="0" w:color="auto"/>
              <w:bottom w:val="single" w:sz="4" w:space="0" w:color="auto"/>
              <w:right w:val="single" w:sz="4" w:space="0" w:color="auto"/>
            </w:tcBorders>
          </w:tcPr>
          <w:p w14:paraId="6DC70768" w14:textId="2BFF93FF" w:rsidR="0020537D" w:rsidRDefault="0020537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2. </w:t>
            </w:r>
            <w:r w:rsidRPr="0020537D">
              <w:rPr>
                <w:rFonts w:ascii="Times New Roman" w:eastAsia="Times New Roman" w:hAnsi="Times New Roman" w:cs="Times New Roman"/>
                <w:color w:val="000000" w:themeColor="text1"/>
                <w:sz w:val="20"/>
                <w:szCs w:val="20"/>
                <w:lang w:eastAsia="sk-SK"/>
              </w:rPr>
              <w:t>Článok 3 sa mení takto:</w:t>
            </w:r>
          </w:p>
          <w:p w14:paraId="7C833A0E" w14:textId="25ACB5CC" w:rsidR="00757880" w:rsidRDefault="00757880"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57880">
              <w:rPr>
                <w:rFonts w:ascii="Times New Roman" w:eastAsia="Times New Roman" w:hAnsi="Times New Roman" w:cs="Times New Roman"/>
                <w:color w:val="000000" w:themeColor="text1"/>
                <w:sz w:val="20"/>
                <w:szCs w:val="20"/>
                <w:lang w:eastAsia="sk-SK"/>
              </w:rPr>
              <w:t>b) Odsek 3 sa nahrádza takto:</w:t>
            </w:r>
          </w:p>
          <w:p w14:paraId="76157381" w14:textId="486F9A6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3. Členské štáty prijímajú opatrenia na zabezpečenie, aby sa energia z biomasy vyrábala spôsobom, ktorým sa </w:t>
            </w:r>
          </w:p>
          <w:p w14:paraId="6BFAECD5"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minimalizujú nenáležité rušivé účinky na trhu so surovinami z biomasy, ako aj nepriaznivý vplyv na biodiverzitu, </w:t>
            </w:r>
          </w:p>
          <w:p w14:paraId="6BDD0E96"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životné prostredie a klímu. Na tento účel zohľadňujú hierarchiu odpadového hospodárstva, ako sa stanovuje </w:t>
            </w:r>
          </w:p>
          <w:p w14:paraId="0609BA9C"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v článku 4 smernice 2008/98/ES a zaručia uplatňovanie zásady kaskádového využívania biomasy so zameraním </w:t>
            </w:r>
          </w:p>
          <w:p w14:paraId="15560208"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na systémy podpory a s náležitým ohľadom na národné špecifiká.</w:t>
            </w:r>
          </w:p>
          <w:p w14:paraId="2A63EBE7"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Členské štáty navrhnú systémy podpory pre energiu z </w:t>
            </w:r>
            <w:proofErr w:type="spellStart"/>
            <w:r w:rsidRPr="0029105C">
              <w:rPr>
                <w:rFonts w:ascii="Times New Roman" w:eastAsia="Times New Roman" w:hAnsi="Times New Roman" w:cs="Times New Roman"/>
                <w:color w:val="000000" w:themeColor="text1"/>
                <w:sz w:val="20"/>
                <w:szCs w:val="20"/>
                <w:lang w:eastAsia="sk-SK"/>
              </w:rPr>
              <w:t>biopalív</w:t>
            </w:r>
            <w:proofErr w:type="spellEnd"/>
            <w:r w:rsidRPr="0029105C">
              <w:rPr>
                <w:rFonts w:ascii="Times New Roman" w:eastAsia="Times New Roman" w:hAnsi="Times New Roman" w:cs="Times New Roman"/>
                <w:color w:val="000000" w:themeColor="text1"/>
                <w:sz w:val="20"/>
                <w:szCs w:val="20"/>
                <w:lang w:eastAsia="sk-SK"/>
              </w:rPr>
              <w:t xml:space="preserve">, </w:t>
            </w:r>
            <w:proofErr w:type="spellStart"/>
            <w:r w:rsidRPr="0029105C">
              <w:rPr>
                <w:rFonts w:ascii="Times New Roman" w:eastAsia="Times New Roman" w:hAnsi="Times New Roman" w:cs="Times New Roman"/>
                <w:color w:val="000000" w:themeColor="text1"/>
                <w:sz w:val="20"/>
                <w:szCs w:val="20"/>
                <w:lang w:eastAsia="sk-SK"/>
              </w:rPr>
              <w:t>biokvapalín</w:t>
            </w:r>
            <w:proofErr w:type="spellEnd"/>
            <w:r w:rsidRPr="0029105C">
              <w:rPr>
                <w:rFonts w:ascii="Times New Roman" w:eastAsia="Times New Roman" w:hAnsi="Times New Roman" w:cs="Times New Roman"/>
                <w:color w:val="000000" w:themeColor="text1"/>
                <w:sz w:val="20"/>
                <w:szCs w:val="20"/>
                <w:lang w:eastAsia="sk-SK"/>
              </w:rPr>
              <w:t xml:space="preserve"> a palív z biomasy tak, aby sa zabránilo </w:t>
            </w:r>
          </w:p>
          <w:p w14:paraId="7A379EA1"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stimulovaniu neudržateľných spôsobov a narušeniu hospodárskej súťaže s odvetviami materiálov, s cieľom </w:t>
            </w:r>
          </w:p>
          <w:p w14:paraId="586C6110"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zabezpečiť, aby sa drevná biomasa využívala podľa jej najvyššej hospodárskej a environmentálnej pridanej </w:t>
            </w:r>
          </w:p>
          <w:p w14:paraId="634F3C84"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hodnoty v tomto poradí priorít:</w:t>
            </w:r>
          </w:p>
          <w:p w14:paraId="09D20E38"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a) výrobky na báze dreva;</w:t>
            </w:r>
          </w:p>
          <w:p w14:paraId="42CABA09"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b) predĺženie životnosti výrobkov na báze dreva;</w:t>
            </w:r>
          </w:p>
          <w:p w14:paraId="6932E7D9"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c) opätovné použitie;</w:t>
            </w:r>
          </w:p>
          <w:p w14:paraId="47A6B2A4"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d) recyklácia;</w:t>
            </w:r>
          </w:p>
          <w:p w14:paraId="7EEED7A3"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e) </w:t>
            </w:r>
            <w:proofErr w:type="spellStart"/>
            <w:r w:rsidRPr="0029105C">
              <w:rPr>
                <w:rFonts w:ascii="Times New Roman" w:eastAsia="Times New Roman" w:hAnsi="Times New Roman" w:cs="Times New Roman"/>
                <w:color w:val="000000" w:themeColor="text1"/>
                <w:sz w:val="20"/>
                <w:szCs w:val="20"/>
                <w:lang w:eastAsia="sk-SK"/>
              </w:rPr>
              <w:t>bioenergia</w:t>
            </w:r>
            <w:proofErr w:type="spellEnd"/>
            <w:r w:rsidRPr="0029105C">
              <w:rPr>
                <w:rFonts w:ascii="Times New Roman" w:eastAsia="Times New Roman" w:hAnsi="Times New Roman" w:cs="Times New Roman"/>
                <w:color w:val="000000" w:themeColor="text1"/>
                <w:sz w:val="20"/>
                <w:szCs w:val="20"/>
                <w:lang w:eastAsia="sk-SK"/>
              </w:rPr>
              <w:t xml:space="preserve"> a</w:t>
            </w:r>
          </w:p>
          <w:p w14:paraId="59993377"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f) likvidácia.</w:t>
            </w:r>
          </w:p>
        </w:tc>
        <w:tc>
          <w:tcPr>
            <w:tcW w:w="794" w:type="dxa"/>
            <w:tcBorders>
              <w:top w:val="single" w:sz="4" w:space="0" w:color="auto"/>
              <w:left w:val="single" w:sz="4" w:space="0" w:color="auto"/>
              <w:bottom w:val="single" w:sz="4" w:space="0" w:color="auto"/>
              <w:right w:val="single" w:sz="12" w:space="0" w:color="auto"/>
            </w:tcBorders>
          </w:tcPr>
          <w:p w14:paraId="05628F0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N</w:t>
            </w:r>
          </w:p>
        </w:tc>
        <w:tc>
          <w:tcPr>
            <w:tcW w:w="1080" w:type="dxa"/>
            <w:tcBorders>
              <w:top w:val="single" w:sz="4" w:space="0" w:color="auto"/>
              <w:left w:val="nil"/>
              <w:bottom w:val="single" w:sz="4" w:space="0" w:color="auto"/>
              <w:right w:val="single" w:sz="4" w:space="0" w:color="auto"/>
            </w:tcBorders>
          </w:tcPr>
          <w:p w14:paraId="14A7B987" w14:textId="368F4845" w:rsidR="00850A3D" w:rsidRPr="0029105C" w:rsidRDefault="00CD6B71" w:rsidP="0017306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17306B">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tc>
        <w:tc>
          <w:tcPr>
            <w:tcW w:w="900" w:type="dxa"/>
            <w:tcBorders>
              <w:top w:val="single" w:sz="4" w:space="0" w:color="auto"/>
              <w:left w:val="single" w:sz="4" w:space="0" w:color="auto"/>
              <w:bottom w:val="single" w:sz="4" w:space="0" w:color="auto"/>
              <w:right w:val="single" w:sz="4" w:space="0" w:color="auto"/>
            </w:tcBorders>
          </w:tcPr>
          <w:p w14:paraId="1464C121"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B266A7">
              <w:rPr>
                <w:rFonts w:ascii="Times New Roman" w:eastAsia="Times New Roman" w:hAnsi="Times New Roman" w:cs="Times New Roman"/>
                <w:color w:val="000000" w:themeColor="text1"/>
                <w:sz w:val="20"/>
                <w:szCs w:val="20"/>
                <w:lang w:eastAsia="sk-SK"/>
              </w:rPr>
              <w:t>§ 14j</w:t>
            </w:r>
          </w:p>
          <w:p w14:paraId="30F891B1" w14:textId="2F391C2A" w:rsidR="00E1385B" w:rsidRPr="00F46B5B" w:rsidRDefault="00E1385B" w:rsidP="00E1385B">
            <w:pPr>
              <w:autoSpaceDE w:val="0"/>
              <w:autoSpaceDN w:val="0"/>
              <w:spacing w:after="0" w:line="240" w:lineRule="auto"/>
              <w:jc w:val="center"/>
              <w:rPr>
                <w:rFonts w:ascii="Times New Roman" w:eastAsia="Times New Roman" w:hAnsi="Times New Roman" w:cs="Times New Roman"/>
                <w:color w:val="000000" w:themeColor="text1"/>
                <w:sz w:val="20"/>
                <w:szCs w:val="20"/>
                <w:highlight w:val="green"/>
                <w:lang w:eastAsia="sk-SK"/>
              </w:rPr>
            </w:pPr>
            <w:r>
              <w:rPr>
                <w:rFonts w:ascii="Times New Roman" w:eastAsia="Times New Roman" w:hAnsi="Times New Roman" w:cs="Times New Roman"/>
                <w:color w:val="000000" w:themeColor="text1"/>
                <w:sz w:val="20"/>
                <w:szCs w:val="20"/>
                <w:lang w:eastAsia="sk-SK"/>
              </w:rPr>
              <w:t>O: 1, 2</w:t>
            </w:r>
          </w:p>
        </w:tc>
        <w:tc>
          <w:tcPr>
            <w:tcW w:w="4540" w:type="dxa"/>
            <w:tcBorders>
              <w:top w:val="single" w:sz="4" w:space="0" w:color="auto"/>
              <w:left w:val="single" w:sz="4" w:space="0" w:color="auto"/>
              <w:bottom w:val="single" w:sz="4" w:space="0" w:color="auto"/>
              <w:right w:val="single" w:sz="4" w:space="0" w:color="auto"/>
            </w:tcBorders>
          </w:tcPr>
          <w:p w14:paraId="69195960" w14:textId="77777777" w:rsidR="00850A3D" w:rsidRPr="00BA6478"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BA6478">
              <w:rPr>
                <w:rFonts w:ascii="Times New Roman" w:eastAsia="Times New Roman" w:hAnsi="Times New Roman" w:cs="Times New Roman"/>
                <w:color w:val="000000" w:themeColor="text1"/>
                <w:sz w:val="20"/>
                <w:szCs w:val="20"/>
                <w:lang w:eastAsia="sk-SK"/>
              </w:rPr>
              <w:t>§ 14j</w:t>
            </w:r>
          </w:p>
          <w:p w14:paraId="4FCC8F7E" w14:textId="5E060DF5" w:rsidR="00EB760D" w:rsidRPr="00EB760D" w:rsidRDefault="00EB760D" w:rsidP="00EB760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B760D">
              <w:rPr>
                <w:rFonts w:ascii="Times New Roman" w:eastAsia="Times New Roman" w:hAnsi="Times New Roman" w:cs="Times New Roman"/>
                <w:color w:val="000000" w:themeColor="text1"/>
                <w:sz w:val="20"/>
                <w:szCs w:val="20"/>
                <w:lang w:eastAsia="sk-SK"/>
              </w:rPr>
              <w:t xml:space="preserve">1) </w:t>
            </w:r>
            <w:r w:rsidR="00E1385B">
              <w:t xml:space="preserve"> </w:t>
            </w:r>
            <w:r w:rsidR="00E1385B" w:rsidRPr="00E1385B">
              <w:rPr>
                <w:rFonts w:ascii="Times New Roman" w:eastAsia="Times New Roman" w:hAnsi="Times New Roman" w:cs="Times New Roman"/>
                <w:color w:val="000000" w:themeColor="text1"/>
                <w:sz w:val="20"/>
                <w:szCs w:val="20"/>
                <w:lang w:eastAsia="sk-SK"/>
              </w:rPr>
              <w:t xml:space="preserve">Systémy podpory využívania </w:t>
            </w:r>
            <w:proofErr w:type="spellStart"/>
            <w:r w:rsidR="00E1385B" w:rsidRPr="00E1385B">
              <w:rPr>
                <w:rFonts w:ascii="Times New Roman" w:eastAsia="Times New Roman" w:hAnsi="Times New Roman" w:cs="Times New Roman"/>
                <w:color w:val="000000" w:themeColor="text1"/>
                <w:sz w:val="20"/>
                <w:szCs w:val="20"/>
                <w:lang w:eastAsia="sk-SK"/>
              </w:rPr>
              <w:t>biopalív</w:t>
            </w:r>
            <w:proofErr w:type="spellEnd"/>
            <w:r w:rsidR="00E1385B" w:rsidRPr="00E1385B">
              <w:rPr>
                <w:rFonts w:ascii="Times New Roman" w:eastAsia="Times New Roman" w:hAnsi="Times New Roman" w:cs="Times New Roman"/>
                <w:color w:val="000000" w:themeColor="text1"/>
                <w:sz w:val="20"/>
                <w:szCs w:val="20"/>
                <w:lang w:eastAsia="sk-SK"/>
              </w:rPr>
              <w:t xml:space="preserve">, </w:t>
            </w:r>
            <w:proofErr w:type="spellStart"/>
            <w:r w:rsidR="00E1385B" w:rsidRPr="00E1385B">
              <w:rPr>
                <w:rFonts w:ascii="Times New Roman" w:eastAsia="Times New Roman" w:hAnsi="Times New Roman" w:cs="Times New Roman"/>
                <w:color w:val="000000" w:themeColor="text1"/>
                <w:sz w:val="20"/>
                <w:szCs w:val="20"/>
                <w:lang w:eastAsia="sk-SK"/>
              </w:rPr>
              <w:t>biokvapalín</w:t>
            </w:r>
            <w:proofErr w:type="spellEnd"/>
            <w:r w:rsidR="00E1385B" w:rsidRPr="00E1385B">
              <w:rPr>
                <w:rFonts w:ascii="Times New Roman" w:eastAsia="Times New Roman" w:hAnsi="Times New Roman" w:cs="Times New Roman"/>
                <w:color w:val="000000" w:themeColor="text1"/>
                <w:sz w:val="20"/>
                <w:szCs w:val="20"/>
                <w:lang w:eastAsia="sk-SK"/>
              </w:rPr>
              <w:t xml:space="preserve"> a palív z biomasy sa navrhujú tak, aby sa zabezpečilo kaskádové využívanie biomasy.</w:t>
            </w:r>
          </w:p>
          <w:p w14:paraId="75A9A41F" w14:textId="77777777" w:rsidR="00EB760D" w:rsidRPr="00EB760D" w:rsidRDefault="00EB760D" w:rsidP="00EB760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80A20D1" w14:textId="57C85784" w:rsidR="00EB760D" w:rsidRPr="00EB760D" w:rsidRDefault="00EB760D" w:rsidP="00EB760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B760D">
              <w:rPr>
                <w:rFonts w:ascii="Times New Roman" w:eastAsia="Times New Roman" w:hAnsi="Times New Roman" w:cs="Times New Roman"/>
                <w:color w:val="000000" w:themeColor="text1"/>
                <w:sz w:val="20"/>
                <w:szCs w:val="20"/>
                <w:lang w:eastAsia="sk-SK"/>
              </w:rPr>
              <w:t xml:space="preserve">(2) </w:t>
            </w:r>
            <w:r w:rsidR="00E1385B">
              <w:t xml:space="preserve"> </w:t>
            </w:r>
            <w:r w:rsidR="00E1385B" w:rsidRPr="00E1385B">
              <w:rPr>
                <w:rFonts w:ascii="Times New Roman" w:eastAsia="Times New Roman" w:hAnsi="Times New Roman" w:cs="Times New Roman"/>
                <w:color w:val="000000" w:themeColor="text1"/>
                <w:sz w:val="20"/>
                <w:szCs w:val="20"/>
                <w:lang w:eastAsia="sk-SK"/>
              </w:rPr>
              <w:t>Kaskádové využívanie biomasy má zabrániť narušeniu hospodárskej súťaže energetického využitia biomasy s odvetviami materiálov, pričom je určené od najvyššej pridanej hodnoty:</w:t>
            </w:r>
          </w:p>
          <w:p w14:paraId="0799A69B" w14:textId="77777777" w:rsidR="00EB760D" w:rsidRPr="00EB760D" w:rsidRDefault="00EB760D" w:rsidP="00EB760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B760D">
              <w:rPr>
                <w:rFonts w:ascii="Times New Roman" w:eastAsia="Times New Roman" w:hAnsi="Times New Roman" w:cs="Times New Roman"/>
                <w:color w:val="000000" w:themeColor="text1"/>
                <w:sz w:val="20"/>
                <w:szCs w:val="20"/>
                <w:lang w:eastAsia="sk-SK"/>
              </w:rPr>
              <w:t>a) výrobky na báze dreva,</w:t>
            </w:r>
          </w:p>
          <w:p w14:paraId="2C993006" w14:textId="77777777" w:rsidR="00EB760D" w:rsidRPr="00EB760D" w:rsidRDefault="00EB760D" w:rsidP="00EB760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B760D">
              <w:rPr>
                <w:rFonts w:ascii="Times New Roman" w:eastAsia="Times New Roman" w:hAnsi="Times New Roman" w:cs="Times New Roman"/>
                <w:color w:val="000000" w:themeColor="text1"/>
                <w:sz w:val="20"/>
                <w:szCs w:val="20"/>
                <w:lang w:eastAsia="sk-SK"/>
              </w:rPr>
              <w:t>b) predĺženie životnosti výrobkov na báze dreva,</w:t>
            </w:r>
          </w:p>
          <w:p w14:paraId="0BD41400" w14:textId="77777777" w:rsidR="00EB760D" w:rsidRPr="00EB760D" w:rsidRDefault="00EB760D" w:rsidP="00EB760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B760D">
              <w:rPr>
                <w:rFonts w:ascii="Times New Roman" w:eastAsia="Times New Roman" w:hAnsi="Times New Roman" w:cs="Times New Roman"/>
                <w:color w:val="000000" w:themeColor="text1"/>
                <w:sz w:val="20"/>
                <w:szCs w:val="20"/>
                <w:lang w:eastAsia="sk-SK"/>
              </w:rPr>
              <w:t>c) opätovné použitie,</w:t>
            </w:r>
          </w:p>
          <w:p w14:paraId="620FF1DB" w14:textId="77777777" w:rsidR="00EB760D" w:rsidRPr="00EB760D" w:rsidRDefault="00EB760D" w:rsidP="00EB760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B760D">
              <w:rPr>
                <w:rFonts w:ascii="Times New Roman" w:eastAsia="Times New Roman" w:hAnsi="Times New Roman" w:cs="Times New Roman"/>
                <w:color w:val="000000" w:themeColor="text1"/>
                <w:sz w:val="20"/>
                <w:szCs w:val="20"/>
                <w:lang w:eastAsia="sk-SK"/>
              </w:rPr>
              <w:t>d) recyklácia,</w:t>
            </w:r>
          </w:p>
          <w:p w14:paraId="18BE3EB2" w14:textId="77777777" w:rsidR="00EB760D" w:rsidRPr="00EB760D" w:rsidRDefault="00EB760D" w:rsidP="00EB760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B760D">
              <w:rPr>
                <w:rFonts w:ascii="Times New Roman" w:eastAsia="Times New Roman" w:hAnsi="Times New Roman" w:cs="Times New Roman"/>
                <w:color w:val="000000" w:themeColor="text1"/>
                <w:sz w:val="20"/>
                <w:szCs w:val="20"/>
                <w:lang w:eastAsia="sk-SK"/>
              </w:rPr>
              <w:t>e) energetické využitie biomasy,</w:t>
            </w:r>
          </w:p>
          <w:p w14:paraId="01A28681" w14:textId="5577E7DD" w:rsidR="00850A3D" w:rsidRPr="00BA6478" w:rsidRDefault="00EB760D" w:rsidP="00EB760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B760D">
              <w:rPr>
                <w:rFonts w:ascii="Times New Roman" w:eastAsia="Times New Roman" w:hAnsi="Times New Roman" w:cs="Times New Roman"/>
                <w:color w:val="000000" w:themeColor="text1"/>
                <w:sz w:val="20"/>
                <w:szCs w:val="20"/>
                <w:lang w:eastAsia="sk-SK"/>
              </w:rPr>
              <w:t>f) likvidácia.</w:t>
            </w:r>
          </w:p>
        </w:tc>
        <w:tc>
          <w:tcPr>
            <w:tcW w:w="849" w:type="dxa"/>
            <w:tcBorders>
              <w:top w:val="single" w:sz="4" w:space="0" w:color="auto"/>
              <w:left w:val="single" w:sz="4" w:space="0" w:color="auto"/>
              <w:bottom w:val="single" w:sz="4" w:space="0" w:color="auto"/>
              <w:right w:val="single" w:sz="4" w:space="0" w:color="auto"/>
            </w:tcBorders>
          </w:tcPr>
          <w:p w14:paraId="774D069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44EAFD9C"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7EA16877"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4B94D5A5"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41D404A6" w14:textId="77777777" w:rsidTr="00402EF0">
        <w:tc>
          <w:tcPr>
            <w:tcW w:w="1005" w:type="dxa"/>
            <w:tcBorders>
              <w:top w:val="single" w:sz="4" w:space="0" w:color="auto"/>
              <w:left w:val="single" w:sz="12" w:space="0" w:color="auto"/>
              <w:bottom w:val="single" w:sz="4" w:space="0" w:color="auto"/>
              <w:right w:val="single" w:sz="4" w:space="0" w:color="auto"/>
            </w:tcBorders>
          </w:tcPr>
          <w:p w14:paraId="3703172F"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6F1B537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O:2</w:t>
            </w:r>
          </w:p>
          <w:p w14:paraId="527CB6A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P:b</w:t>
            </w:r>
          </w:p>
        </w:tc>
        <w:tc>
          <w:tcPr>
            <w:tcW w:w="3421" w:type="dxa"/>
            <w:tcBorders>
              <w:top w:val="single" w:sz="4" w:space="0" w:color="auto"/>
              <w:left w:val="single" w:sz="4" w:space="0" w:color="auto"/>
              <w:bottom w:val="single" w:sz="4" w:space="0" w:color="auto"/>
              <w:right w:val="single" w:sz="4" w:space="0" w:color="auto"/>
            </w:tcBorders>
          </w:tcPr>
          <w:p w14:paraId="1116D754" w14:textId="77777777" w:rsidR="0020537D" w:rsidRDefault="0020537D" w:rsidP="0020537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2. </w:t>
            </w:r>
            <w:r w:rsidRPr="0020537D">
              <w:rPr>
                <w:rFonts w:ascii="Times New Roman" w:eastAsia="Times New Roman" w:hAnsi="Times New Roman" w:cs="Times New Roman"/>
                <w:color w:val="000000" w:themeColor="text1"/>
                <w:sz w:val="20"/>
                <w:szCs w:val="20"/>
                <w:lang w:eastAsia="sk-SK"/>
              </w:rPr>
              <w:t>Článok 3 sa mení takto:</w:t>
            </w:r>
          </w:p>
          <w:p w14:paraId="05AFB064" w14:textId="78B35B32" w:rsidR="00757880" w:rsidRDefault="00757880"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57880">
              <w:rPr>
                <w:rFonts w:ascii="Times New Roman" w:eastAsia="Times New Roman" w:hAnsi="Times New Roman" w:cs="Times New Roman"/>
                <w:color w:val="000000" w:themeColor="text1"/>
                <w:sz w:val="20"/>
                <w:szCs w:val="20"/>
                <w:lang w:eastAsia="sk-SK"/>
              </w:rPr>
              <w:t>b) Odsek 3 sa nahrádza takto:</w:t>
            </w:r>
          </w:p>
          <w:p w14:paraId="185F9810" w14:textId="17752F99"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3c. Členské štáty neudeľujú žiadnu priamu finančnú podporu na:</w:t>
            </w:r>
          </w:p>
          <w:p w14:paraId="69A95223"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a) používanie piliarskych a </w:t>
            </w:r>
            <w:proofErr w:type="spellStart"/>
            <w:r w:rsidRPr="0029105C">
              <w:rPr>
                <w:rFonts w:ascii="Times New Roman" w:eastAsia="Times New Roman" w:hAnsi="Times New Roman" w:cs="Times New Roman"/>
                <w:color w:val="000000" w:themeColor="text1"/>
                <w:sz w:val="20"/>
                <w:szCs w:val="20"/>
                <w:lang w:eastAsia="sk-SK"/>
              </w:rPr>
              <w:t>dyhárenských</w:t>
            </w:r>
            <w:proofErr w:type="spellEnd"/>
            <w:r w:rsidRPr="0029105C">
              <w:rPr>
                <w:rFonts w:ascii="Times New Roman" w:eastAsia="Times New Roman" w:hAnsi="Times New Roman" w:cs="Times New Roman"/>
                <w:color w:val="000000" w:themeColor="text1"/>
                <w:sz w:val="20"/>
                <w:szCs w:val="20"/>
                <w:lang w:eastAsia="sk-SK"/>
              </w:rPr>
              <w:t xml:space="preserve"> výrezov, priemyselného surového dreva, pňov a koreňov na výrobu </w:t>
            </w:r>
          </w:p>
          <w:p w14:paraId="01763F50"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energie;</w:t>
            </w:r>
          </w:p>
          <w:p w14:paraId="66BD881A"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b) výrobu energie z obnoviteľných zdrojov spaľovaním odpadu, ak neboli dodržané povinnosti v oblasti </w:t>
            </w:r>
          </w:p>
          <w:p w14:paraId="4F8A4DDA"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triedeného zberu stanovené v smernici 2008/98/ES.</w:t>
            </w:r>
          </w:p>
        </w:tc>
        <w:tc>
          <w:tcPr>
            <w:tcW w:w="794" w:type="dxa"/>
            <w:tcBorders>
              <w:top w:val="single" w:sz="4" w:space="0" w:color="auto"/>
              <w:left w:val="single" w:sz="4" w:space="0" w:color="auto"/>
              <w:bottom w:val="single" w:sz="4" w:space="0" w:color="auto"/>
              <w:right w:val="single" w:sz="12" w:space="0" w:color="auto"/>
            </w:tcBorders>
          </w:tcPr>
          <w:p w14:paraId="3FA15983"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4EF66E43" w14:textId="3B8E8081" w:rsidR="00850A3D" w:rsidRPr="0029105C" w:rsidRDefault="00CD6B71" w:rsidP="0017306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17306B">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tc>
        <w:tc>
          <w:tcPr>
            <w:tcW w:w="900" w:type="dxa"/>
            <w:tcBorders>
              <w:top w:val="single" w:sz="4" w:space="0" w:color="auto"/>
              <w:left w:val="single" w:sz="4" w:space="0" w:color="auto"/>
              <w:bottom w:val="single" w:sz="4" w:space="0" w:color="auto"/>
              <w:right w:val="single" w:sz="4" w:space="0" w:color="auto"/>
            </w:tcBorders>
          </w:tcPr>
          <w:p w14:paraId="40F78E73" w14:textId="1E41D447" w:rsidR="00850A3D" w:rsidRPr="006C1A69"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6C1A69">
              <w:rPr>
                <w:rFonts w:ascii="Times New Roman" w:eastAsia="Times New Roman" w:hAnsi="Times New Roman" w:cs="Times New Roman"/>
                <w:color w:val="000000" w:themeColor="text1"/>
                <w:sz w:val="20"/>
                <w:szCs w:val="20"/>
                <w:lang w:eastAsia="sk-SK"/>
              </w:rPr>
              <w:t>§ 14j</w:t>
            </w:r>
          </w:p>
          <w:p w14:paraId="33868590"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6C1A69">
              <w:rPr>
                <w:rFonts w:ascii="Times New Roman" w:eastAsia="Times New Roman" w:hAnsi="Times New Roman" w:cs="Times New Roman"/>
                <w:color w:val="000000" w:themeColor="text1"/>
                <w:sz w:val="20"/>
                <w:szCs w:val="20"/>
                <w:lang w:eastAsia="sk-SK"/>
              </w:rPr>
              <w:t>O: 5</w:t>
            </w:r>
          </w:p>
          <w:p w14:paraId="406830F5" w14:textId="204A1855" w:rsidR="00965015" w:rsidRDefault="00965015"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8A6A23" w14:textId="77777777" w:rsidR="00965015" w:rsidRDefault="00965015"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CE9D4D" w14:textId="52313C47" w:rsidR="00965015" w:rsidRPr="00F46B5B" w:rsidRDefault="00965015" w:rsidP="00850A3D">
            <w:pPr>
              <w:autoSpaceDE w:val="0"/>
              <w:autoSpaceDN w:val="0"/>
              <w:spacing w:after="0" w:line="240" w:lineRule="auto"/>
              <w:jc w:val="center"/>
              <w:rPr>
                <w:rFonts w:ascii="Times New Roman" w:eastAsia="Times New Roman" w:hAnsi="Times New Roman" w:cs="Times New Roman"/>
                <w:color w:val="000000" w:themeColor="text1"/>
                <w:sz w:val="20"/>
                <w:szCs w:val="20"/>
                <w:highlight w:val="green"/>
                <w:lang w:eastAsia="sk-SK"/>
              </w:rPr>
            </w:pPr>
          </w:p>
        </w:tc>
        <w:tc>
          <w:tcPr>
            <w:tcW w:w="4540" w:type="dxa"/>
            <w:tcBorders>
              <w:top w:val="single" w:sz="4" w:space="0" w:color="auto"/>
              <w:left w:val="single" w:sz="4" w:space="0" w:color="auto"/>
              <w:bottom w:val="single" w:sz="4" w:space="0" w:color="auto"/>
              <w:right w:val="single" w:sz="4" w:space="0" w:color="auto"/>
            </w:tcBorders>
          </w:tcPr>
          <w:p w14:paraId="144A0E8A" w14:textId="0316BA78" w:rsidR="00E1385B" w:rsidRPr="00E1385B" w:rsidRDefault="00EB760D"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B760D">
              <w:rPr>
                <w:rFonts w:ascii="Times New Roman" w:eastAsia="Times New Roman" w:hAnsi="Times New Roman" w:cs="Times New Roman"/>
                <w:color w:val="000000" w:themeColor="text1"/>
                <w:sz w:val="20"/>
                <w:szCs w:val="20"/>
                <w:lang w:eastAsia="sk-SK"/>
              </w:rPr>
              <w:t xml:space="preserve">(5) </w:t>
            </w:r>
            <w:r w:rsidR="00E1385B" w:rsidRPr="00E1385B">
              <w:rPr>
                <w:rFonts w:ascii="Times New Roman" w:eastAsia="Times New Roman" w:hAnsi="Times New Roman" w:cs="Times New Roman"/>
                <w:color w:val="000000" w:themeColor="text1"/>
                <w:sz w:val="20"/>
                <w:szCs w:val="20"/>
                <w:lang w:eastAsia="sk-SK"/>
              </w:rPr>
              <w:t xml:space="preserve"> Podpora podľa tohto zákona alebo finančná podpora navrhnutá po 1. januári 2026 sa nevzťahuje na</w:t>
            </w:r>
          </w:p>
          <w:p w14:paraId="781C90EE" w14:textId="714DC24A"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a)</w:t>
            </w:r>
            <w:r>
              <w:rPr>
                <w:rFonts w:ascii="Times New Roman" w:eastAsia="Times New Roman" w:hAnsi="Times New Roman" w:cs="Times New Roman"/>
                <w:color w:val="000000" w:themeColor="text1"/>
                <w:sz w:val="20"/>
                <w:szCs w:val="20"/>
                <w:lang w:eastAsia="sk-SK"/>
              </w:rPr>
              <w:t xml:space="preserve"> </w:t>
            </w:r>
            <w:r w:rsidRPr="00E1385B">
              <w:rPr>
                <w:rFonts w:ascii="Times New Roman" w:eastAsia="Times New Roman" w:hAnsi="Times New Roman" w:cs="Times New Roman"/>
                <w:color w:val="000000" w:themeColor="text1"/>
                <w:sz w:val="20"/>
                <w:szCs w:val="20"/>
                <w:lang w:eastAsia="sk-SK"/>
              </w:rPr>
              <w:t>výrobu elektriny  z priemyselného surovinového dreva, pňov a koreňov,</w:t>
            </w:r>
          </w:p>
          <w:p w14:paraId="7FFDF156" w14:textId="20FADC54" w:rsidR="00850A3D" w:rsidRPr="00F46B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highlight w:val="green"/>
                <w:lang w:eastAsia="sk-SK"/>
              </w:rPr>
            </w:pPr>
            <w:r w:rsidRPr="00E1385B">
              <w:rPr>
                <w:rFonts w:ascii="Times New Roman" w:eastAsia="Times New Roman" w:hAnsi="Times New Roman" w:cs="Times New Roman"/>
                <w:color w:val="000000" w:themeColor="text1"/>
                <w:sz w:val="20"/>
                <w:szCs w:val="20"/>
                <w:lang w:eastAsia="sk-SK"/>
              </w:rPr>
              <w:t>b)</w:t>
            </w:r>
            <w:r>
              <w:rPr>
                <w:rFonts w:ascii="Times New Roman" w:eastAsia="Times New Roman" w:hAnsi="Times New Roman" w:cs="Times New Roman"/>
                <w:color w:val="000000" w:themeColor="text1"/>
                <w:sz w:val="20"/>
                <w:szCs w:val="20"/>
                <w:lang w:eastAsia="sk-SK"/>
              </w:rPr>
              <w:t xml:space="preserve"> </w:t>
            </w:r>
            <w:r w:rsidRPr="00E1385B">
              <w:rPr>
                <w:rFonts w:ascii="Times New Roman" w:eastAsia="Times New Roman" w:hAnsi="Times New Roman" w:cs="Times New Roman"/>
                <w:color w:val="000000" w:themeColor="text1"/>
                <w:sz w:val="20"/>
                <w:szCs w:val="20"/>
                <w:lang w:eastAsia="sk-SK"/>
              </w:rPr>
              <w:t>výrobu elektriny z obnoviteľných zdrojov spaľovaním odpadu, ak neboli dodržané povinnosti v oblasti triedeného zberu podľa zákona o odpadoch.</w:t>
            </w:r>
          </w:p>
        </w:tc>
        <w:tc>
          <w:tcPr>
            <w:tcW w:w="849" w:type="dxa"/>
            <w:tcBorders>
              <w:top w:val="single" w:sz="4" w:space="0" w:color="auto"/>
              <w:left w:val="single" w:sz="4" w:space="0" w:color="auto"/>
              <w:bottom w:val="single" w:sz="4" w:space="0" w:color="auto"/>
              <w:right w:val="single" w:sz="4" w:space="0" w:color="auto"/>
            </w:tcBorders>
          </w:tcPr>
          <w:p w14:paraId="691A724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3DEEC669"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7B66C09B"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3656B9AB"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10DD2750" w14:textId="77777777" w:rsidTr="0029105C">
        <w:tc>
          <w:tcPr>
            <w:tcW w:w="1005" w:type="dxa"/>
            <w:tcBorders>
              <w:top w:val="single" w:sz="4" w:space="0" w:color="auto"/>
              <w:left w:val="single" w:sz="12" w:space="0" w:color="auto"/>
              <w:bottom w:val="single" w:sz="4" w:space="0" w:color="auto"/>
              <w:right w:val="single" w:sz="4" w:space="0" w:color="auto"/>
            </w:tcBorders>
          </w:tcPr>
          <w:p w14:paraId="7307265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Č: 1</w:t>
            </w:r>
          </w:p>
          <w:p w14:paraId="7456051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O:11</w:t>
            </w:r>
          </w:p>
        </w:tc>
        <w:tc>
          <w:tcPr>
            <w:tcW w:w="3421" w:type="dxa"/>
            <w:tcBorders>
              <w:top w:val="single" w:sz="4" w:space="0" w:color="auto"/>
              <w:left w:val="single" w:sz="4" w:space="0" w:color="auto"/>
              <w:bottom w:val="single" w:sz="4" w:space="0" w:color="auto"/>
              <w:right w:val="single" w:sz="4" w:space="0" w:color="auto"/>
            </w:tcBorders>
          </w:tcPr>
          <w:p w14:paraId="13E85FCE" w14:textId="09C1248B" w:rsidR="00757880" w:rsidRDefault="00757880"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757880">
              <w:rPr>
                <w:rFonts w:ascii="Times New Roman" w:eastAsia="Times New Roman" w:hAnsi="Times New Roman" w:cs="Times New Roman"/>
                <w:sz w:val="20"/>
                <w:szCs w:val="20"/>
                <w:lang w:eastAsia="sk-SK"/>
              </w:rPr>
              <w:t>11. Vkladá sa tento článok:</w:t>
            </w:r>
          </w:p>
          <w:p w14:paraId="56E92C71" w14:textId="3749F578" w:rsidR="00757880" w:rsidRPr="00757880" w:rsidRDefault="00757880" w:rsidP="00757880">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757880">
              <w:rPr>
                <w:rFonts w:ascii="Times New Roman" w:eastAsia="Times New Roman" w:hAnsi="Times New Roman" w:cs="Times New Roman"/>
                <w:sz w:val="20"/>
                <w:szCs w:val="20"/>
                <w:lang w:eastAsia="sk-SK"/>
              </w:rPr>
              <w:t>Článok 20a</w:t>
            </w:r>
          </w:p>
          <w:p w14:paraId="51A38D83" w14:textId="4A5AE1F6" w:rsidR="00757880" w:rsidRDefault="00757880" w:rsidP="00757880">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757880">
              <w:rPr>
                <w:rFonts w:ascii="Times New Roman" w:eastAsia="Times New Roman" w:hAnsi="Times New Roman" w:cs="Times New Roman"/>
                <w:sz w:val="20"/>
                <w:szCs w:val="20"/>
                <w:lang w:eastAsia="sk-SK"/>
              </w:rPr>
              <w:t>Uľahčovanie integrácie elektriny z obnoviteľných zdrojov do systému</w:t>
            </w:r>
          </w:p>
          <w:p w14:paraId="230EDD9D" w14:textId="13FE0A93"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1. Členské štáty prevádzkovateľom prenosovej sústavy a v prípade, že majú údaje k dispozícii, prevádzkovateľom </w:t>
            </w:r>
          </w:p>
          <w:p w14:paraId="0C588CCE"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distribučnej sústavy na svojom území uložia povinnosť sprístupniť údaje o podiele elektriny z obnoviteľných zdrojov </w:t>
            </w:r>
          </w:p>
          <w:p w14:paraId="3C1E7A3A"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a obsahu emisií skleníkových plynov elektriny dodávanej v každej ponukovej oblasti, a to čo najpresnejšie </w:t>
            </w:r>
          </w:p>
          <w:p w14:paraId="7843D02B"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v intervaloch, ktoré sa rovnajú frekvencii zúčtovania trhu, ale najviac jednej hodiny a s dostupnými predpoveďami, ak </w:t>
            </w:r>
          </w:p>
          <w:p w14:paraId="5C95FE4D"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sú k dispozícii. Členské štáty zabezpečia, aby prevádzkovatelia distribučnej sústavy mali prístup k potrebným údajom. </w:t>
            </w:r>
          </w:p>
          <w:p w14:paraId="0149B368"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lastRenderedPageBreak/>
              <w:t xml:space="preserve">Ak prevádzkovatelia distribučnej sústavy podľa vnútroštátneho práva nemajú prístup ku všetkým potrebným údajom, </w:t>
            </w:r>
          </w:p>
          <w:p w14:paraId="037451AF"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uplatňujú existujúci systém oznamovania údajov v rámci Európskej siete prevádzkovateľov prenosových sústav pre elektrinu v súlade s ustanoveniami smernice (EÚ) 2019/944. Členské štáty poskytnú stimuly na modernizáciu </w:t>
            </w:r>
          </w:p>
          <w:p w14:paraId="206E6332"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inteligentných sietí s cieľom lepšie monitorovať rovnováhu siete a sprístupniť údaje v reálnom čase.</w:t>
            </w:r>
          </w:p>
          <w:p w14:paraId="45E0321D"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Ak je to technicky dostupné, prevádzkovatelia distribučnej sústavy sprístupnia aj anonymizované a súhrnné údaje </w:t>
            </w:r>
          </w:p>
          <w:p w14:paraId="44EF5EE2"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o potenciáli riadenia odberu a o elektrine z obnoviteľných zdrojov vyrobenej a dodanej do sústavy </w:t>
            </w:r>
            <w:proofErr w:type="spellStart"/>
            <w:r w:rsidRPr="0029105C">
              <w:rPr>
                <w:rFonts w:ascii="Times New Roman" w:eastAsia="Times New Roman" w:hAnsi="Times New Roman" w:cs="Times New Roman"/>
                <w:sz w:val="20"/>
                <w:szCs w:val="20"/>
                <w:lang w:eastAsia="sk-SK"/>
              </w:rPr>
              <w:t>samospotrebiteľmi</w:t>
            </w:r>
            <w:proofErr w:type="spellEnd"/>
            <w:r w:rsidRPr="0029105C">
              <w:rPr>
                <w:rFonts w:ascii="Times New Roman" w:eastAsia="Times New Roman" w:hAnsi="Times New Roman" w:cs="Times New Roman"/>
                <w:sz w:val="20"/>
                <w:szCs w:val="20"/>
                <w:lang w:eastAsia="sk-SK"/>
              </w:rPr>
              <w:t xml:space="preserve"> </w:t>
            </w:r>
          </w:p>
          <w:p w14:paraId="2E17EC41"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a komunitami vyrábajúcimi energiu z obnoviteľných zdrojov.</w:t>
            </w:r>
          </w:p>
          <w:p w14:paraId="66CF3F85"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2. Údaje uvedené v odseku 1 sa poskytujú digitálne a spôsobom, ktorý zaručuje </w:t>
            </w:r>
            <w:proofErr w:type="spellStart"/>
            <w:r w:rsidRPr="0029105C">
              <w:rPr>
                <w:rFonts w:ascii="Times New Roman" w:eastAsia="Times New Roman" w:hAnsi="Times New Roman" w:cs="Times New Roman"/>
                <w:sz w:val="20"/>
                <w:szCs w:val="20"/>
                <w:lang w:eastAsia="sk-SK"/>
              </w:rPr>
              <w:t>interoperabilitu</w:t>
            </w:r>
            <w:proofErr w:type="spellEnd"/>
            <w:r w:rsidRPr="0029105C">
              <w:rPr>
                <w:rFonts w:ascii="Times New Roman" w:eastAsia="Times New Roman" w:hAnsi="Times New Roman" w:cs="Times New Roman"/>
                <w:sz w:val="20"/>
                <w:szCs w:val="20"/>
                <w:lang w:eastAsia="sk-SK"/>
              </w:rPr>
              <w:t xml:space="preserve"> na základe </w:t>
            </w:r>
          </w:p>
          <w:p w14:paraId="37C4BD37"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harmonizovaných formátov údajov a štandardizovaných súborov údajov, ktoré môžu nediskriminačne využívať </w:t>
            </w:r>
          </w:p>
          <w:p w14:paraId="119BB00A"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účastníci trhu s elektrinou, </w:t>
            </w:r>
            <w:proofErr w:type="spellStart"/>
            <w:r w:rsidRPr="0029105C">
              <w:rPr>
                <w:rFonts w:ascii="Times New Roman" w:eastAsia="Times New Roman" w:hAnsi="Times New Roman" w:cs="Times New Roman"/>
                <w:sz w:val="20"/>
                <w:szCs w:val="20"/>
                <w:lang w:eastAsia="sk-SK"/>
              </w:rPr>
              <w:t>agregátori</w:t>
            </w:r>
            <w:proofErr w:type="spellEnd"/>
            <w:r w:rsidRPr="0029105C">
              <w:rPr>
                <w:rFonts w:ascii="Times New Roman" w:eastAsia="Times New Roman" w:hAnsi="Times New Roman" w:cs="Times New Roman"/>
                <w:sz w:val="20"/>
                <w:szCs w:val="20"/>
                <w:lang w:eastAsia="sk-SK"/>
              </w:rPr>
              <w:t xml:space="preserve">, spotrebitelia a koneční používatelia a že ich možno odčítať pomocou </w:t>
            </w:r>
          </w:p>
          <w:p w14:paraId="1CBD26EF"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elektronických komunikačných zariadení, akými sú inteligentné meracie systémy, nabíjacie body elektrických vozidiel, </w:t>
            </w:r>
          </w:p>
          <w:p w14:paraId="1F8B5440"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systémy vykurovania a chladenia a systémy energetického manažérstva budov</w:t>
            </w:r>
          </w:p>
        </w:tc>
        <w:tc>
          <w:tcPr>
            <w:tcW w:w="794" w:type="dxa"/>
            <w:tcBorders>
              <w:top w:val="single" w:sz="4" w:space="0" w:color="auto"/>
              <w:left w:val="single" w:sz="4" w:space="0" w:color="auto"/>
              <w:bottom w:val="single" w:sz="4" w:space="0" w:color="auto"/>
              <w:right w:val="single" w:sz="12" w:space="0" w:color="auto"/>
            </w:tcBorders>
          </w:tcPr>
          <w:p w14:paraId="3F2BE248" w14:textId="2B5AC2BA" w:rsidR="00850A3D" w:rsidRPr="0029105C" w:rsidRDefault="00757880" w:rsidP="00850A3D">
            <w:pPr>
              <w:autoSpaceDE w:val="0"/>
              <w:autoSpaceDN w:val="0"/>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N</w:t>
            </w:r>
          </w:p>
        </w:tc>
        <w:tc>
          <w:tcPr>
            <w:tcW w:w="1080" w:type="dxa"/>
            <w:tcBorders>
              <w:top w:val="single" w:sz="4" w:space="0" w:color="auto"/>
              <w:left w:val="nil"/>
              <w:bottom w:val="single" w:sz="4" w:space="0" w:color="auto"/>
              <w:right w:val="single" w:sz="4" w:space="0" w:color="auto"/>
            </w:tcBorders>
          </w:tcPr>
          <w:p w14:paraId="1194C57E" w14:textId="17923EE9" w:rsidR="00850A3D" w:rsidRPr="0029105C" w:rsidRDefault="00CC28BE" w:rsidP="00850A3D">
            <w:pPr>
              <w:autoSpaceDE w:val="0"/>
              <w:autoSpaceDN w:val="0"/>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p>
        </w:tc>
        <w:tc>
          <w:tcPr>
            <w:tcW w:w="900" w:type="dxa"/>
            <w:tcBorders>
              <w:top w:val="single" w:sz="4" w:space="0" w:color="auto"/>
              <w:left w:val="single" w:sz="4" w:space="0" w:color="auto"/>
              <w:bottom w:val="single" w:sz="4" w:space="0" w:color="auto"/>
              <w:right w:val="single" w:sz="4" w:space="0" w:color="auto"/>
            </w:tcBorders>
          </w:tcPr>
          <w:p w14:paraId="1369246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37</w:t>
            </w:r>
          </w:p>
          <w:p w14:paraId="43A55A2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O: 5</w:t>
            </w:r>
          </w:p>
          <w:p w14:paraId="39807DDC" w14:textId="409DFE61"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P: c</w:t>
            </w:r>
            <w:r>
              <w:rPr>
                <w:rFonts w:ascii="Times New Roman" w:eastAsia="Times New Roman" w:hAnsi="Times New Roman" w:cs="Times New Roman"/>
                <w:sz w:val="20"/>
                <w:szCs w:val="20"/>
                <w:lang w:eastAsia="sk-SK"/>
              </w:rPr>
              <w:t>)</w:t>
            </w:r>
          </w:p>
          <w:p w14:paraId="116925C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9DB40B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B4ED598" w14:textId="11635B85" w:rsidR="00850A3D"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A6500A2" w14:textId="5BBBBE23" w:rsidR="00850A3D"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C7A2B71" w14:textId="4A933B4E" w:rsidR="00965015" w:rsidRPr="0029105C"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FD62D93" w14:textId="3CAE7DB4" w:rsidR="00850A3D" w:rsidRDefault="005A5062" w:rsidP="00850A3D">
            <w:pPr>
              <w:autoSpaceDE w:val="0"/>
              <w:autoSpaceDN w:val="0"/>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37</w:t>
            </w:r>
          </w:p>
          <w:p w14:paraId="0D1935CA" w14:textId="1EB391AD" w:rsidR="005A5062" w:rsidRDefault="005A5062" w:rsidP="00850A3D">
            <w:pPr>
              <w:autoSpaceDE w:val="0"/>
              <w:autoSpaceDN w:val="0"/>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 6</w:t>
            </w:r>
          </w:p>
          <w:p w14:paraId="69E84CB9" w14:textId="0FD43BDD" w:rsidR="005A5062" w:rsidRDefault="005A5062"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EDA7CB3" w14:textId="06009ACF" w:rsidR="005A5062" w:rsidRDefault="005A5062" w:rsidP="00850A3D">
            <w:pPr>
              <w:autoSpaceDE w:val="0"/>
              <w:autoSpaceDN w:val="0"/>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 o</w:t>
            </w:r>
          </w:p>
          <w:p w14:paraId="3D07EB68" w14:textId="73DEBC69" w:rsidR="005A5062" w:rsidRDefault="005A5062"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2EEFADC" w14:textId="77777777" w:rsidR="005A5062" w:rsidRPr="0029105C" w:rsidRDefault="005A5062"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69F61B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68BF4A0" w14:textId="77777777" w:rsidR="005A5062" w:rsidRDefault="005A5062"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414C9AD" w14:textId="603FB191"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O:10</w:t>
            </w:r>
          </w:p>
        </w:tc>
        <w:tc>
          <w:tcPr>
            <w:tcW w:w="4540" w:type="dxa"/>
            <w:tcBorders>
              <w:top w:val="single" w:sz="4" w:space="0" w:color="auto"/>
              <w:left w:val="single" w:sz="4" w:space="0" w:color="auto"/>
              <w:bottom w:val="single" w:sz="4" w:space="0" w:color="auto"/>
              <w:right w:val="single" w:sz="4" w:space="0" w:color="auto"/>
            </w:tcBorders>
          </w:tcPr>
          <w:p w14:paraId="6C89BD73" w14:textId="09CAE286"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29105C">
              <w:rPr>
                <w:rFonts w:ascii="Times New Roman" w:eastAsia="Times New Roman" w:hAnsi="Times New Roman" w:cs="Times New Roman"/>
                <w:sz w:val="20"/>
                <w:szCs w:val="20"/>
                <w:lang w:eastAsia="sk-SK"/>
              </w:rPr>
              <w:t>Organizátor krátkodobého trhu s elektrinou má právo</w:t>
            </w:r>
          </w:p>
          <w:p w14:paraId="7B35C92E" w14:textId="09D4B7AE" w:rsidR="00850A3D"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c) na poskytovanie nameraných a vyhodnotených údajov od výrobcov elektriny z obnoviteľných zdrojov energie a výrobcov elektriny vysoko účinnou kombinovanou výrobou a poskytnutie údajov potrebných na plnenie svojich povinností v rozsahu a</w:t>
            </w:r>
            <w:r w:rsidR="00451090">
              <w:rPr>
                <w:rFonts w:ascii="Times New Roman" w:eastAsia="Times New Roman" w:hAnsi="Times New Roman" w:cs="Times New Roman"/>
                <w:sz w:val="20"/>
                <w:szCs w:val="20"/>
                <w:lang w:eastAsia="sk-SK"/>
              </w:rPr>
              <w:t> </w:t>
            </w:r>
            <w:r w:rsidRPr="0029105C">
              <w:rPr>
                <w:rFonts w:ascii="Times New Roman" w:eastAsia="Times New Roman" w:hAnsi="Times New Roman" w:cs="Times New Roman"/>
                <w:sz w:val="20"/>
                <w:szCs w:val="20"/>
                <w:lang w:eastAsia="sk-SK"/>
              </w:rPr>
              <w:t>kvalite</w:t>
            </w:r>
            <w:r w:rsidR="00451090">
              <w:rPr>
                <w:rFonts w:ascii="Times New Roman" w:eastAsia="Times New Roman" w:hAnsi="Times New Roman" w:cs="Times New Roman"/>
                <w:sz w:val="20"/>
                <w:szCs w:val="20"/>
                <w:lang w:eastAsia="sk-SK"/>
              </w:rPr>
              <w:t xml:space="preserve"> </w:t>
            </w:r>
            <w:r w:rsidRPr="0029105C">
              <w:rPr>
                <w:rFonts w:ascii="Times New Roman" w:eastAsia="Times New Roman" w:hAnsi="Times New Roman" w:cs="Times New Roman"/>
                <w:sz w:val="20"/>
                <w:szCs w:val="20"/>
                <w:lang w:eastAsia="sk-SK"/>
              </w:rPr>
              <w:t>podľa osobitného predpisu,</w:t>
            </w:r>
          </w:p>
          <w:p w14:paraId="40974BE1" w14:textId="0746BD06" w:rsidR="005A5062" w:rsidRDefault="005A5062"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3FCE5131" w14:textId="02F3D140" w:rsidR="005A5062" w:rsidRDefault="005A5062"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5A5062">
              <w:rPr>
                <w:rFonts w:ascii="Times New Roman" w:eastAsia="Times New Roman" w:hAnsi="Times New Roman" w:cs="Times New Roman"/>
                <w:sz w:val="20"/>
                <w:szCs w:val="20"/>
                <w:lang w:eastAsia="sk-SK"/>
              </w:rPr>
              <w:t>(6) Organizátor krátkodobého trhu s elektrinou je povinný</w:t>
            </w:r>
          </w:p>
          <w:p w14:paraId="5EAF2538" w14:textId="44AD3E80" w:rsidR="005A5062" w:rsidRPr="0029105C" w:rsidRDefault="005A5062"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5A5062">
              <w:rPr>
                <w:rFonts w:ascii="Times New Roman" w:eastAsia="Times New Roman" w:hAnsi="Times New Roman" w:cs="Times New Roman"/>
                <w:sz w:val="20"/>
                <w:szCs w:val="20"/>
                <w:lang w:eastAsia="sk-SK"/>
              </w:rPr>
              <w:t>o) zostavovať energetický mix dodávky elektriny za predchádzajúci kalendárny rok a zverejňovať ho na svojom webovom sídle každoročne do 31. mája,</w:t>
            </w:r>
          </w:p>
          <w:p w14:paraId="5973D2D6"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4B6C2F96"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106A7126"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Organizátor krátkodobého trhu s elektrinou prevádzkuje elektronický systém, ktorý účastníkom trhu s elektrinou umožňuje výkon ich práv a povinností podľa tohto zákona alebo osobitného predpisu</w:t>
            </w:r>
            <w:r w:rsidRPr="005A5062">
              <w:rPr>
                <w:rFonts w:ascii="Times New Roman" w:eastAsia="Times New Roman" w:hAnsi="Times New Roman" w:cs="Times New Roman"/>
                <w:sz w:val="20"/>
                <w:szCs w:val="20"/>
                <w:vertAlign w:val="superscript"/>
                <w:lang w:eastAsia="sk-SK"/>
              </w:rPr>
              <w:t>32a</w:t>
            </w:r>
            <w:r w:rsidRPr="0029105C">
              <w:rPr>
                <w:rFonts w:ascii="Times New Roman" w:eastAsia="Times New Roman" w:hAnsi="Times New Roman" w:cs="Times New Roman"/>
                <w:sz w:val="20"/>
                <w:szCs w:val="20"/>
                <w:lang w:eastAsia="sk-SK"/>
              </w:rPr>
              <w:t xml:space="preserve">) voči inému účastníkovi trhu s elektrinou alebo orgánom štátnej správy v energetike v elektronickej podobe, komunikovať v elektronickej podobe, poskytovať </w:t>
            </w:r>
            <w:r w:rsidRPr="0029105C">
              <w:rPr>
                <w:rFonts w:ascii="Times New Roman" w:eastAsia="Times New Roman" w:hAnsi="Times New Roman" w:cs="Times New Roman"/>
                <w:sz w:val="20"/>
                <w:szCs w:val="20"/>
                <w:lang w:eastAsia="sk-SK"/>
              </w:rPr>
              <w:lastRenderedPageBreak/>
              <w:t>elektronické dokumenty a robiť právne úkony v elektronickej podobe.</w:t>
            </w:r>
          </w:p>
        </w:tc>
        <w:tc>
          <w:tcPr>
            <w:tcW w:w="849" w:type="dxa"/>
            <w:tcBorders>
              <w:top w:val="single" w:sz="4" w:space="0" w:color="auto"/>
              <w:left w:val="single" w:sz="4" w:space="0" w:color="auto"/>
              <w:bottom w:val="single" w:sz="4" w:space="0" w:color="auto"/>
              <w:right w:val="single" w:sz="4" w:space="0" w:color="auto"/>
            </w:tcBorders>
          </w:tcPr>
          <w:p w14:paraId="5E83889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771C9F49" w14:textId="77777777" w:rsidR="00850A3D" w:rsidRPr="0029105C" w:rsidRDefault="00850A3D" w:rsidP="00850A3D">
            <w:pPr>
              <w:autoSpaceDE w:val="0"/>
              <w:autoSpaceDN w:val="0"/>
              <w:spacing w:after="0" w:line="240" w:lineRule="auto"/>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V systéme energetického dátového centra, ktorý prevádzkuje organizátor krátkodobého trhu s elektrinou sa uverejňujú údaje o výrobe elektriny vrátane dát o výrobe z obnoviteľných zdrojov elektriny. Do tohto systému má prístup každý subjekt, ktorý je v Smernici uvedený.</w:t>
            </w:r>
          </w:p>
        </w:tc>
        <w:tc>
          <w:tcPr>
            <w:tcW w:w="1360" w:type="dxa"/>
            <w:tcBorders>
              <w:top w:val="single" w:sz="4" w:space="0" w:color="auto"/>
              <w:left w:val="single" w:sz="4" w:space="0" w:color="auto"/>
              <w:bottom w:val="single" w:sz="4" w:space="0" w:color="auto"/>
              <w:right w:val="single" w:sz="4" w:space="0" w:color="auto"/>
            </w:tcBorders>
          </w:tcPr>
          <w:p w14:paraId="2017B2D3"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48341381"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sz w:val="20"/>
                <w:szCs w:val="20"/>
                <w:lang w:eastAsia="sk-SK"/>
              </w:rPr>
            </w:pPr>
          </w:p>
        </w:tc>
      </w:tr>
      <w:tr w:rsidR="00850A3D" w:rsidRPr="0029105C" w14:paraId="4375A4B7" w14:textId="77777777" w:rsidTr="0029105C">
        <w:tc>
          <w:tcPr>
            <w:tcW w:w="1005" w:type="dxa"/>
            <w:tcBorders>
              <w:top w:val="single" w:sz="4" w:space="0" w:color="auto"/>
              <w:left w:val="single" w:sz="12" w:space="0" w:color="auto"/>
              <w:bottom w:val="single" w:sz="4" w:space="0" w:color="auto"/>
              <w:right w:val="single" w:sz="4" w:space="0" w:color="auto"/>
            </w:tcBorders>
          </w:tcPr>
          <w:p w14:paraId="08C9CCF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Č: 1</w:t>
            </w:r>
          </w:p>
          <w:p w14:paraId="40C8284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O: 11</w:t>
            </w:r>
          </w:p>
        </w:tc>
        <w:tc>
          <w:tcPr>
            <w:tcW w:w="3421" w:type="dxa"/>
            <w:tcBorders>
              <w:top w:val="single" w:sz="4" w:space="0" w:color="auto"/>
              <w:left w:val="single" w:sz="4" w:space="0" w:color="auto"/>
              <w:bottom w:val="single" w:sz="4" w:space="0" w:color="auto"/>
              <w:right w:val="single" w:sz="4" w:space="0" w:color="auto"/>
            </w:tcBorders>
          </w:tcPr>
          <w:p w14:paraId="59BEB0EB"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5. Členské štáty dodatočne k požiadavkám uvedeným v nariadení </w:t>
            </w:r>
            <w:r w:rsidRPr="0029105C">
              <w:rPr>
                <w:rFonts w:ascii="Times New Roman" w:eastAsia="Times New Roman" w:hAnsi="Times New Roman" w:cs="Times New Roman"/>
                <w:sz w:val="20"/>
                <w:szCs w:val="20"/>
                <w:lang w:eastAsia="sk-SK"/>
              </w:rPr>
              <w:lastRenderedPageBreak/>
              <w:t xml:space="preserve">(EÚ) 2019/943 a smernici (EÚ) 2019/944 </w:t>
            </w:r>
          </w:p>
          <w:p w14:paraId="039601E3"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zabezpečia, aby vnútroštátny regulačný rámec umožňoval malým alebo mobilným systémom, ako sú batérie do </w:t>
            </w:r>
          </w:p>
          <w:p w14:paraId="2CD32520"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domácností a elektrické vozidlá a iné malé decentralizované zdroje energie, zúčastňovať sa na trhoch s elektrinou </w:t>
            </w:r>
          </w:p>
          <w:p w14:paraId="3B44174A"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vrátane riadenia preťaženia a poskytovania služieb flexibility a vyrovnávacích služieb, a to aj prostredníctvom </w:t>
            </w:r>
          </w:p>
          <w:p w14:paraId="3E3E437B"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proofErr w:type="spellStart"/>
            <w:r w:rsidRPr="0029105C">
              <w:rPr>
                <w:rFonts w:ascii="Times New Roman" w:eastAsia="Times New Roman" w:hAnsi="Times New Roman" w:cs="Times New Roman"/>
                <w:sz w:val="20"/>
                <w:szCs w:val="20"/>
                <w:lang w:eastAsia="sk-SK"/>
              </w:rPr>
              <w:t>agregácie</w:t>
            </w:r>
            <w:proofErr w:type="spellEnd"/>
            <w:r w:rsidRPr="0029105C">
              <w:rPr>
                <w:rFonts w:ascii="Times New Roman" w:eastAsia="Times New Roman" w:hAnsi="Times New Roman" w:cs="Times New Roman"/>
                <w:sz w:val="20"/>
                <w:szCs w:val="20"/>
                <w:lang w:eastAsia="sk-SK"/>
              </w:rPr>
              <w:t xml:space="preserve">. Na uvedený účel členské štáty v úzkej spolupráci so všetkými účastníkmi trhu a regulačnými orgánmi </w:t>
            </w:r>
          </w:p>
          <w:p w14:paraId="75AF981A"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stanovia technické požiadavky týkajúce sa účasti na trhoch s elektrinou na základe technických charakteristík týchto </w:t>
            </w:r>
          </w:p>
          <w:p w14:paraId="6C6B1627"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systémov.</w:t>
            </w:r>
          </w:p>
          <w:p w14:paraId="633DC7FB"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Členské štáty zabezpečia rovnaké podmienky a nediskriminačnú účasť na trhoch s elektrinou pre malé </w:t>
            </w:r>
          </w:p>
          <w:p w14:paraId="542DE517"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decentralizované energetické aktíva alebo mobilné systémy.</w:t>
            </w:r>
          </w:p>
        </w:tc>
        <w:tc>
          <w:tcPr>
            <w:tcW w:w="794" w:type="dxa"/>
            <w:tcBorders>
              <w:top w:val="single" w:sz="4" w:space="0" w:color="auto"/>
              <w:left w:val="single" w:sz="4" w:space="0" w:color="auto"/>
              <w:bottom w:val="single" w:sz="4" w:space="0" w:color="auto"/>
              <w:right w:val="single" w:sz="12" w:space="0" w:color="auto"/>
            </w:tcBorders>
          </w:tcPr>
          <w:p w14:paraId="7FBA7553" w14:textId="53ED3402" w:rsidR="00850A3D" w:rsidRPr="0029105C" w:rsidRDefault="00757880" w:rsidP="00850A3D">
            <w:pPr>
              <w:autoSpaceDE w:val="0"/>
              <w:autoSpaceDN w:val="0"/>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N</w:t>
            </w:r>
          </w:p>
        </w:tc>
        <w:tc>
          <w:tcPr>
            <w:tcW w:w="1080" w:type="dxa"/>
            <w:tcBorders>
              <w:top w:val="single" w:sz="4" w:space="0" w:color="auto"/>
              <w:left w:val="nil"/>
              <w:bottom w:val="single" w:sz="4" w:space="0" w:color="auto"/>
              <w:right w:val="single" w:sz="4" w:space="0" w:color="auto"/>
            </w:tcBorders>
          </w:tcPr>
          <w:p w14:paraId="3EC802C5" w14:textId="77777777" w:rsidR="00850A3D" w:rsidRDefault="00CC28BE" w:rsidP="00850A3D">
            <w:pPr>
              <w:autoSpaceDE w:val="0"/>
              <w:autoSpaceDN w:val="0"/>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p>
          <w:p w14:paraId="38632254"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F914398"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02FA563"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DB2CD68"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F4AD47D"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46A618D"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9667038"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D118AA0"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14888E3"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F0D64F9"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223B5E8"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2289DAF"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6853953"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69C144A"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5D64561"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9CA47EF"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208268D"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C110EF6"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10AF04A"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158D7E3"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AF160A7"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01A28D6"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CC1E257"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6198ECA"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DC3D4E6"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1B43D0C"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B26B4B1"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30F51FE"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341C121"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83CFFBE"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A55EE12"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0D09CE0"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B4E7932"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A81D2EB"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4CC6F7F"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2D18171"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4AAEAA3"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0A41DE9"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0C6D4DC"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481F00D"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F4CB4F2"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2508A1F"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264E228"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8662900"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FA09147"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786A927"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37E257C"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7197DDE"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7BAF974"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D1DB4BA"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C65C1DD"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B54977F"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77961E0"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35775DC"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1E9CB26"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AFA5DED"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38149BC"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67BDAF8"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714CDF4"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1656172"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622513C"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555778C" w14:textId="77777777" w:rsidR="00D71204"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F33E66B" w14:textId="1750633A" w:rsidR="00D71204" w:rsidRPr="0029105C" w:rsidRDefault="00D71204" w:rsidP="00850A3D">
            <w:pPr>
              <w:autoSpaceDE w:val="0"/>
              <w:autoSpaceDN w:val="0"/>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p>
        </w:tc>
        <w:tc>
          <w:tcPr>
            <w:tcW w:w="900" w:type="dxa"/>
            <w:tcBorders>
              <w:top w:val="single" w:sz="4" w:space="0" w:color="auto"/>
              <w:left w:val="single" w:sz="4" w:space="0" w:color="auto"/>
              <w:bottom w:val="single" w:sz="4" w:space="0" w:color="auto"/>
              <w:right w:val="single" w:sz="4" w:space="0" w:color="auto"/>
            </w:tcBorders>
          </w:tcPr>
          <w:p w14:paraId="19687E2E" w14:textId="7853D53F" w:rsidR="00487F9F" w:rsidRPr="0029105C" w:rsidRDefault="00850A3D" w:rsidP="00487F9F">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lastRenderedPageBreak/>
              <w:t>§ 2</w:t>
            </w:r>
          </w:p>
          <w:p w14:paraId="348CB828" w14:textId="4760EE72"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P:b</w:t>
            </w:r>
            <w:r>
              <w:rPr>
                <w:rFonts w:ascii="Times New Roman" w:eastAsia="Times New Roman" w:hAnsi="Times New Roman" w:cs="Times New Roman"/>
                <w:sz w:val="20"/>
                <w:szCs w:val="20"/>
                <w:lang w:eastAsia="sk-SK"/>
              </w:rPr>
              <w:t>)</w:t>
            </w:r>
          </w:p>
          <w:p w14:paraId="1581B6A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C49735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8D9E94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AD7367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D52304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511F52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CF75E5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8EC1DA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5398F6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C3ECA5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FE6463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020DD0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7CC846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C01217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26E94B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74C4EA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572478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C2E6D8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C2D382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DCEFA2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860159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929371F"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D345E0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D07199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46E804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E3C721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FF0F88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A7C152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5449AD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3F5E96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C06E09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EE2DD1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048AC3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F02E94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DBC574F"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D6E379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858213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7FEB74F"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1CB2F5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AE4B83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37BB6A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C1ADFA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E02484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89ACFF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627FA5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6BC82E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8F6857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46B5D9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5F1E2D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B971C8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F2F490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41087E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93A68F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0DA4AA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16E26C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9D393A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4D3B62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8FF92CB" w14:textId="45DBB2C0" w:rsidR="00850A3D"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86559E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FAF380F"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00667C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 19 </w:t>
            </w:r>
          </w:p>
          <w:p w14:paraId="50C7E5F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O: 2</w:t>
            </w:r>
          </w:p>
          <w:p w14:paraId="1FCE99D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3F1784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669E3DEF" w14:textId="77777777" w:rsidR="00850A3D" w:rsidRDefault="00850A3D"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F0BDEC6"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C9DCCBF"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5067B2B"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BE3ACA9"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6540705"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FFF1B08"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7EF67F0"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078EB262"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AC10E99"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AFBD5B1"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773F57E3"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F7C1AE4"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2084037"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569A5B30"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460E3432"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3FF4C512"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2548AE00" w14:textId="77777777" w:rsidR="00965015" w:rsidRDefault="00965015" w:rsidP="00850A3D">
            <w:pPr>
              <w:autoSpaceDE w:val="0"/>
              <w:autoSpaceDN w:val="0"/>
              <w:spacing w:after="0" w:line="240" w:lineRule="auto"/>
              <w:jc w:val="center"/>
              <w:rPr>
                <w:rFonts w:ascii="Times New Roman" w:eastAsia="Times New Roman" w:hAnsi="Times New Roman" w:cs="Times New Roman"/>
                <w:sz w:val="20"/>
                <w:szCs w:val="20"/>
                <w:lang w:eastAsia="sk-SK"/>
              </w:rPr>
            </w:pPr>
          </w:p>
          <w:p w14:paraId="10FC733C" w14:textId="77777777" w:rsidR="00965015" w:rsidRPr="00965015" w:rsidRDefault="00965015" w:rsidP="00965015">
            <w:pPr>
              <w:autoSpaceDE w:val="0"/>
              <w:autoSpaceDN w:val="0"/>
              <w:spacing w:after="0" w:line="240" w:lineRule="auto"/>
              <w:jc w:val="center"/>
              <w:rPr>
                <w:rFonts w:ascii="Times New Roman" w:eastAsia="Times New Roman" w:hAnsi="Times New Roman" w:cs="Times New Roman"/>
                <w:sz w:val="20"/>
                <w:szCs w:val="20"/>
                <w:lang w:eastAsia="sk-SK"/>
              </w:rPr>
            </w:pPr>
            <w:r w:rsidRPr="00965015">
              <w:rPr>
                <w:rFonts w:ascii="Times New Roman" w:eastAsia="Times New Roman" w:hAnsi="Times New Roman" w:cs="Times New Roman"/>
                <w:sz w:val="20"/>
                <w:szCs w:val="20"/>
                <w:lang w:eastAsia="sk-SK"/>
              </w:rPr>
              <w:t>§ 28</w:t>
            </w:r>
          </w:p>
          <w:p w14:paraId="3FDD8203" w14:textId="77777777" w:rsidR="00965015" w:rsidRPr="00965015" w:rsidRDefault="00965015" w:rsidP="00965015">
            <w:pPr>
              <w:autoSpaceDE w:val="0"/>
              <w:autoSpaceDN w:val="0"/>
              <w:spacing w:after="0" w:line="240" w:lineRule="auto"/>
              <w:jc w:val="center"/>
              <w:rPr>
                <w:rFonts w:ascii="Times New Roman" w:eastAsia="Times New Roman" w:hAnsi="Times New Roman" w:cs="Times New Roman"/>
                <w:sz w:val="20"/>
                <w:szCs w:val="20"/>
                <w:lang w:eastAsia="sk-SK"/>
              </w:rPr>
            </w:pPr>
            <w:r w:rsidRPr="00965015">
              <w:rPr>
                <w:rFonts w:ascii="Times New Roman" w:eastAsia="Times New Roman" w:hAnsi="Times New Roman" w:cs="Times New Roman"/>
                <w:sz w:val="20"/>
                <w:szCs w:val="20"/>
                <w:lang w:eastAsia="sk-SK"/>
              </w:rPr>
              <w:t>O: 2</w:t>
            </w:r>
          </w:p>
          <w:p w14:paraId="2FD1964A" w14:textId="77777777" w:rsidR="00965015" w:rsidRPr="00965015" w:rsidRDefault="00965015" w:rsidP="00965015">
            <w:pPr>
              <w:autoSpaceDE w:val="0"/>
              <w:autoSpaceDN w:val="0"/>
              <w:spacing w:after="0" w:line="240" w:lineRule="auto"/>
              <w:jc w:val="center"/>
              <w:rPr>
                <w:rFonts w:ascii="Times New Roman" w:eastAsia="Times New Roman" w:hAnsi="Times New Roman" w:cs="Times New Roman"/>
                <w:sz w:val="20"/>
                <w:szCs w:val="20"/>
                <w:lang w:eastAsia="sk-SK"/>
              </w:rPr>
            </w:pPr>
            <w:r w:rsidRPr="00965015">
              <w:rPr>
                <w:rFonts w:ascii="Times New Roman" w:eastAsia="Times New Roman" w:hAnsi="Times New Roman" w:cs="Times New Roman"/>
                <w:sz w:val="20"/>
                <w:szCs w:val="20"/>
                <w:lang w:eastAsia="sk-SK"/>
              </w:rPr>
              <w:t>P: i</w:t>
            </w:r>
          </w:p>
          <w:p w14:paraId="167F6FA0" w14:textId="77777777" w:rsidR="00965015" w:rsidRPr="00965015" w:rsidRDefault="00965015" w:rsidP="00965015">
            <w:pPr>
              <w:autoSpaceDE w:val="0"/>
              <w:autoSpaceDN w:val="0"/>
              <w:spacing w:after="0" w:line="240" w:lineRule="auto"/>
              <w:jc w:val="center"/>
              <w:rPr>
                <w:rFonts w:ascii="Times New Roman" w:eastAsia="Times New Roman" w:hAnsi="Times New Roman" w:cs="Times New Roman"/>
                <w:sz w:val="20"/>
                <w:szCs w:val="20"/>
                <w:lang w:eastAsia="sk-SK"/>
              </w:rPr>
            </w:pPr>
          </w:p>
          <w:p w14:paraId="31E9FF54" w14:textId="77777777" w:rsidR="00965015" w:rsidRPr="00965015" w:rsidRDefault="00965015" w:rsidP="00965015">
            <w:pPr>
              <w:autoSpaceDE w:val="0"/>
              <w:autoSpaceDN w:val="0"/>
              <w:spacing w:after="0" w:line="240" w:lineRule="auto"/>
              <w:jc w:val="center"/>
              <w:rPr>
                <w:rFonts w:ascii="Times New Roman" w:eastAsia="Times New Roman" w:hAnsi="Times New Roman" w:cs="Times New Roman"/>
                <w:sz w:val="20"/>
                <w:szCs w:val="20"/>
                <w:lang w:eastAsia="sk-SK"/>
              </w:rPr>
            </w:pPr>
          </w:p>
          <w:p w14:paraId="78F507D0" w14:textId="77777777" w:rsidR="00965015" w:rsidRPr="00965015" w:rsidRDefault="00965015" w:rsidP="00965015">
            <w:pPr>
              <w:autoSpaceDE w:val="0"/>
              <w:autoSpaceDN w:val="0"/>
              <w:spacing w:after="0" w:line="240" w:lineRule="auto"/>
              <w:jc w:val="center"/>
              <w:rPr>
                <w:rFonts w:ascii="Times New Roman" w:eastAsia="Times New Roman" w:hAnsi="Times New Roman" w:cs="Times New Roman"/>
                <w:sz w:val="20"/>
                <w:szCs w:val="20"/>
                <w:lang w:eastAsia="sk-SK"/>
              </w:rPr>
            </w:pPr>
          </w:p>
          <w:p w14:paraId="6B39AFA5" w14:textId="77777777" w:rsidR="00965015" w:rsidRPr="00965015" w:rsidRDefault="00965015" w:rsidP="00965015">
            <w:pPr>
              <w:autoSpaceDE w:val="0"/>
              <w:autoSpaceDN w:val="0"/>
              <w:spacing w:after="0" w:line="240" w:lineRule="auto"/>
              <w:jc w:val="center"/>
              <w:rPr>
                <w:rFonts w:ascii="Times New Roman" w:eastAsia="Times New Roman" w:hAnsi="Times New Roman" w:cs="Times New Roman"/>
                <w:sz w:val="20"/>
                <w:szCs w:val="20"/>
                <w:lang w:eastAsia="sk-SK"/>
              </w:rPr>
            </w:pPr>
          </w:p>
          <w:p w14:paraId="1F143B2A" w14:textId="77777777" w:rsidR="00965015" w:rsidRPr="00965015" w:rsidRDefault="00965015" w:rsidP="00965015">
            <w:pPr>
              <w:autoSpaceDE w:val="0"/>
              <w:autoSpaceDN w:val="0"/>
              <w:spacing w:after="0" w:line="240" w:lineRule="auto"/>
              <w:jc w:val="center"/>
              <w:rPr>
                <w:rFonts w:ascii="Times New Roman" w:eastAsia="Times New Roman" w:hAnsi="Times New Roman" w:cs="Times New Roman"/>
                <w:sz w:val="20"/>
                <w:szCs w:val="20"/>
                <w:lang w:eastAsia="sk-SK"/>
              </w:rPr>
            </w:pPr>
          </w:p>
          <w:p w14:paraId="662E7539" w14:textId="77777777" w:rsidR="00965015" w:rsidRPr="00965015" w:rsidRDefault="00965015" w:rsidP="00965015">
            <w:pPr>
              <w:autoSpaceDE w:val="0"/>
              <w:autoSpaceDN w:val="0"/>
              <w:spacing w:after="0" w:line="240" w:lineRule="auto"/>
              <w:jc w:val="center"/>
              <w:rPr>
                <w:rFonts w:ascii="Times New Roman" w:eastAsia="Times New Roman" w:hAnsi="Times New Roman" w:cs="Times New Roman"/>
                <w:sz w:val="20"/>
                <w:szCs w:val="20"/>
                <w:lang w:eastAsia="sk-SK"/>
              </w:rPr>
            </w:pPr>
          </w:p>
          <w:p w14:paraId="7611DE8C" w14:textId="77777777" w:rsidR="00965015" w:rsidRPr="00965015" w:rsidRDefault="00965015" w:rsidP="00965015">
            <w:pPr>
              <w:autoSpaceDE w:val="0"/>
              <w:autoSpaceDN w:val="0"/>
              <w:spacing w:after="0" w:line="240" w:lineRule="auto"/>
              <w:jc w:val="center"/>
              <w:rPr>
                <w:rFonts w:ascii="Times New Roman" w:eastAsia="Times New Roman" w:hAnsi="Times New Roman" w:cs="Times New Roman"/>
                <w:sz w:val="20"/>
                <w:szCs w:val="20"/>
                <w:lang w:eastAsia="sk-SK"/>
              </w:rPr>
            </w:pPr>
            <w:r w:rsidRPr="00965015">
              <w:rPr>
                <w:rFonts w:ascii="Times New Roman" w:eastAsia="Times New Roman" w:hAnsi="Times New Roman" w:cs="Times New Roman"/>
                <w:sz w:val="20"/>
                <w:szCs w:val="20"/>
                <w:lang w:eastAsia="sk-SK"/>
              </w:rPr>
              <w:t>§ 35</w:t>
            </w:r>
          </w:p>
          <w:p w14:paraId="2693948D" w14:textId="30158A39" w:rsidR="00965015" w:rsidRDefault="00965015" w:rsidP="00965015">
            <w:pPr>
              <w:autoSpaceDE w:val="0"/>
              <w:autoSpaceDN w:val="0"/>
              <w:spacing w:after="0" w:line="240" w:lineRule="auto"/>
              <w:jc w:val="center"/>
              <w:rPr>
                <w:rFonts w:ascii="Times New Roman" w:eastAsia="Times New Roman" w:hAnsi="Times New Roman" w:cs="Times New Roman"/>
                <w:sz w:val="20"/>
                <w:szCs w:val="20"/>
                <w:lang w:eastAsia="sk-SK"/>
              </w:rPr>
            </w:pPr>
            <w:r w:rsidRPr="00965015">
              <w:rPr>
                <w:rFonts w:ascii="Times New Roman" w:eastAsia="Times New Roman" w:hAnsi="Times New Roman" w:cs="Times New Roman"/>
                <w:sz w:val="20"/>
                <w:szCs w:val="20"/>
                <w:lang w:eastAsia="sk-SK"/>
              </w:rPr>
              <w:t>O: 4</w:t>
            </w:r>
          </w:p>
          <w:p w14:paraId="45646D12" w14:textId="38B92681" w:rsidR="00965015" w:rsidRDefault="00965015" w:rsidP="00965015">
            <w:pPr>
              <w:autoSpaceDE w:val="0"/>
              <w:autoSpaceDN w:val="0"/>
              <w:spacing w:after="0" w:line="240" w:lineRule="auto"/>
              <w:jc w:val="center"/>
              <w:rPr>
                <w:rFonts w:ascii="Times New Roman" w:eastAsia="Times New Roman" w:hAnsi="Times New Roman" w:cs="Times New Roman"/>
                <w:sz w:val="20"/>
                <w:szCs w:val="20"/>
                <w:lang w:eastAsia="sk-SK"/>
              </w:rPr>
            </w:pPr>
          </w:p>
          <w:p w14:paraId="3206E9F9" w14:textId="77777777" w:rsidR="00965015" w:rsidRPr="00965015" w:rsidRDefault="00965015" w:rsidP="00965015">
            <w:pPr>
              <w:autoSpaceDE w:val="0"/>
              <w:autoSpaceDN w:val="0"/>
              <w:spacing w:after="0" w:line="240" w:lineRule="auto"/>
              <w:jc w:val="center"/>
              <w:rPr>
                <w:rFonts w:ascii="Times New Roman" w:eastAsia="Times New Roman" w:hAnsi="Times New Roman" w:cs="Times New Roman"/>
                <w:sz w:val="20"/>
                <w:szCs w:val="20"/>
                <w:lang w:eastAsia="sk-SK"/>
              </w:rPr>
            </w:pPr>
          </w:p>
          <w:p w14:paraId="71A0BA3F" w14:textId="06B6AA16" w:rsidR="00965015" w:rsidRPr="0029105C" w:rsidRDefault="00965015" w:rsidP="00965015">
            <w:pPr>
              <w:autoSpaceDE w:val="0"/>
              <w:autoSpaceDN w:val="0"/>
              <w:spacing w:after="0" w:line="240" w:lineRule="auto"/>
              <w:jc w:val="center"/>
              <w:rPr>
                <w:rFonts w:ascii="Times New Roman" w:eastAsia="Times New Roman" w:hAnsi="Times New Roman" w:cs="Times New Roman"/>
                <w:sz w:val="20"/>
                <w:szCs w:val="20"/>
                <w:lang w:eastAsia="sk-SK"/>
              </w:rPr>
            </w:pPr>
            <w:r w:rsidRPr="00965015">
              <w:rPr>
                <w:rFonts w:ascii="Times New Roman" w:eastAsia="Times New Roman" w:hAnsi="Times New Roman" w:cs="Times New Roman"/>
                <w:sz w:val="20"/>
                <w:szCs w:val="20"/>
                <w:lang w:eastAsia="sk-SK"/>
              </w:rPr>
              <w:t>P: f</w:t>
            </w:r>
          </w:p>
        </w:tc>
        <w:tc>
          <w:tcPr>
            <w:tcW w:w="4540" w:type="dxa"/>
            <w:tcBorders>
              <w:top w:val="single" w:sz="4" w:space="0" w:color="auto"/>
              <w:left w:val="single" w:sz="4" w:space="0" w:color="auto"/>
              <w:bottom w:val="single" w:sz="4" w:space="0" w:color="auto"/>
              <w:right w:val="single" w:sz="4" w:space="0" w:color="auto"/>
            </w:tcBorders>
          </w:tcPr>
          <w:p w14:paraId="3CC6CBE1" w14:textId="0A4B21DD" w:rsidR="009F5089" w:rsidRDefault="009F5089"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9F5089">
              <w:rPr>
                <w:rFonts w:ascii="Times New Roman" w:eastAsia="Times New Roman" w:hAnsi="Times New Roman" w:cs="Times New Roman"/>
                <w:sz w:val="20"/>
                <w:szCs w:val="20"/>
                <w:lang w:eastAsia="sk-SK"/>
              </w:rPr>
              <w:lastRenderedPageBreak/>
              <w:t>Na účely tohto zákona sa rozumie</w:t>
            </w:r>
          </w:p>
          <w:p w14:paraId="1DD850FD" w14:textId="7C49F848" w:rsidR="009F5089" w:rsidRDefault="009F5089"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9F5089">
              <w:rPr>
                <w:rFonts w:ascii="Times New Roman" w:eastAsia="Times New Roman" w:hAnsi="Times New Roman" w:cs="Times New Roman"/>
                <w:sz w:val="20"/>
                <w:szCs w:val="20"/>
                <w:lang w:eastAsia="sk-SK"/>
              </w:rPr>
              <w:t xml:space="preserve">b) v </w:t>
            </w:r>
            <w:proofErr w:type="spellStart"/>
            <w:r w:rsidRPr="009F5089">
              <w:rPr>
                <w:rFonts w:ascii="Times New Roman" w:eastAsia="Times New Roman" w:hAnsi="Times New Roman" w:cs="Times New Roman"/>
                <w:sz w:val="20"/>
                <w:szCs w:val="20"/>
                <w:lang w:eastAsia="sk-SK"/>
              </w:rPr>
              <w:t>elektroenergetike</w:t>
            </w:r>
            <w:proofErr w:type="spellEnd"/>
          </w:p>
          <w:p w14:paraId="3E15FD65" w14:textId="37324044"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lastRenderedPageBreak/>
              <w:t>10. podpornou službou služba, ktorú nakupuje prevádzkovateľ prenosovej sústavy na prevádzku prenosovej sústavy vrátane regulačných služieb a nefrekvenčných podporných služieb, alebo nefrekvenčná podporná služba, ktorú nakupuje prevádzkovateľ distribučnej sústavy na prevádzku distribučnej sústavy; podporná služba nezahŕňa riadenie preťaženia,</w:t>
            </w:r>
          </w:p>
          <w:p w14:paraId="6CA6E4EE"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59A9651D"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11. nefrekvenčnou podpornou službou služba, ktorú využíva prevádzkovateľ prenosovej sústavy alebo prevádzkovateľ distribučnej sústavy na zabezpečenie regulácie napätia v ustálenom stave, tokov jalového elektrického výkonu, stability sústavy v ustálenom a poruchovom stave, schopnosti štartu z tmy alebo schopnosti ostrovnej prevádzky,</w:t>
            </w:r>
          </w:p>
          <w:p w14:paraId="5298DDAE"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4D7D3560"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12. regulačnou službou poskytnutie disponibility,4aa) dodávka regulačnej elektriny alebo poskytnutie oboch týchto služieb prevádzkovateľovi prenosovej sústavy,</w:t>
            </w:r>
          </w:p>
          <w:p w14:paraId="5775838F"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5244DD10"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13. systémovou službou služba prevádzkovateľa prenosovej sústavy potrebná na zabezpečenie prevádzkovej spoľahlivosti sústavy na vymedzenom území; zahŕňa aj služby, ktoré poskytuje prevádzkovateľ prenosovej sústavy potrebné na zabezpečenie bezpečnej prevádzky výrobných zariadení výrobcu elektriny,</w:t>
            </w:r>
          </w:p>
          <w:p w14:paraId="36E1A008"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08C517FE"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42. </w:t>
            </w:r>
            <w:proofErr w:type="spellStart"/>
            <w:r w:rsidRPr="0029105C">
              <w:rPr>
                <w:rFonts w:ascii="Times New Roman" w:eastAsia="Times New Roman" w:hAnsi="Times New Roman" w:cs="Times New Roman"/>
                <w:sz w:val="20"/>
                <w:szCs w:val="20"/>
                <w:lang w:eastAsia="sk-SK"/>
              </w:rPr>
              <w:t>agregáciou</w:t>
            </w:r>
            <w:proofErr w:type="spellEnd"/>
            <w:r w:rsidRPr="0029105C">
              <w:rPr>
                <w:rFonts w:ascii="Times New Roman" w:eastAsia="Times New Roman" w:hAnsi="Times New Roman" w:cs="Times New Roman"/>
                <w:sz w:val="20"/>
                <w:szCs w:val="20"/>
                <w:lang w:eastAsia="sk-SK"/>
              </w:rPr>
              <w:t xml:space="preserve"> činnosť, pri ktorej </w:t>
            </w:r>
            <w:proofErr w:type="spellStart"/>
            <w:r w:rsidRPr="0029105C">
              <w:rPr>
                <w:rFonts w:ascii="Times New Roman" w:eastAsia="Times New Roman" w:hAnsi="Times New Roman" w:cs="Times New Roman"/>
                <w:sz w:val="20"/>
                <w:szCs w:val="20"/>
                <w:lang w:eastAsia="sk-SK"/>
              </w:rPr>
              <w:t>agregátor</w:t>
            </w:r>
            <w:proofErr w:type="spellEnd"/>
            <w:r w:rsidRPr="0029105C">
              <w:rPr>
                <w:rFonts w:ascii="Times New Roman" w:eastAsia="Times New Roman" w:hAnsi="Times New Roman" w:cs="Times New Roman"/>
                <w:sz w:val="20"/>
                <w:szCs w:val="20"/>
                <w:lang w:eastAsia="sk-SK"/>
              </w:rPr>
              <w:t xml:space="preserve"> zlučuje flexibilitu z viacerých odberných miest a odovzdávacích miest na účel ponuky a predaja agregovanej flexibility na organizovaných trhoch s elektrinou</w:t>
            </w:r>
            <w:hyperlink r:id="rId8" w:anchor="poznamky.poznamka-4b" w:tooltip="Odkaz na predpis alebo ustanovenie" w:history="1">
              <w:r w:rsidRPr="0029105C">
                <w:rPr>
                  <w:rFonts w:ascii="Times New Roman" w:eastAsia="Times New Roman" w:hAnsi="Times New Roman" w:cs="Times New Roman"/>
                  <w:b/>
                  <w:bCs/>
                  <w:sz w:val="20"/>
                  <w:szCs w:val="20"/>
                  <w:vertAlign w:val="superscript"/>
                  <w:lang w:eastAsia="sk-SK"/>
                </w:rPr>
                <w:t>4b</w:t>
              </w:r>
              <w:r w:rsidRPr="0029105C">
                <w:rPr>
                  <w:rFonts w:ascii="Times New Roman" w:eastAsia="Times New Roman" w:hAnsi="Times New Roman" w:cs="Times New Roman"/>
                  <w:b/>
                  <w:bCs/>
                  <w:sz w:val="20"/>
                  <w:szCs w:val="20"/>
                  <w:lang w:eastAsia="sk-SK"/>
                </w:rPr>
                <w:t>)</w:t>
              </w:r>
            </w:hyperlink>
            <w:r w:rsidRPr="0029105C">
              <w:rPr>
                <w:rFonts w:ascii="Times New Roman" w:eastAsia="Times New Roman" w:hAnsi="Times New Roman" w:cs="Times New Roman"/>
                <w:sz w:val="20"/>
                <w:szCs w:val="20"/>
                <w:lang w:eastAsia="sk-SK"/>
              </w:rPr>
              <w:t xml:space="preserve"> alebo na trhu s podpornými službami alebo na účel minimalizácie odchýlky v rámci bilančnej skupiny </w:t>
            </w:r>
            <w:proofErr w:type="spellStart"/>
            <w:r w:rsidRPr="0029105C">
              <w:rPr>
                <w:rFonts w:ascii="Times New Roman" w:eastAsia="Times New Roman" w:hAnsi="Times New Roman" w:cs="Times New Roman"/>
                <w:sz w:val="20"/>
                <w:szCs w:val="20"/>
                <w:lang w:eastAsia="sk-SK"/>
              </w:rPr>
              <w:t>agregátora</w:t>
            </w:r>
            <w:proofErr w:type="spellEnd"/>
            <w:r w:rsidRPr="0029105C">
              <w:rPr>
                <w:rFonts w:ascii="Times New Roman" w:eastAsia="Times New Roman" w:hAnsi="Times New Roman" w:cs="Times New Roman"/>
                <w:sz w:val="20"/>
                <w:szCs w:val="20"/>
                <w:lang w:eastAsia="sk-SK"/>
              </w:rPr>
              <w:t>,</w:t>
            </w:r>
          </w:p>
          <w:p w14:paraId="0C3630E3"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15FE1E21"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43. flexibilitou schopnosť riadenej zmeny odberu elektriny zo sústavy alebo schopnosť riadenej zmeny dodávky elektriny do sústavy v reakcii na trhové signály </w:t>
            </w:r>
            <w:r w:rsidRPr="0029105C">
              <w:rPr>
                <w:rFonts w:ascii="Times New Roman" w:eastAsia="Times New Roman" w:hAnsi="Times New Roman" w:cs="Times New Roman"/>
                <w:sz w:val="20"/>
                <w:szCs w:val="20"/>
                <w:lang w:eastAsia="sk-SK"/>
              </w:rPr>
              <w:lastRenderedPageBreak/>
              <w:t>vrátane zmien trhových cien elektriny v čase alebo platieb hradených ako odmena za riadenú zmenu odberu alebo dodávky elektriny,</w:t>
            </w:r>
          </w:p>
          <w:p w14:paraId="50D68B2A"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51A5A66B"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44. aktiváciou flexibility riadená zmena odberu elektriny zo sústavy alebo riadená zmena dodávky elektriny do sústavy vyvolaná reakciou na trhové signály vrátane zmien trhových cien elektriny v čase alebo platieb hradených ako odmena za zmenu odberu alebo dodávky elektriny,</w:t>
            </w:r>
          </w:p>
          <w:p w14:paraId="5AEE40BE"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0136AC1E"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45. uskladňovaním elektriny odloženie spotreby elektriny na neskorší čas, ako bola vyrobená, alebo premena elektriny na takú formu energie, ktorú možno uskladňovať, uskladňovanie takej energie a následná spätná premena takejto energie na elektrinu v rámci jedného odberného miesta alebo odovzdávacieho miesta,</w:t>
            </w:r>
          </w:p>
          <w:p w14:paraId="2975AE60"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22AF6A8D"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46. zariadením na uskladňovanie elektriny zariadenie, v ktorom prebieha uskladňovanie elektriny,</w:t>
            </w:r>
          </w:p>
          <w:p w14:paraId="3E9761C0"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5C0D4D3B" w14:textId="0558C567" w:rsidR="00850A3D"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Technické podmienky obsahujú aj kritériá technickej bezpečnosti sústavy a siete, spôsob vypracovania a zverejnenia minimálnych technicko-konštrukčných a prevádzkových požiadaviek na prístup, pripojenie a prevádzkovanie sústavy a siete. V technických podmienkach prevádzkovateľa sústavy sú vymedzené postupy na zachovanie prevádzkovej bezpečnosti sústavy. V technických podmienkach prevádzkovateľa prenosovej sústavy sú vymedzené aj postupy na zber údajov pre vypracovanie posúdenia primeranosti zdrojov na európskej úrovni a posúdenia primeranosti zdrojov na vnútroštátnej úrovni. Technické podmienky prevádzkovateľa distribučnej sústavy obsahujú ďalej podmienky poskytovania podporných služieb prevádzkovateľovi prenosovej sústavy výrobcami elektriny, prevádzkovateľmi zariadení na uskladňovanie elektriny, aktívnymi odberateľmi a energetickými </w:t>
            </w:r>
            <w:r w:rsidRPr="0029105C">
              <w:rPr>
                <w:rFonts w:ascii="Times New Roman" w:eastAsia="Times New Roman" w:hAnsi="Times New Roman" w:cs="Times New Roman"/>
                <w:sz w:val="20"/>
                <w:szCs w:val="20"/>
                <w:lang w:eastAsia="sk-SK"/>
              </w:rPr>
              <w:lastRenderedPageBreak/>
              <w:t>spoločenstvami, ktorých elektroenergetické zariadenia sú pripojené do distribučnej sústavy, dohodnuté s prevádzkovateľom prenosovej sústavy podľa osobitného predpisu.</w:t>
            </w:r>
            <w:r w:rsidRPr="00965015">
              <w:rPr>
                <w:rFonts w:ascii="Times New Roman" w:eastAsia="Times New Roman" w:hAnsi="Times New Roman" w:cs="Times New Roman"/>
                <w:sz w:val="20"/>
                <w:szCs w:val="20"/>
                <w:vertAlign w:val="superscript"/>
                <w:lang w:eastAsia="sk-SK"/>
              </w:rPr>
              <w:t>40b</w:t>
            </w:r>
            <w:r w:rsidRPr="0029105C">
              <w:rPr>
                <w:rFonts w:ascii="Times New Roman" w:eastAsia="Times New Roman" w:hAnsi="Times New Roman" w:cs="Times New Roman"/>
                <w:sz w:val="20"/>
                <w:szCs w:val="20"/>
                <w:lang w:eastAsia="sk-SK"/>
              </w:rPr>
              <w:t>)</w:t>
            </w:r>
          </w:p>
          <w:p w14:paraId="3999A249" w14:textId="28A7BEB3" w:rsidR="00965015" w:rsidRDefault="00965015"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464B8F0D" w14:textId="3B3762BE" w:rsidR="00965015" w:rsidRDefault="008166C4" w:rsidP="008166C4">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8166C4">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 xml:space="preserve"> </w:t>
            </w:r>
            <w:r w:rsidRPr="008166C4">
              <w:rPr>
                <w:rFonts w:ascii="Times New Roman" w:eastAsia="Times New Roman" w:hAnsi="Times New Roman" w:cs="Times New Roman"/>
                <w:sz w:val="20"/>
                <w:szCs w:val="20"/>
                <w:lang w:eastAsia="sk-SK"/>
              </w:rPr>
              <w:t>Prevádzkovateľ prenosovej sústavy je povinný</w:t>
            </w:r>
          </w:p>
          <w:p w14:paraId="22615090" w14:textId="77777777" w:rsidR="00965015" w:rsidRPr="00965015" w:rsidRDefault="00965015" w:rsidP="00965015">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965015">
              <w:rPr>
                <w:rFonts w:ascii="Times New Roman" w:eastAsia="Times New Roman" w:hAnsi="Times New Roman" w:cs="Times New Roman"/>
                <w:sz w:val="20"/>
                <w:szCs w:val="20"/>
                <w:lang w:eastAsia="sk-SK"/>
              </w:rPr>
              <w:t>i) zabezpečiť nákup podporných služieb potrebných na zabezpečenie poskytovania systémových služieb pre dodržanie kvality dodávky elektriny a na zabezpečenie prevádzkovej spoľahlivosti sústavy na základe transparentných, nediskriminačných a trhových postupov; ustanovenie odseku 1 písm. b) tým nie je dotknuté,</w:t>
            </w:r>
          </w:p>
          <w:p w14:paraId="0A5C6608" w14:textId="77777777" w:rsidR="00965015" w:rsidRPr="00965015" w:rsidRDefault="00965015" w:rsidP="00965015">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5AC1912C" w14:textId="77777777" w:rsidR="00965015" w:rsidRPr="00965015" w:rsidRDefault="00965015" w:rsidP="00965015">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965015">
              <w:rPr>
                <w:rFonts w:ascii="Times New Roman" w:eastAsia="Times New Roman" w:hAnsi="Times New Roman" w:cs="Times New Roman"/>
                <w:sz w:val="20"/>
                <w:szCs w:val="20"/>
                <w:lang w:eastAsia="sk-SK"/>
              </w:rPr>
              <w:t>Koncový odberateľ elektriny, ak má záujem pôsobiť ako aktívny odberateľ, má okrem práv uvedených v odseku 1 právo</w:t>
            </w:r>
          </w:p>
          <w:p w14:paraId="7F8AA85D" w14:textId="2CDC5865" w:rsidR="00965015" w:rsidRDefault="00965015" w:rsidP="00965015">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965015">
              <w:rPr>
                <w:rFonts w:ascii="Times New Roman" w:eastAsia="Times New Roman" w:hAnsi="Times New Roman" w:cs="Times New Roman"/>
                <w:sz w:val="20"/>
                <w:szCs w:val="20"/>
                <w:lang w:eastAsia="sk-SK"/>
              </w:rPr>
              <w:t>f) ponúkať a predávať flexibilitu na organizovaných trhoch s elektrinou</w:t>
            </w:r>
            <w:r w:rsidRPr="00965015">
              <w:rPr>
                <w:rFonts w:ascii="Times New Roman" w:eastAsia="Times New Roman" w:hAnsi="Times New Roman" w:cs="Times New Roman"/>
                <w:sz w:val="20"/>
                <w:szCs w:val="20"/>
                <w:vertAlign w:val="superscript"/>
                <w:lang w:eastAsia="sk-SK"/>
              </w:rPr>
              <w:t>4b</w:t>
            </w:r>
            <w:r w:rsidRPr="00965015">
              <w:rPr>
                <w:rFonts w:ascii="Times New Roman" w:eastAsia="Times New Roman" w:hAnsi="Times New Roman" w:cs="Times New Roman"/>
                <w:sz w:val="20"/>
                <w:szCs w:val="20"/>
                <w:lang w:eastAsia="sk-SK"/>
              </w:rPr>
              <w:t>) a poskytovať podporné služby,</w:t>
            </w:r>
          </w:p>
          <w:p w14:paraId="508DDF9F" w14:textId="221A0A63" w:rsidR="00965015" w:rsidRPr="0029105C" w:rsidRDefault="00965015"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tc>
        <w:tc>
          <w:tcPr>
            <w:tcW w:w="849" w:type="dxa"/>
            <w:tcBorders>
              <w:top w:val="single" w:sz="4" w:space="0" w:color="auto"/>
              <w:left w:val="single" w:sz="4" w:space="0" w:color="auto"/>
              <w:bottom w:val="single" w:sz="4" w:space="0" w:color="auto"/>
              <w:right w:val="single" w:sz="4" w:space="0" w:color="auto"/>
            </w:tcBorders>
          </w:tcPr>
          <w:p w14:paraId="6DC8C940" w14:textId="4DF113C8" w:rsidR="00850A3D" w:rsidRPr="0029105C" w:rsidRDefault="00757880" w:rsidP="00850A3D">
            <w:pPr>
              <w:autoSpaceDE w:val="0"/>
              <w:autoSpaceDN w:val="0"/>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Ú</w:t>
            </w:r>
          </w:p>
        </w:tc>
        <w:tc>
          <w:tcPr>
            <w:tcW w:w="1360" w:type="dxa"/>
            <w:tcBorders>
              <w:top w:val="single" w:sz="4" w:space="0" w:color="auto"/>
              <w:left w:val="single" w:sz="4" w:space="0" w:color="auto"/>
              <w:bottom w:val="single" w:sz="4" w:space="0" w:color="auto"/>
              <w:right w:val="single" w:sz="4" w:space="0" w:color="auto"/>
            </w:tcBorders>
          </w:tcPr>
          <w:p w14:paraId="4ADD8B12" w14:textId="77777777" w:rsidR="00850A3D" w:rsidRPr="0029105C" w:rsidRDefault="00850A3D" w:rsidP="00F7394D">
            <w:pPr>
              <w:autoSpaceDE w:val="0"/>
              <w:autoSpaceDN w:val="0"/>
              <w:spacing w:after="0" w:line="240" w:lineRule="auto"/>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V zmysle súčasnosti </w:t>
            </w:r>
            <w:r w:rsidRPr="0029105C">
              <w:rPr>
                <w:rFonts w:ascii="Times New Roman" w:eastAsia="Times New Roman" w:hAnsi="Times New Roman" w:cs="Times New Roman"/>
                <w:sz w:val="20"/>
                <w:szCs w:val="20"/>
                <w:lang w:eastAsia="sk-SK"/>
              </w:rPr>
              <w:lastRenderedPageBreak/>
              <w:t xml:space="preserve">platnej právnej úpravy umožňujú technológiám uvedených v smernici poskytovať požadované podporné služby a služby flexibility bez ohľadu na ich veľkosť inštalovaného výkonu. </w:t>
            </w:r>
          </w:p>
        </w:tc>
        <w:tc>
          <w:tcPr>
            <w:tcW w:w="1360" w:type="dxa"/>
            <w:tcBorders>
              <w:top w:val="single" w:sz="4" w:space="0" w:color="auto"/>
              <w:left w:val="single" w:sz="4" w:space="0" w:color="auto"/>
              <w:bottom w:val="single" w:sz="4" w:space="0" w:color="auto"/>
              <w:right w:val="single" w:sz="4" w:space="0" w:color="auto"/>
            </w:tcBorders>
          </w:tcPr>
          <w:p w14:paraId="302CFDE4"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lastRenderedPageBreak/>
              <w:t>GP-N</w:t>
            </w:r>
          </w:p>
        </w:tc>
        <w:tc>
          <w:tcPr>
            <w:tcW w:w="1360" w:type="dxa"/>
            <w:tcBorders>
              <w:top w:val="single" w:sz="4" w:space="0" w:color="auto"/>
              <w:left w:val="single" w:sz="4" w:space="0" w:color="auto"/>
              <w:bottom w:val="single" w:sz="4" w:space="0" w:color="auto"/>
              <w:right w:val="single" w:sz="4" w:space="0" w:color="auto"/>
            </w:tcBorders>
          </w:tcPr>
          <w:p w14:paraId="4914F130"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sz w:val="20"/>
                <w:szCs w:val="20"/>
                <w:lang w:eastAsia="sk-SK"/>
              </w:rPr>
            </w:pPr>
          </w:p>
        </w:tc>
      </w:tr>
      <w:tr w:rsidR="00850A3D" w:rsidRPr="0029105C" w14:paraId="625A182A" w14:textId="77777777" w:rsidTr="00402EF0">
        <w:tc>
          <w:tcPr>
            <w:tcW w:w="1005" w:type="dxa"/>
            <w:tcBorders>
              <w:top w:val="single" w:sz="4" w:space="0" w:color="auto"/>
              <w:left w:val="single" w:sz="12" w:space="0" w:color="auto"/>
              <w:bottom w:val="single" w:sz="4" w:space="0" w:color="auto"/>
              <w:right w:val="single" w:sz="4" w:space="0" w:color="auto"/>
            </w:tcBorders>
          </w:tcPr>
          <w:p w14:paraId="25A9597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Č:1</w:t>
            </w:r>
          </w:p>
          <w:p w14:paraId="103A8AD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O:12</w:t>
            </w:r>
          </w:p>
        </w:tc>
        <w:tc>
          <w:tcPr>
            <w:tcW w:w="3421" w:type="dxa"/>
            <w:tcBorders>
              <w:top w:val="single" w:sz="4" w:space="0" w:color="auto"/>
              <w:left w:val="single" w:sz="4" w:space="0" w:color="auto"/>
              <w:bottom w:val="single" w:sz="4" w:space="0" w:color="auto"/>
              <w:right w:val="single" w:sz="4" w:space="0" w:color="auto"/>
            </w:tcBorders>
          </w:tcPr>
          <w:p w14:paraId="4FFF96A5" w14:textId="77777777" w:rsidR="00757880" w:rsidRPr="00757880" w:rsidRDefault="00757880" w:rsidP="00757880">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57880">
              <w:rPr>
                <w:rFonts w:ascii="Times New Roman" w:eastAsia="Times New Roman" w:hAnsi="Times New Roman" w:cs="Times New Roman"/>
                <w:color w:val="000000" w:themeColor="text1"/>
                <w:sz w:val="20"/>
                <w:szCs w:val="20"/>
                <w:lang w:eastAsia="sk-SK"/>
              </w:rPr>
              <w:t>12. Vkladajú sa tieto články:</w:t>
            </w:r>
          </w:p>
          <w:p w14:paraId="1B431ED2" w14:textId="0A1757DE" w:rsidR="00757880" w:rsidRPr="00757880" w:rsidRDefault="00757880" w:rsidP="00757880">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57880">
              <w:rPr>
                <w:rFonts w:ascii="Times New Roman" w:eastAsia="Times New Roman" w:hAnsi="Times New Roman" w:cs="Times New Roman"/>
                <w:color w:val="000000" w:themeColor="text1"/>
                <w:sz w:val="20"/>
                <w:szCs w:val="20"/>
                <w:lang w:eastAsia="sk-SK"/>
              </w:rPr>
              <w:t>Článok 22a</w:t>
            </w:r>
          </w:p>
          <w:p w14:paraId="2FE6C646" w14:textId="790220D2" w:rsidR="00757880" w:rsidRDefault="00757880" w:rsidP="00757880">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57880">
              <w:rPr>
                <w:rFonts w:ascii="Times New Roman" w:eastAsia="Times New Roman" w:hAnsi="Times New Roman" w:cs="Times New Roman"/>
                <w:color w:val="000000" w:themeColor="text1"/>
                <w:sz w:val="20"/>
                <w:szCs w:val="20"/>
                <w:lang w:eastAsia="sk-SK"/>
              </w:rPr>
              <w:t>Začleňovanie energie z obnoviteľných zdrojov do priemyslu</w:t>
            </w:r>
          </w:p>
          <w:p w14:paraId="28581647" w14:textId="3490BE71"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Členské štáty sa usilujú zvýšiť podiel obnoviteľných zdrojov v množstve zdrojov energie používaných na účely </w:t>
            </w:r>
          </w:p>
          <w:p w14:paraId="2F17F13C"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koncovej energie a neenergetické účely v priemysle o orientačný nárast aspoň o 1,6 percentuálneho bodu ako ročný </w:t>
            </w:r>
          </w:p>
          <w:p w14:paraId="52C836F0"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priemer vypočítaný na obdobie rokov 2021 až 2025 a 2026 až 2030.</w:t>
            </w:r>
          </w:p>
          <w:p w14:paraId="45FB0818"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tc>
        <w:tc>
          <w:tcPr>
            <w:tcW w:w="794" w:type="dxa"/>
            <w:tcBorders>
              <w:top w:val="single" w:sz="4" w:space="0" w:color="auto"/>
              <w:left w:val="single" w:sz="4" w:space="0" w:color="auto"/>
              <w:bottom w:val="single" w:sz="4" w:space="0" w:color="auto"/>
              <w:right w:val="single" w:sz="12" w:space="0" w:color="auto"/>
            </w:tcBorders>
          </w:tcPr>
          <w:p w14:paraId="15DC2D2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09DAB997" w14:textId="3A3E4812" w:rsidR="00850A3D" w:rsidRPr="0029105C" w:rsidRDefault="00487F9F" w:rsidP="00451090">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451090">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tc>
        <w:tc>
          <w:tcPr>
            <w:tcW w:w="900" w:type="dxa"/>
            <w:tcBorders>
              <w:top w:val="single" w:sz="4" w:space="0" w:color="auto"/>
              <w:left w:val="single" w:sz="4" w:space="0" w:color="auto"/>
              <w:bottom w:val="single" w:sz="4" w:space="0" w:color="auto"/>
              <w:right w:val="single" w:sz="4" w:space="0" w:color="auto"/>
            </w:tcBorders>
          </w:tcPr>
          <w:p w14:paraId="7880CF7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w:t>
            </w:r>
          </w:p>
          <w:p w14:paraId="785C5063"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O:11</w:t>
            </w:r>
          </w:p>
          <w:p w14:paraId="049F31C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12826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486C0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01652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99056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99C43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DBEF0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61D77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F2D8B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B7827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C3994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215D41C9" w14:textId="77777777" w:rsidR="00451090" w:rsidRDefault="00451090"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14 Pôsobnosť ministerstva</w:t>
            </w:r>
          </w:p>
          <w:p w14:paraId="1A57B41C" w14:textId="5BBCBD87" w:rsidR="00850A3D" w:rsidRPr="0029105C" w:rsidRDefault="00451090"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highlight w:val="red"/>
                <w:lang w:eastAsia="sk-SK"/>
              </w:rPr>
            </w:pPr>
            <w:r>
              <w:rPr>
                <w:rFonts w:ascii="Times New Roman" w:eastAsia="Times New Roman" w:hAnsi="Times New Roman" w:cs="Times New Roman"/>
                <w:color w:val="000000" w:themeColor="text1"/>
                <w:sz w:val="20"/>
                <w:szCs w:val="20"/>
                <w:lang w:eastAsia="sk-SK"/>
              </w:rPr>
              <w:t xml:space="preserve">(11) </w:t>
            </w:r>
            <w:r w:rsidR="00E1385B" w:rsidRPr="00E1385B">
              <w:rPr>
                <w:rFonts w:ascii="Times New Roman" w:eastAsia="Times New Roman" w:hAnsi="Times New Roman" w:cs="Times New Roman"/>
                <w:color w:val="000000" w:themeColor="text1"/>
                <w:sz w:val="20"/>
                <w:szCs w:val="20"/>
                <w:lang w:eastAsia="sk-SK"/>
              </w:rPr>
              <w:t>Ak je to vhodné, ministerstvo pri vypracovaní integrovaného národného energetického a klimatického plánu, tvorbe politík v oblasti určenia cieľov využívania obnoviteľných zdrojov energie v priemysle a uplatňovania kritérií trvalej udržateľnosti navrhne opatrenia, ktoré uprednostňujú najlepšie dostupné technológie na základe obnoviteľných zdrojov energie, používaných na účely koncovej spotreby energie a neenergetické účely v priemysle s cieľom orientačného nárastu koncovej spotreby energie z obnoviteľných zdrojov energie aspoň o 1,6 percentuálneho bodu ako ročného priemeru vypočítaného na obdobie rokov 2021 až 2025 a 2026 až 2030.</w:t>
            </w:r>
          </w:p>
        </w:tc>
        <w:tc>
          <w:tcPr>
            <w:tcW w:w="849" w:type="dxa"/>
            <w:tcBorders>
              <w:top w:val="single" w:sz="4" w:space="0" w:color="auto"/>
              <w:left w:val="single" w:sz="4" w:space="0" w:color="auto"/>
              <w:bottom w:val="single" w:sz="4" w:space="0" w:color="auto"/>
              <w:right w:val="single" w:sz="4" w:space="0" w:color="auto"/>
            </w:tcBorders>
          </w:tcPr>
          <w:p w14:paraId="5EC7E442" w14:textId="6A9F100D" w:rsidR="00850A3D" w:rsidRPr="0029105C" w:rsidRDefault="0055623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w:t>
            </w:r>
          </w:p>
        </w:tc>
        <w:tc>
          <w:tcPr>
            <w:tcW w:w="1360" w:type="dxa"/>
            <w:tcBorders>
              <w:top w:val="single" w:sz="4" w:space="0" w:color="auto"/>
              <w:left w:val="single" w:sz="4" w:space="0" w:color="auto"/>
              <w:bottom w:val="single" w:sz="4" w:space="0" w:color="auto"/>
              <w:right w:val="single" w:sz="4" w:space="0" w:color="auto"/>
            </w:tcBorders>
          </w:tcPr>
          <w:p w14:paraId="0562CB0E"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4A2A2F34"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34CE0A41"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3EAC7995" w14:textId="77777777" w:rsidTr="00402EF0">
        <w:tc>
          <w:tcPr>
            <w:tcW w:w="1005" w:type="dxa"/>
            <w:tcBorders>
              <w:top w:val="single" w:sz="4" w:space="0" w:color="auto"/>
              <w:left w:val="single" w:sz="12" w:space="0" w:color="auto"/>
              <w:bottom w:val="single" w:sz="4" w:space="0" w:color="auto"/>
              <w:right w:val="single" w:sz="4" w:space="0" w:color="auto"/>
            </w:tcBorders>
          </w:tcPr>
          <w:p w14:paraId="5CEDC52F"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514B22E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O:12</w:t>
            </w:r>
          </w:p>
        </w:tc>
        <w:tc>
          <w:tcPr>
            <w:tcW w:w="3421" w:type="dxa"/>
            <w:tcBorders>
              <w:top w:val="single" w:sz="4" w:space="0" w:color="auto"/>
              <w:left w:val="single" w:sz="4" w:space="0" w:color="auto"/>
              <w:bottom w:val="single" w:sz="4" w:space="0" w:color="auto"/>
              <w:right w:val="single" w:sz="4" w:space="0" w:color="auto"/>
            </w:tcBorders>
          </w:tcPr>
          <w:p w14:paraId="5F78A804"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Členské štáty zabezpečia, aby príspevok obnoviteľného paliva nebiologického pôvodu používaného na účely koncovej </w:t>
            </w:r>
          </w:p>
          <w:p w14:paraId="2F0F1B34"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 xml:space="preserve">energie a neenergetické účely do roku 2030 predstavoval aspoň 42 % vodíka používaného na účely koncovej energie </w:t>
            </w:r>
          </w:p>
          <w:p w14:paraId="05DB872D"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a neenergetické účely v priemysle a do roku 2035 60 % vodíka. Na výpočet daného percentuálneho podielu sa </w:t>
            </w:r>
          </w:p>
          <w:p w14:paraId="2614F795"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vzťahujú tieto pravidlá:</w:t>
            </w:r>
          </w:p>
          <w:p w14:paraId="6E9C6E96"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a) na výpočet menovateľa sa použije energetický obsah vodíka použitého na účely koncovej energie a neenergetické </w:t>
            </w:r>
          </w:p>
          <w:p w14:paraId="0C121541"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účely, s výnimkou:</w:t>
            </w:r>
          </w:p>
          <w:p w14:paraId="542CD90D"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i) vodíka použitého ako medziprodukt na výrobu konvenčných dopravných palív a biopalív;</w:t>
            </w:r>
          </w:p>
          <w:p w14:paraId="16CDBF22"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ii) vodíka, ktorý sa vyrába dekarbonizáciou priemyselného zvyškového plynu a ktorý sa používa ako náhrada </w:t>
            </w:r>
          </w:p>
          <w:p w14:paraId="5734B5E8"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špecifického plynu, z ktorého sa vyrába;</w:t>
            </w:r>
          </w:p>
          <w:p w14:paraId="359CCDBF"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iii) vodíka vyrábaného ako vedľajší produkt alebo odvodeného z vedľajších produktov v priemyselných </w:t>
            </w:r>
          </w:p>
          <w:p w14:paraId="558281BE"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zariadeniach;</w:t>
            </w:r>
          </w:p>
          <w:p w14:paraId="51A3CB72"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b) na výpočet čitateľa sa použije energetický obsah palív z obnoviteľných zdrojov nebiologického pôvodu </w:t>
            </w:r>
          </w:p>
          <w:p w14:paraId="591F6409"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spotrebovaných v priemysle na účely koncovej energie a neenergetické účely, s výnimkou palív z obnoviteľných </w:t>
            </w:r>
          </w:p>
          <w:p w14:paraId="2D805C11"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zdrojov nebiologického pôvodu použitých ako medziprodukt na výrobu konvenčných dopravných palív </w:t>
            </w:r>
          </w:p>
          <w:p w14:paraId="18473CBC"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a biopalív;</w:t>
            </w:r>
          </w:p>
          <w:p w14:paraId="51BF1E42"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c) na výpočet čitateľa aj menovateľa sa použijú hodnoty týkajúce sa energetického obsahu palív stanovené v prílohe </w:t>
            </w:r>
          </w:p>
          <w:p w14:paraId="69CE75AC"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III</w:t>
            </w:r>
          </w:p>
        </w:tc>
        <w:tc>
          <w:tcPr>
            <w:tcW w:w="794" w:type="dxa"/>
            <w:tcBorders>
              <w:top w:val="single" w:sz="4" w:space="0" w:color="auto"/>
              <w:left w:val="single" w:sz="4" w:space="0" w:color="auto"/>
              <w:bottom w:val="single" w:sz="4" w:space="0" w:color="auto"/>
              <w:right w:val="single" w:sz="12" w:space="0" w:color="auto"/>
            </w:tcBorders>
          </w:tcPr>
          <w:p w14:paraId="46B703C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N</w:t>
            </w:r>
          </w:p>
        </w:tc>
        <w:tc>
          <w:tcPr>
            <w:tcW w:w="1080" w:type="dxa"/>
            <w:tcBorders>
              <w:top w:val="single" w:sz="4" w:space="0" w:color="auto"/>
              <w:left w:val="nil"/>
              <w:bottom w:val="single" w:sz="4" w:space="0" w:color="auto"/>
              <w:right w:val="single" w:sz="4" w:space="0" w:color="auto"/>
            </w:tcBorders>
          </w:tcPr>
          <w:p w14:paraId="3AB52102" w14:textId="327B6A7F" w:rsidR="00850A3D" w:rsidRPr="0029105C" w:rsidRDefault="00487F9F" w:rsidP="00B77A42">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B77A42">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tc>
        <w:tc>
          <w:tcPr>
            <w:tcW w:w="900" w:type="dxa"/>
            <w:tcBorders>
              <w:top w:val="single" w:sz="4" w:space="0" w:color="auto"/>
              <w:left w:val="single" w:sz="4" w:space="0" w:color="auto"/>
              <w:bottom w:val="single" w:sz="4" w:space="0" w:color="auto"/>
              <w:right w:val="single" w:sz="4" w:space="0" w:color="auto"/>
            </w:tcBorders>
          </w:tcPr>
          <w:p w14:paraId="6F7CDDB0" w14:textId="2B76EBEF"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w:t>
            </w:r>
          </w:p>
          <w:p w14:paraId="2612621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 13</w:t>
            </w:r>
          </w:p>
          <w:p w14:paraId="62EBF3C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98A12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46DB8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97CC1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0FFD3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69937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E9F23F"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72F64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CE6F9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CDCEA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10982F97" w14:textId="77777777" w:rsidR="00B77A42" w:rsidRDefault="00B77A42" w:rsidP="00B77A42">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 14 Pôsobnosť ministerstva</w:t>
            </w:r>
          </w:p>
          <w:p w14:paraId="04C63D31" w14:textId="574B8B54" w:rsidR="00850A3D" w:rsidRPr="0029105C" w:rsidRDefault="00B77A42"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(13) </w:t>
            </w:r>
            <w:r w:rsidR="00E1385B" w:rsidRPr="00E1385B">
              <w:rPr>
                <w:rFonts w:ascii="Times New Roman" w:eastAsia="Times New Roman" w:hAnsi="Times New Roman" w:cs="Times New Roman"/>
                <w:color w:val="000000" w:themeColor="text1"/>
                <w:sz w:val="20"/>
                <w:szCs w:val="20"/>
                <w:lang w:eastAsia="sk-SK"/>
              </w:rPr>
              <w:t xml:space="preserve">Podiel paliva z obnoviteľných zdrojov nebiologického pôvodu na vodíku užívaného na účely koncovej energie a neenergetické účely v priemysle predstavuje  v roku 2030 aspoň 42% a v roku 2035 </w:t>
            </w:r>
            <w:r w:rsidR="00E1385B" w:rsidRPr="00E1385B">
              <w:rPr>
                <w:rFonts w:ascii="Times New Roman" w:eastAsia="Times New Roman" w:hAnsi="Times New Roman" w:cs="Times New Roman"/>
                <w:color w:val="000000" w:themeColor="text1"/>
                <w:sz w:val="20"/>
                <w:szCs w:val="20"/>
                <w:lang w:eastAsia="sk-SK"/>
              </w:rPr>
              <w:lastRenderedPageBreak/>
              <w:t>aspoň 60%. Spôsob výpočtu cieľa podľa prvej vety  ustanoví všeobecne záväzný právny predpis, ktorý vydá ministerstvo.</w:t>
            </w:r>
          </w:p>
          <w:p w14:paraId="6BB9E253"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3DE523C"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2E56223"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7547A01"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tc>
        <w:tc>
          <w:tcPr>
            <w:tcW w:w="849" w:type="dxa"/>
            <w:tcBorders>
              <w:top w:val="single" w:sz="4" w:space="0" w:color="auto"/>
              <w:left w:val="single" w:sz="4" w:space="0" w:color="auto"/>
              <w:bottom w:val="single" w:sz="4" w:space="0" w:color="auto"/>
              <w:right w:val="single" w:sz="4" w:space="0" w:color="auto"/>
            </w:tcBorders>
          </w:tcPr>
          <w:p w14:paraId="1D494EC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Ú</w:t>
            </w:r>
          </w:p>
        </w:tc>
        <w:tc>
          <w:tcPr>
            <w:tcW w:w="1360" w:type="dxa"/>
            <w:tcBorders>
              <w:top w:val="single" w:sz="4" w:space="0" w:color="auto"/>
              <w:left w:val="single" w:sz="4" w:space="0" w:color="auto"/>
              <w:bottom w:val="single" w:sz="4" w:space="0" w:color="auto"/>
              <w:right w:val="single" w:sz="4" w:space="0" w:color="auto"/>
            </w:tcBorders>
          </w:tcPr>
          <w:p w14:paraId="5043CB0F"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583F3FE9"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07459315"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3F537A4B" w14:textId="77777777" w:rsidTr="00402EF0">
        <w:tc>
          <w:tcPr>
            <w:tcW w:w="1005" w:type="dxa"/>
            <w:tcBorders>
              <w:top w:val="single" w:sz="4" w:space="0" w:color="auto"/>
              <w:left w:val="single" w:sz="12" w:space="0" w:color="auto"/>
              <w:bottom w:val="single" w:sz="4" w:space="0" w:color="auto"/>
              <w:right w:val="single" w:sz="4" w:space="0" w:color="auto"/>
            </w:tcBorders>
          </w:tcPr>
          <w:p w14:paraId="1F33CB2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Č:1</w:t>
            </w:r>
          </w:p>
          <w:p w14:paraId="7EA0129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O:13</w:t>
            </w:r>
          </w:p>
          <w:p w14:paraId="4823B55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P:b</w:t>
            </w:r>
          </w:p>
        </w:tc>
        <w:tc>
          <w:tcPr>
            <w:tcW w:w="3421" w:type="dxa"/>
            <w:tcBorders>
              <w:top w:val="single" w:sz="4" w:space="0" w:color="auto"/>
              <w:left w:val="single" w:sz="4" w:space="0" w:color="auto"/>
              <w:bottom w:val="single" w:sz="4" w:space="0" w:color="auto"/>
              <w:right w:val="single" w:sz="4" w:space="0" w:color="auto"/>
            </w:tcBorders>
          </w:tcPr>
          <w:p w14:paraId="5D3A2EC5" w14:textId="2A2F9936" w:rsidR="00757880" w:rsidRDefault="00757880"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57880">
              <w:rPr>
                <w:rFonts w:ascii="Times New Roman" w:eastAsia="Times New Roman" w:hAnsi="Times New Roman" w:cs="Times New Roman"/>
                <w:color w:val="000000" w:themeColor="text1"/>
                <w:sz w:val="20"/>
                <w:szCs w:val="20"/>
                <w:lang w:eastAsia="sk-SK"/>
              </w:rPr>
              <w:t>13. Článok 23 sa mení takto:</w:t>
            </w:r>
          </w:p>
          <w:p w14:paraId="7F15670F" w14:textId="5122F1C7" w:rsidR="00757880" w:rsidRDefault="00757880"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757880">
              <w:rPr>
                <w:rFonts w:ascii="Times New Roman" w:eastAsia="Times New Roman" w:hAnsi="Times New Roman" w:cs="Times New Roman"/>
                <w:color w:val="000000" w:themeColor="text1"/>
                <w:sz w:val="20"/>
                <w:szCs w:val="20"/>
                <w:lang w:eastAsia="sk-SK"/>
              </w:rPr>
              <w:t>b) Odsek 2 sa mení takto:</w:t>
            </w:r>
          </w:p>
          <w:p w14:paraId="165294CF" w14:textId="3C928D0E"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„Členské štáty poskytujú vlastníkom alebo nájomcom budov a MSP najmä informácie o nákladovo efektívnych </w:t>
            </w:r>
          </w:p>
          <w:p w14:paraId="7201F76C"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opatreniach a finančných nástrojoch na zlepšenie využívania energie z obnoviteľných zdrojov vo vykurovacích </w:t>
            </w:r>
          </w:p>
          <w:p w14:paraId="552A2994"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a chladiacich systémoch. Členské štáty poskytujú informácie prostredníctvom dostupných a transparentných </w:t>
            </w:r>
          </w:p>
          <w:p w14:paraId="7A94A222"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poradenských nástrojov.“</w:t>
            </w:r>
          </w:p>
        </w:tc>
        <w:tc>
          <w:tcPr>
            <w:tcW w:w="794" w:type="dxa"/>
            <w:tcBorders>
              <w:top w:val="single" w:sz="4" w:space="0" w:color="auto"/>
              <w:left w:val="single" w:sz="4" w:space="0" w:color="auto"/>
              <w:bottom w:val="single" w:sz="4" w:space="0" w:color="auto"/>
              <w:right w:val="single" w:sz="12" w:space="0" w:color="auto"/>
            </w:tcBorders>
          </w:tcPr>
          <w:p w14:paraId="2E2CB9B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37FF0238" w14:textId="337713B5" w:rsidR="00850A3D" w:rsidRPr="0029105C" w:rsidRDefault="00487F9F" w:rsidP="00B77A42">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B77A42">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tc>
        <w:tc>
          <w:tcPr>
            <w:tcW w:w="900" w:type="dxa"/>
            <w:tcBorders>
              <w:top w:val="single" w:sz="4" w:space="0" w:color="auto"/>
              <w:left w:val="single" w:sz="4" w:space="0" w:color="auto"/>
              <w:bottom w:val="single" w:sz="4" w:space="0" w:color="auto"/>
              <w:right w:val="single" w:sz="4" w:space="0" w:color="auto"/>
            </w:tcBorders>
          </w:tcPr>
          <w:p w14:paraId="6CEDE0D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w:t>
            </w:r>
          </w:p>
          <w:p w14:paraId="1C5B8DA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 12</w:t>
            </w:r>
          </w:p>
        </w:tc>
        <w:tc>
          <w:tcPr>
            <w:tcW w:w="4540" w:type="dxa"/>
            <w:tcBorders>
              <w:top w:val="single" w:sz="4" w:space="0" w:color="auto"/>
              <w:left w:val="single" w:sz="4" w:space="0" w:color="auto"/>
              <w:bottom w:val="single" w:sz="4" w:space="0" w:color="auto"/>
              <w:right w:val="single" w:sz="4" w:space="0" w:color="auto"/>
            </w:tcBorders>
          </w:tcPr>
          <w:p w14:paraId="4DAABF00" w14:textId="77777777" w:rsidR="00B77A42" w:rsidRDefault="00B77A42" w:rsidP="00B77A42">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14 Pôsobnosť ministerstva</w:t>
            </w:r>
          </w:p>
          <w:p w14:paraId="7C0E2CC2" w14:textId="48E2BF7F" w:rsidR="00850A3D" w:rsidRPr="0029105C" w:rsidRDefault="00487F9F"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(12)</w:t>
            </w:r>
            <w:r w:rsidR="00E1385B">
              <w:rPr>
                <w:rFonts w:ascii="Times New Roman" w:eastAsia="Times New Roman" w:hAnsi="Times New Roman" w:cs="Times New Roman"/>
                <w:color w:val="000000" w:themeColor="text1"/>
                <w:sz w:val="20"/>
                <w:szCs w:val="20"/>
                <w:lang w:eastAsia="sk-SK"/>
              </w:rPr>
              <w:t xml:space="preserve"> </w:t>
            </w:r>
            <w:r w:rsidR="00E1385B" w:rsidRPr="00E1385B">
              <w:rPr>
                <w:rFonts w:ascii="Times New Roman" w:eastAsia="Times New Roman" w:hAnsi="Times New Roman" w:cs="Times New Roman"/>
                <w:color w:val="000000" w:themeColor="text1"/>
                <w:sz w:val="20"/>
                <w:szCs w:val="20"/>
                <w:lang w:eastAsia="sk-SK"/>
              </w:rPr>
              <w:t>Ministerstvo alebo organizácia určená ministerstvom na svojom webovom sídle zverejní informácie o nákladovo efektívnych opatreniach a finančných nástrojoch na zlepšenie využívania energie z obnoviteľných zdrojov na výrobu tepla. Štátne orgány, orgány územnej samosprávy, orgány záujmovej samosprávy, iné orgány verejnej moci a iné osoby sú povinné na požiadanie ministerstvu poskytnúť súčinnosť a predložiť informácie a údaje na účel splnenia povinnosti podľa prvej vety.</w:t>
            </w:r>
          </w:p>
        </w:tc>
        <w:tc>
          <w:tcPr>
            <w:tcW w:w="849" w:type="dxa"/>
            <w:tcBorders>
              <w:top w:val="single" w:sz="4" w:space="0" w:color="auto"/>
              <w:left w:val="single" w:sz="4" w:space="0" w:color="auto"/>
              <w:bottom w:val="single" w:sz="4" w:space="0" w:color="auto"/>
              <w:right w:val="single" w:sz="4" w:space="0" w:color="auto"/>
            </w:tcBorders>
          </w:tcPr>
          <w:p w14:paraId="2ECF9B6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6537F28F"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4FD00432"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6DFB9E20"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05E98104" w14:textId="77777777" w:rsidTr="00402EF0">
        <w:tc>
          <w:tcPr>
            <w:tcW w:w="1005" w:type="dxa"/>
            <w:tcBorders>
              <w:top w:val="single" w:sz="4" w:space="0" w:color="auto"/>
              <w:left w:val="single" w:sz="12" w:space="0" w:color="auto"/>
              <w:bottom w:val="single" w:sz="4" w:space="0" w:color="auto"/>
              <w:right w:val="single" w:sz="4" w:space="0" w:color="auto"/>
            </w:tcBorders>
          </w:tcPr>
          <w:p w14:paraId="48224F8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061434E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O:14</w:t>
            </w:r>
          </w:p>
          <w:p w14:paraId="5C387C8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P:a</w:t>
            </w:r>
          </w:p>
        </w:tc>
        <w:tc>
          <w:tcPr>
            <w:tcW w:w="3421" w:type="dxa"/>
            <w:tcBorders>
              <w:top w:val="single" w:sz="4" w:space="0" w:color="auto"/>
              <w:left w:val="single" w:sz="4" w:space="0" w:color="auto"/>
              <w:bottom w:val="single" w:sz="4" w:space="0" w:color="auto"/>
              <w:right w:val="single" w:sz="4" w:space="0" w:color="auto"/>
            </w:tcBorders>
          </w:tcPr>
          <w:p w14:paraId="7E418B86" w14:textId="7CAA0B78" w:rsidR="0017014A" w:rsidRDefault="0020537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14. </w:t>
            </w:r>
            <w:r w:rsidR="0017014A" w:rsidRPr="0017014A">
              <w:rPr>
                <w:rFonts w:ascii="Times New Roman" w:eastAsia="Times New Roman" w:hAnsi="Times New Roman" w:cs="Times New Roman"/>
                <w:color w:val="000000" w:themeColor="text1"/>
                <w:sz w:val="20"/>
                <w:szCs w:val="20"/>
                <w:lang w:eastAsia="sk-SK"/>
              </w:rPr>
              <w:t>Článok 24 sa mení takto:</w:t>
            </w:r>
          </w:p>
          <w:p w14:paraId="7B9FC230" w14:textId="27666FB5" w:rsidR="0017014A" w:rsidRDefault="0017014A"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17014A">
              <w:rPr>
                <w:rFonts w:ascii="Times New Roman" w:eastAsia="Times New Roman" w:hAnsi="Times New Roman" w:cs="Times New Roman"/>
                <w:color w:val="000000" w:themeColor="text1"/>
                <w:sz w:val="20"/>
                <w:szCs w:val="20"/>
                <w:lang w:eastAsia="sk-SK"/>
              </w:rPr>
              <w:t>a) Odsek 1 sa nahrádza takto:</w:t>
            </w:r>
          </w:p>
          <w:p w14:paraId="3476FF17" w14:textId="221AEEA2"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Členské štáty zabezpečia, aby sa koncovým odberateľom poskytovali informácie o energetickej hospodárnosti a podiele energie z obnoviteľných zdrojov v ich systémoch diaľkového vykurovania a chladenia ľahko prístupným spôsobom, ako napríklad na ročnom vyúčtovaní, na webových sídlach dodávateľov alebo na požiadanie. Údaje o podiele energie z obnoviteľných zdrojov sa vyjadruje aspoň ako percentuálny podiel hrubej konečnej energetickej spotreby na vykurovanie a chladenie pripísané odberateľovi v danom systéme diaľkového vykurovania a chladenia vrátane údajov o tom, koľko energie sa spotrebovalo na dodanie jednotky vykurovania odberateľovi alebo koncovému používateľovi.</w:t>
            </w:r>
          </w:p>
        </w:tc>
        <w:tc>
          <w:tcPr>
            <w:tcW w:w="794" w:type="dxa"/>
            <w:tcBorders>
              <w:top w:val="single" w:sz="4" w:space="0" w:color="auto"/>
              <w:left w:val="single" w:sz="4" w:space="0" w:color="auto"/>
              <w:bottom w:val="single" w:sz="4" w:space="0" w:color="auto"/>
              <w:right w:val="single" w:sz="12" w:space="0" w:color="auto"/>
            </w:tcBorders>
          </w:tcPr>
          <w:p w14:paraId="70DF9E56" w14:textId="7337BD61" w:rsidR="00850A3D" w:rsidRPr="0029105C" w:rsidRDefault="0055623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6FFA338B" w14:textId="4549C57B" w:rsidR="00850A3D"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B77A42">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p w14:paraId="283FBF06"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79CA0B"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E5104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1EE9C1"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557CBE"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F3D06A"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D02244" w14:textId="68327EE9"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3B9100" w14:textId="77777777" w:rsidR="00B77A42" w:rsidRDefault="00B77A4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7FEB06" w14:textId="77777777" w:rsidR="00F7394D" w:rsidRDefault="00F7394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A815C2" w14:textId="5DA49603" w:rsidR="00487F9F" w:rsidRPr="0029105C"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3. </w:t>
            </w:r>
          </w:p>
        </w:tc>
        <w:tc>
          <w:tcPr>
            <w:tcW w:w="900" w:type="dxa"/>
            <w:tcBorders>
              <w:top w:val="single" w:sz="4" w:space="0" w:color="auto"/>
              <w:left w:val="single" w:sz="4" w:space="0" w:color="auto"/>
              <w:bottom w:val="single" w:sz="4" w:space="0" w:color="auto"/>
              <w:right w:val="single" w:sz="4" w:space="0" w:color="auto"/>
            </w:tcBorders>
          </w:tcPr>
          <w:p w14:paraId="1229E986" w14:textId="0AF18490" w:rsidR="000C238B" w:rsidRDefault="000C238B"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14</w:t>
            </w:r>
          </w:p>
          <w:p w14:paraId="6E77503E" w14:textId="290C10B6" w:rsidR="000C238B" w:rsidRDefault="000C238B"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12</w:t>
            </w:r>
          </w:p>
          <w:p w14:paraId="4EE9ED42" w14:textId="7F3FE054" w:rsidR="000C238B" w:rsidRDefault="000C238B"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8DF12C" w14:textId="706A0C28" w:rsidR="000C238B" w:rsidRDefault="000C238B"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615F4E" w14:textId="45920814" w:rsidR="000C238B" w:rsidRDefault="000C238B"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4CD1D1" w14:textId="3419FDA4" w:rsidR="000C238B" w:rsidRDefault="000C238B"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2457B0" w14:textId="6144F658" w:rsidR="000C238B" w:rsidRDefault="000C238B"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AB6E07" w14:textId="77777777" w:rsidR="000C238B" w:rsidRDefault="000C238B"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9AF20D" w14:textId="7ACA2288" w:rsidR="000C238B" w:rsidRDefault="000C238B"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9BB577" w14:textId="6B8D6C05" w:rsidR="00B77A42" w:rsidRDefault="00B77A4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75FB32" w14:textId="77777777" w:rsidR="00B77A42" w:rsidRDefault="00B77A4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FB0FB9" w14:textId="77777777" w:rsidR="000C238B" w:rsidRDefault="000C238B"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F77B08" w14:textId="53EC440A"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 </w:t>
            </w:r>
            <w:r>
              <w:rPr>
                <w:rFonts w:ascii="Times New Roman" w:eastAsia="Times New Roman" w:hAnsi="Times New Roman" w:cs="Times New Roman"/>
                <w:color w:val="000000" w:themeColor="text1"/>
                <w:sz w:val="20"/>
                <w:szCs w:val="20"/>
                <w:lang w:eastAsia="sk-SK"/>
              </w:rPr>
              <w:t>15</w:t>
            </w:r>
          </w:p>
          <w:p w14:paraId="6BCA8091"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76300E3B" w14:textId="0436BB2A"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d)</w:t>
            </w:r>
          </w:p>
        </w:tc>
        <w:tc>
          <w:tcPr>
            <w:tcW w:w="4540" w:type="dxa"/>
            <w:tcBorders>
              <w:top w:val="single" w:sz="4" w:space="0" w:color="auto"/>
              <w:left w:val="single" w:sz="4" w:space="0" w:color="auto"/>
              <w:bottom w:val="single" w:sz="4" w:space="0" w:color="auto"/>
              <w:right w:val="single" w:sz="4" w:space="0" w:color="auto"/>
            </w:tcBorders>
          </w:tcPr>
          <w:p w14:paraId="6E869F02" w14:textId="77777777" w:rsidR="00B77A42" w:rsidRDefault="00B77A42" w:rsidP="00B77A42">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14 Pôsobnosť ministerstva</w:t>
            </w:r>
          </w:p>
          <w:p w14:paraId="7B6BDE98" w14:textId="2CDD76ED" w:rsidR="000C238B" w:rsidRDefault="000C238B" w:rsidP="00556236">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C238B">
              <w:rPr>
                <w:rFonts w:ascii="Times New Roman" w:eastAsia="Times New Roman" w:hAnsi="Times New Roman" w:cs="Times New Roman"/>
                <w:color w:val="000000" w:themeColor="text1"/>
                <w:sz w:val="20"/>
                <w:szCs w:val="20"/>
                <w:lang w:eastAsia="sk-SK"/>
              </w:rPr>
              <w:t>(12)</w:t>
            </w:r>
            <w:r w:rsidR="008176AF">
              <w:rPr>
                <w:rFonts w:ascii="Times New Roman" w:eastAsia="Times New Roman" w:hAnsi="Times New Roman" w:cs="Times New Roman"/>
                <w:color w:val="000000" w:themeColor="text1"/>
                <w:sz w:val="20"/>
                <w:szCs w:val="20"/>
                <w:lang w:eastAsia="sk-SK"/>
              </w:rPr>
              <w:t xml:space="preserve"> </w:t>
            </w:r>
            <w:r w:rsidR="00E1385B" w:rsidRPr="00E1385B">
              <w:rPr>
                <w:rFonts w:ascii="Times New Roman" w:eastAsia="Times New Roman" w:hAnsi="Times New Roman" w:cs="Times New Roman"/>
                <w:color w:val="000000" w:themeColor="text1"/>
                <w:sz w:val="20"/>
                <w:szCs w:val="20"/>
                <w:lang w:eastAsia="sk-SK"/>
              </w:rPr>
              <w:t>Ministerstvo alebo organizácia určená ministerstvom na svojom webovom sídle zverejní informácie o nákladovo efektívnych opatreniach a finančných nástrojoch na zlepšenie využívania energie z obnoviteľných zdrojov na výrobu tepla. Štátne orgány, orgány územnej samosprávy, orgány záujmovej samosprávy, iné orgány verejnej moci a iné osoby sú povinné na požiadanie ministerstvu poskytnúť súčinnosť a predložiť informácie a údaje na účel splnenia povinnosti podľa prvej vety.</w:t>
            </w:r>
          </w:p>
          <w:p w14:paraId="732F3AB3" w14:textId="7162F533" w:rsidR="000C238B" w:rsidRDefault="000C238B" w:rsidP="00556236">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C65AC9F" w14:textId="4599783F" w:rsidR="009F5089" w:rsidRPr="00556236" w:rsidRDefault="009F5089" w:rsidP="00556236">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9F5089">
              <w:rPr>
                <w:rFonts w:ascii="Times New Roman" w:eastAsia="Times New Roman" w:hAnsi="Times New Roman" w:cs="Times New Roman"/>
                <w:color w:val="000000" w:themeColor="text1"/>
                <w:sz w:val="20"/>
                <w:szCs w:val="20"/>
                <w:lang w:eastAsia="sk-SK"/>
              </w:rPr>
              <w:t>(1) Výrobca a dodávateľ sú povinní</w:t>
            </w:r>
          </w:p>
          <w:p w14:paraId="21A4E7CD" w14:textId="464B15A6" w:rsidR="00850A3D" w:rsidRPr="0029105C" w:rsidRDefault="00556236" w:rsidP="00556236">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556236">
              <w:rPr>
                <w:rFonts w:ascii="Times New Roman" w:eastAsia="Times New Roman" w:hAnsi="Times New Roman" w:cs="Times New Roman"/>
                <w:color w:val="000000" w:themeColor="text1"/>
                <w:sz w:val="20"/>
                <w:szCs w:val="20"/>
                <w:lang w:eastAsia="sk-SK"/>
              </w:rPr>
              <w:t>sprístupniť a pri významnej zmene aktualizovať na svojom webovom sídle informácie o energetickej hospodárnosti a podiele obnoviteľných zdrojov energie vo vykurovaní a</w:t>
            </w:r>
            <w:r>
              <w:rPr>
                <w:rFonts w:ascii="Times New Roman" w:eastAsia="Times New Roman" w:hAnsi="Times New Roman" w:cs="Times New Roman"/>
                <w:color w:val="000000" w:themeColor="text1"/>
                <w:sz w:val="20"/>
                <w:szCs w:val="20"/>
                <w:lang w:eastAsia="sk-SK"/>
              </w:rPr>
              <w:t> </w:t>
            </w:r>
            <w:r w:rsidRPr="00556236">
              <w:rPr>
                <w:rFonts w:ascii="Times New Roman" w:eastAsia="Times New Roman" w:hAnsi="Times New Roman" w:cs="Times New Roman"/>
                <w:color w:val="000000" w:themeColor="text1"/>
                <w:sz w:val="20"/>
                <w:szCs w:val="20"/>
                <w:lang w:eastAsia="sk-SK"/>
              </w:rPr>
              <w:t>chladení</w:t>
            </w:r>
            <w:r>
              <w:rPr>
                <w:rFonts w:ascii="Times New Roman" w:eastAsia="Times New Roman" w:hAnsi="Times New Roman" w:cs="Times New Roman"/>
                <w:color w:val="000000" w:themeColor="text1"/>
                <w:sz w:val="20"/>
                <w:szCs w:val="20"/>
                <w:lang w:eastAsia="sk-SK"/>
              </w:rPr>
              <w:t xml:space="preserve">; </w:t>
            </w:r>
            <w:r w:rsidR="00850A3D" w:rsidRPr="00C84083">
              <w:rPr>
                <w:rFonts w:ascii="Times New Roman" w:eastAsia="Times New Roman" w:hAnsi="Times New Roman" w:cs="Times New Roman"/>
                <w:color w:val="000000" w:themeColor="text1"/>
                <w:sz w:val="20"/>
                <w:szCs w:val="20"/>
                <w:lang w:eastAsia="sk-SK"/>
              </w:rPr>
              <w:t>údaje o podiele energie z obnoviteľných zdrojov energie sa vyjadrujú aspoň ako percentuálny podiel hrubej konečnej spotreby na vykurovanie a chladenie pripísané odberateľovi v príslušnom centralizovanom zásobovaní teplom vrátane údajov o tom, koľko energie sa spotrebovalo na doda</w:t>
            </w:r>
            <w:r w:rsidR="00850A3D">
              <w:rPr>
                <w:rFonts w:ascii="Times New Roman" w:eastAsia="Times New Roman" w:hAnsi="Times New Roman" w:cs="Times New Roman"/>
                <w:color w:val="000000" w:themeColor="text1"/>
                <w:sz w:val="20"/>
                <w:szCs w:val="20"/>
                <w:lang w:eastAsia="sk-SK"/>
              </w:rPr>
              <w:t>nie jednotky tepla odberateľovi</w:t>
            </w:r>
          </w:p>
        </w:tc>
        <w:tc>
          <w:tcPr>
            <w:tcW w:w="849" w:type="dxa"/>
            <w:tcBorders>
              <w:top w:val="single" w:sz="4" w:space="0" w:color="auto"/>
              <w:left w:val="single" w:sz="4" w:space="0" w:color="auto"/>
              <w:bottom w:val="single" w:sz="4" w:space="0" w:color="auto"/>
              <w:right w:val="single" w:sz="4" w:space="0" w:color="auto"/>
            </w:tcBorders>
          </w:tcPr>
          <w:p w14:paraId="6DF59E5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44E871BC"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4E360122"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144A5D23"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005F0DDB" w14:textId="77777777" w:rsidTr="00402EF0">
        <w:tc>
          <w:tcPr>
            <w:tcW w:w="1005" w:type="dxa"/>
            <w:tcBorders>
              <w:top w:val="single" w:sz="4" w:space="0" w:color="auto"/>
              <w:left w:val="single" w:sz="12" w:space="0" w:color="auto"/>
              <w:bottom w:val="single" w:sz="4" w:space="0" w:color="auto"/>
              <w:right w:val="single" w:sz="4" w:space="0" w:color="auto"/>
            </w:tcBorders>
          </w:tcPr>
          <w:p w14:paraId="6390895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3A93EFD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O:14</w:t>
            </w:r>
          </w:p>
          <w:p w14:paraId="05EDB86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P:b</w:t>
            </w:r>
          </w:p>
        </w:tc>
        <w:tc>
          <w:tcPr>
            <w:tcW w:w="3421" w:type="dxa"/>
            <w:tcBorders>
              <w:top w:val="single" w:sz="4" w:space="0" w:color="auto"/>
              <w:left w:val="single" w:sz="4" w:space="0" w:color="auto"/>
              <w:bottom w:val="single" w:sz="4" w:space="0" w:color="auto"/>
              <w:right w:val="single" w:sz="4" w:space="0" w:color="auto"/>
            </w:tcBorders>
          </w:tcPr>
          <w:p w14:paraId="4CF1F8D9" w14:textId="204092E1" w:rsidR="0017014A" w:rsidRDefault="0020537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14. </w:t>
            </w:r>
            <w:r w:rsidR="0017014A" w:rsidRPr="0017014A">
              <w:rPr>
                <w:rFonts w:ascii="Times New Roman" w:eastAsia="Times New Roman" w:hAnsi="Times New Roman" w:cs="Times New Roman"/>
                <w:color w:val="000000" w:themeColor="text1"/>
                <w:sz w:val="20"/>
                <w:szCs w:val="20"/>
                <w:lang w:eastAsia="sk-SK"/>
              </w:rPr>
              <w:t>Článok 24 sa mení takto:</w:t>
            </w:r>
          </w:p>
          <w:p w14:paraId="2AA1655E" w14:textId="49F2D46A" w:rsidR="0017014A" w:rsidRDefault="0017014A"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17014A">
              <w:rPr>
                <w:rFonts w:ascii="Times New Roman" w:eastAsia="Times New Roman" w:hAnsi="Times New Roman" w:cs="Times New Roman"/>
                <w:color w:val="000000" w:themeColor="text1"/>
                <w:sz w:val="20"/>
                <w:szCs w:val="20"/>
                <w:lang w:eastAsia="sk-SK"/>
              </w:rPr>
              <w:t>b) Odseky 4, 5 a 6 sa nahrádzajú takto:</w:t>
            </w:r>
          </w:p>
          <w:p w14:paraId="77D9B7B9" w14:textId="077FCD41"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Členské štáty zabezpečia, aby prevádzkovatelia systémov diaľkového </w:t>
            </w:r>
            <w:r w:rsidRPr="0029105C">
              <w:rPr>
                <w:rFonts w:ascii="Times New Roman" w:eastAsia="Times New Roman" w:hAnsi="Times New Roman" w:cs="Times New Roman"/>
                <w:color w:val="000000" w:themeColor="text1"/>
                <w:sz w:val="20"/>
                <w:szCs w:val="20"/>
                <w:lang w:eastAsia="sk-SK"/>
              </w:rPr>
              <w:lastRenderedPageBreak/>
              <w:t xml:space="preserve">vykurovania alebo chladenia s výkonom nad 25 </w:t>
            </w:r>
            <w:proofErr w:type="spellStart"/>
            <w:r w:rsidRPr="0029105C">
              <w:rPr>
                <w:rFonts w:ascii="Times New Roman" w:eastAsia="Times New Roman" w:hAnsi="Times New Roman" w:cs="Times New Roman"/>
                <w:color w:val="000000" w:themeColor="text1"/>
                <w:sz w:val="20"/>
                <w:szCs w:val="20"/>
                <w:lang w:eastAsia="sk-SK"/>
              </w:rPr>
              <w:t>MWth</w:t>
            </w:r>
            <w:proofErr w:type="spellEnd"/>
            <w:r w:rsidRPr="0029105C">
              <w:rPr>
                <w:rFonts w:ascii="Times New Roman" w:eastAsia="Times New Roman" w:hAnsi="Times New Roman" w:cs="Times New Roman"/>
                <w:color w:val="000000" w:themeColor="text1"/>
                <w:sz w:val="20"/>
                <w:szCs w:val="20"/>
                <w:lang w:eastAsia="sk-SK"/>
              </w:rPr>
              <w:t xml:space="preserve"> boli nabádaní pripájať dodávateľov energie z obnoviteľných zdrojov a z odpadového tepla a chladu, ktorí sú tretími stranami, alebo aby boli nabádaní ponúkať pripojenie dodávateľov, ktorí sú tretími stranami, a nákup od nich, pokiaľ ide o teplo alebo chlad z obnoviteľných zdrojov a z odpadového tepla a chladu, na základe nediskriminačných kritérií stanovených príslušným orgánom dotknutého členského štátu, keď takíto prevádzkovatelia musia vykonať jeden alebo viaceré z týchto úkonov: a) uspokojiť dopyt nových odberateľov; b) nahradiť existujúcu kapacitu na výrobu tepla alebo chladu; c) rozšíriť existujúcu kapacitu na výrobu tepla alebo chladu.</w:t>
            </w:r>
          </w:p>
        </w:tc>
        <w:tc>
          <w:tcPr>
            <w:tcW w:w="794" w:type="dxa"/>
            <w:tcBorders>
              <w:top w:val="single" w:sz="4" w:space="0" w:color="auto"/>
              <w:left w:val="single" w:sz="4" w:space="0" w:color="auto"/>
              <w:bottom w:val="single" w:sz="4" w:space="0" w:color="auto"/>
              <w:right w:val="single" w:sz="12" w:space="0" w:color="auto"/>
            </w:tcBorders>
          </w:tcPr>
          <w:p w14:paraId="738610EB" w14:textId="3C691957" w:rsidR="00850A3D" w:rsidRPr="0029105C" w:rsidRDefault="0055623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w:t>
            </w:r>
          </w:p>
        </w:tc>
        <w:tc>
          <w:tcPr>
            <w:tcW w:w="1080" w:type="dxa"/>
            <w:tcBorders>
              <w:top w:val="single" w:sz="4" w:space="0" w:color="auto"/>
              <w:left w:val="nil"/>
              <w:bottom w:val="single" w:sz="4" w:space="0" w:color="auto"/>
              <w:right w:val="single" w:sz="4" w:space="0" w:color="auto"/>
            </w:tcBorders>
          </w:tcPr>
          <w:p w14:paraId="648AA4B4" w14:textId="1E4841B6" w:rsidR="00850A3D" w:rsidRPr="0029105C"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657/2004</w:t>
            </w:r>
          </w:p>
        </w:tc>
        <w:tc>
          <w:tcPr>
            <w:tcW w:w="900" w:type="dxa"/>
            <w:tcBorders>
              <w:top w:val="single" w:sz="4" w:space="0" w:color="auto"/>
              <w:left w:val="single" w:sz="4" w:space="0" w:color="auto"/>
              <w:bottom w:val="single" w:sz="4" w:space="0" w:color="auto"/>
              <w:right w:val="single" w:sz="4" w:space="0" w:color="auto"/>
            </w:tcBorders>
          </w:tcPr>
          <w:p w14:paraId="4D47209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21</w:t>
            </w:r>
          </w:p>
          <w:p w14:paraId="02D1DFD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O:4</w:t>
            </w:r>
          </w:p>
        </w:tc>
        <w:tc>
          <w:tcPr>
            <w:tcW w:w="4540" w:type="dxa"/>
            <w:tcBorders>
              <w:top w:val="single" w:sz="4" w:space="0" w:color="auto"/>
              <w:left w:val="single" w:sz="4" w:space="0" w:color="auto"/>
              <w:bottom w:val="single" w:sz="4" w:space="0" w:color="auto"/>
              <w:right w:val="single" w:sz="4" w:space="0" w:color="auto"/>
            </w:tcBorders>
          </w:tcPr>
          <w:p w14:paraId="067B3C3C" w14:textId="55AB9866" w:rsidR="00850A3D" w:rsidRPr="00C84083"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84083">
              <w:rPr>
                <w:rFonts w:ascii="Times New Roman" w:eastAsia="Times New Roman" w:hAnsi="Times New Roman" w:cs="Times New Roman"/>
                <w:color w:val="000000" w:themeColor="text1"/>
                <w:sz w:val="20"/>
                <w:szCs w:val="20"/>
                <w:lang w:eastAsia="sk-SK"/>
              </w:rPr>
              <w:t xml:space="preserve">Ak je to technicky možné, je prevádzkovateľ systému centralizovaného zásobovania teplom s prepravným výkonom systému vyšším ako 25 MW povinný pripojiť do systému centralizovaného zásobovania teplom a </w:t>
            </w:r>
            <w:r w:rsidRPr="00C84083">
              <w:rPr>
                <w:rFonts w:ascii="Times New Roman" w:eastAsia="Times New Roman" w:hAnsi="Times New Roman" w:cs="Times New Roman"/>
                <w:color w:val="000000" w:themeColor="text1"/>
                <w:sz w:val="20"/>
                <w:szCs w:val="20"/>
                <w:lang w:eastAsia="sk-SK"/>
              </w:rPr>
              <w:lastRenderedPageBreak/>
              <w:t xml:space="preserve">odoberať teplo od držiteľa povolenia na výrobu tepla, ktorý vyrába teplo  z obnoviteľných zdrojov tepla alebo odpadné teplo, ak  </w:t>
            </w:r>
          </w:p>
          <w:p w14:paraId="40C28FEE" w14:textId="77777777" w:rsidR="00850A3D" w:rsidRPr="00C84083"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84083">
              <w:rPr>
                <w:rFonts w:ascii="Times New Roman" w:eastAsia="Times New Roman" w:hAnsi="Times New Roman" w:cs="Times New Roman"/>
                <w:color w:val="000000" w:themeColor="text1"/>
                <w:sz w:val="20"/>
                <w:szCs w:val="20"/>
                <w:lang w:eastAsia="sk-SK"/>
              </w:rPr>
              <w:t xml:space="preserve">a) je nevyhnutné uspokojiť dopyt po teple do novo pripájajúcich objektov odberu tepla, </w:t>
            </w:r>
          </w:p>
          <w:p w14:paraId="031877E7" w14:textId="77777777" w:rsidR="00850A3D" w:rsidRPr="00C84083"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84083">
              <w:rPr>
                <w:rFonts w:ascii="Times New Roman" w:eastAsia="Times New Roman" w:hAnsi="Times New Roman" w:cs="Times New Roman"/>
                <w:color w:val="000000" w:themeColor="text1"/>
                <w:sz w:val="20"/>
                <w:szCs w:val="20"/>
                <w:lang w:eastAsia="sk-SK"/>
              </w:rPr>
              <w:t xml:space="preserve">b) má dôjsť k nahradeniu doterajšieho zdroja tepla alebo  zdrojov tepla v centralizovanom zásobovania teplom alebo, </w:t>
            </w:r>
          </w:p>
          <w:p w14:paraId="1AFCA9A8" w14:textId="7FAD2F19"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84083">
              <w:rPr>
                <w:rFonts w:ascii="Times New Roman" w:eastAsia="Times New Roman" w:hAnsi="Times New Roman" w:cs="Times New Roman"/>
                <w:color w:val="000000" w:themeColor="text1"/>
                <w:sz w:val="20"/>
                <w:szCs w:val="20"/>
                <w:lang w:eastAsia="sk-SK"/>
              </w:rPr>
              <w:t>c)</w:t>
            </w:r>
            <w:r>
              <w:rPr>
                <w:rFonts w:ascii="Times New Roman" w:eastAsia="Times New Roman" w:hAnsi="Times New Roman" w:cs="Times New Roman"/>
                <w:color w:val="000000" w:themeColor="text1"/>
                <w:sz w:val="20"/>
                <w:szCs w:val="20"/>
                <w:lang w:eastAsia="sk-SK"/>
              </w:rPr>
              <w:t xml:space="preserve"> </w:t>
            </w:r>
            <w:r w:rsidRPr="00C84083">
              <w:rPr>
                <w:rFonts w:ascii="Times New Roman" w:eastAsia="Times New Roman" w:hAnsi="Times New Roman" w:cs="Times New Roman"/>
                <w:color w:val="000000" w:themeColor="text1"/>
                <w:sz w:val="20"/>
                <w:szCs w:val="20"/>
                <w:lang w:eastAsia="sk-SK"/>
              </w:rPr>
              <w:t>ak by na uspokojenie dopytu po teple bolo nevyhnutné inštalovať ďalší zdroj alebo zdroje tepla v centralizovanom zásobovaní teplom.“.</w:t>
            </w:r>
          </w:p>
        </w:tc>
        <w:tc>
          <w:tcPr>
            <w:tcW w:w="849" w:type="dxa"/>
            <w:tcBorders>
              <w:top w:val="single" w:sz="4" w:space="0" w:color="auto"/>
              <w:left w:val="single" w:sz="4" w:space="0" w:color="auto"/>
              <w:bottom w:val="single" w:sz="4" w:space="0" w:color="auto"/>
              <w:right w:val="single" w:sz="4" w:space="0" w:color="auto"/>
            </w:tcBorders>
          </w:tcPr>
          <w:p w14:paraId="03543FE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Ú</w:t>
            </w:r>
          </w:p>
        </w:tc>
        <w:tc>
          <w:tcPr>
            <w:tcW w:w="1360" w:type="dxa"/>
            <w:tcBorders>
              <w:top w:val="single" w:sz="4" w:space="0" w:color="auto"/>
              <w:left w:val="single" w:sz="4" w:space="0" w:color="auto"/>
              <w:bottom w:val="single" w:sz="4" w:space="0" w:color="auto"/>
              <w:right w:val="single" w:sz="4" w:space="0" w:color="auto"/>
            </w:tcBorders>
          </w:tcPr>
          <w:p w14:paraId="0A4FB6ED" w14:textId="550DACFF" w:rsidR="00895E4C" w:rsidRPr="00895E4C" w:rsidRDefault="00895E4C" w:rsidP="00895E4C">
            <w:pPr>
              <w:pStyle w:val="Nadpis1"/>
              <w:numPr>
                <w:ilvl w:val="0"/>
                <w:numId w:val="0"/>
              </w:numPr>
              <w:jc w:val="left"/>
              <w:rPr>
                <w:rFonts w:eastAsia="Times New Roman"/>
                <w:b w:val="0"/>
                <w:color w:val="000000" w:themeColor="text1"/>
                <w:sz w:val="20"/>
              </w:rPr>
            </w:pPr>
            <w:r w:rsidRPr="00895E4C">
              <w:rPr>
                <w:rFonts w:eastAsia="Times New Roman"/>
                <w:b w:val="0"/>
                <w:color w:val="000000" w:themeColor="text1"/>
                <w:sz w:val="20"/>
              </w:rPr>
              <w:t>V §</w:t>
            </w:r>
            <w:r w:rsidR="00487F9F">
              <w:rPr>
                <w:rFonts w:eastAsia="Times New Roman"/>
                <w:b w:val="0"/>
                <w:color w:val="000000" w:themeColor="text1"/>
                <w:sz w:val="20"/>
              </w:rPr>
              <w:t xml:space="preserve"> </w:t>
            </w:r>
            <w:r w:rsidRPr="00895E4C">
              <w:rPr>
                <w:rFonts w:eastAsia="Times New Roman"/>
                <w:b w:val="0"/>
                <w:color w:val="000000" w:themeColor="text1"/>
                <w:sz w:val="20"/>
              </w:rPr>
              <w:t xml:space="preserve">2 písm. a) </w:t>
            </w:r>
            <w:r>
              <w:rPr>
                <w:rFonts w:eastAsia="Times New Roman"/>
                <w:b w:val="0"/>
                <w:color w:val="000000" w:themeColor="text1"/>
                <w:sz w:val="20"/>
              </w:rPr>
              <w:t xml:space="preserve">zákona č. 657/2004 Z. z. sa uvádza </w:t>
            </w:r>
            <w:r w:rsidRPr="00895E4C">
              <w:rPr>
                <w:rFonts w:eastAsia="Times New Roman"/>
                <w:b w:val="0"/>
                <w:color w:val="000000" w:themeColor="text1"/>
                <w:sz w:val="20"/>
              </w:rPr>
              <w:t xml:space="preserve"> </w:t>
            </w:r>
            <w:r w:rsidRPr="00895E4C">
              <w:rPr>
                <w:rFonts w:eastAsia="Times New Roman"/>
                <w:b w:val="0"/>
                <w:color w:val="000000" w:themeColor="text1"/>
                <w:sz w:val="20"/>
              </w:rPr>
              <w:lastRenderedPageBreak/>
              <w:t>chlad a teda sa vzťahuje na všetky ustanovenia zákona o teple, aj keď tam nie je explicitne napísaný tento pojem.</w:t>
            </w:r>
          </w:p>
          <w:p w14:paraId="637805D2"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67F78AE2"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GP-N</w:t>
            </w:r>
          </w:p>
        </w:tc>
        <w:tc>
          <w:tcPr>
            <w:tcW w:w="1360" w:type="dxa"/>
            <w:tcBorders>
              <w:top w:val="single" w:sz="4" w:space="0" w:color="auto"/>
              <w:left w:val="single" w:sz="4" w:space="0" w:color="auto"/>
              <w:bottom w:val="single" w:sz="4" w:space="0" w:color="auto"/>
              <w:right w:val="single" w:sz="4" w:space="0" w:color="auto"/>
            </w:tcBorders>
          </w:tcPr>
          <w:p w14:paraId="463F29E8"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5DA8EF04" w14:textId="77777777" w:rsidTr="00402EF0">
        <w:tc>
          <w:tcPr>
            <w:tcW w:w="1005" w:type="dxa"/>
            <w:tcBorders>
              <w:top w:val="single" w:sz="4" w:space="0" w:color="auto"/>
              <w:left w:val="single" w:sz="12" w:space="0" w:color="auto"/>
              <w:bottom w:val="single" w:sz="4" w:space="0" w:color="auto"/>
              <w:right w:val="single" w:sz="4" w:space="0" w:color="auto"/>
            </w:tcBorders>
          </w:tcPr>
          <w:p w14:paraId="1154E18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1D526B4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O:14</w:t>
            </w:r>
          </w:p>
          <w:p w14:paraId="4BD95DC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P:b</w:t>
            </w:r>
          </w:p>
        </w:tc>
        <w:tc>
          <w:tcPr>
            <w:tcW w:w="3421" w:type="dxa"/>
            <w:tcBorders>
              <w:top w:val="single" w:sz="4" w:space="0" w:color="auto"/>
              <w:left w:val="single" w:sz="4" w:space="0" w:color="auto"/>
              <w:bottom w:val="single" w:sz="4" w:space="0" w:color="auto"/>
              <w:right w:val="single" w:sz="4" w:space="0" w:color="auto"/>
            </w:tcBorders>
          </w:tcPr>
          <w:p w14:paraId="67C0CBD8" w14:textId="0F0D86A7" w:rsidR="0020537D" w:rsidRDefault="0020537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0537D">
              <w:rPr>
                <w:rFonts w:ascii="Times New Roman" w:eastAsia="Times New Roman" w:hAnsi="Times New Roman" w:cs="Times New Roman"/>
                <w:color w:val="000000" w:themeColor="text1"/>
                <w:sz w:val="20"/>
                <w:szCs w:val="20"/>
                <w:lang w:eastAsia="sk-SK"/>
              </w:rPr>
              <w:t>14. Článok 24 sa mení takto:</w:t>
            </w:r>
          </w:p>
          <w:p w14:paraId="4DCBDF93" w14:textId="6A12A13F" w:rsidR="0020537D" w:rsidRDefault="0020537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0537D">
              <w:rPr>
                <w:rFonts w:ascii="Times New Roman" w:eastAsia="Times New Roman" w:hAnsi="Times New Roman" w:cs="Times New Roman"/>
                <w:color w:val="000000" w:themeColor="text1"/>
                <w:sz w:val="20"/>
                <w:szCs w:val="20"/>
                <w:lang w:eastAsia="sk-SK"/>
              </w:rPr>
              <w:t>b) Odseky 4, 5 a 6 sa nahrádzajú takto:</w:t>
            </w:r>
          </w:p>
          <w:p w14:paraId="729BE96B" w14:textId="684F85C6"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Členské štáty môžu povoliť prevádzkovateľovi systému diaľkového vykurovania alebo chladenia, aby </w:t>
            </w:r>
          </w:p>
          <w:p w14:paraId="5B187DC9"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odmietol pripojiť dodávateľa, ktorý je treťou stranou, a nakupovať od neho teplo alebo chlad v ktorejkoľvek </w:t>
            </w:r>
          </w:p>
          <w:p w14:paraId="32A1E444"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z týchto situácií:</w:t>
            </w:r>
          </w:p>
          <w:p w14:paraId="11CF1214"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a) systém nemá dostatočnú kapacitu z dôvodu iných dodávok tepla alebo chladu z obnoviteľných zdrojov alebo </w:t>
            </w:r>
          </w:p>
          <w:p w14:paraId="428F9E5A"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odpadového tepla alebo chladu;</w:t>
            </w:r>
          </w:p>
          <w:p w14:paraId="13794055"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b) teplo alebo chlad od dodávateľa, ktorý je treťou stranou, nespĺňa technické parametre potrebné na pripojenie </w:t>
            </w:r>
          </w:p>
          <w:p w14:paraId="5BF7F80B"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a zabezpečenie spoľahlivého a bezpečného fungovania systému diaľkového vykurovania alebo chladenia;</w:t>
            </w:r>
          </w:p>
          <w:p w14:paraId="3989AD93"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 xml:space="preserve">c) prevádzkovateľ môže preukázať, že poskytnutie prístupu by viedlo k nadmernému zvýšeniu nákladov na teplo </w:t>
            </w:r>
          </w:p>
          <w:p w14:paraId="29A73737"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alebo chlad pre koncových odberateľov v porovnaní s nákladmi pri použití hlavných miestnych dodávok tepla </w:t>
            </w:r>
          </w:p>
          <w:p w14:paraId="5B3166A3"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alebo chladu, s ktorými by si obnoviteľné zdroje alebo odpadové teplo a chlad konkurovali;</w:t>
            </w:r>
          </w:p>
          <w:p w14:paraId="6332A9AB"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d) systém prevádzkovateľa je systémom účinného centralizovaného zásobovania teplom a chladom.</w:t>
            </w:r>
          </w:p>
          <w:p w14:paraId="71521804"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Členské štáty zabezpečia, aby v prípade, že prevádzkovateľ systému diaľkového vykurovania alebo chladenia </w:t>
            </w:r>
          </w:p>
          <w:p w14:paraId="0921A0D8"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odmietne pripojenie dodávateľa vykurovania alebo chladenia podľa prvého </w:t>
            </w:r>
            <w:proofErr w:type="spellStart"/>
            <w:r w:rsidRPr="0029105C">
              <w:rPr>
                <w:rFonts w:ascii="Times New Roman" w:eastAsia="Times New Roman" w:hAnsi="Times New Roman" w:cs="Times New Roman"/>
                <w:color w:val="000000" w:themeColor="text1"/>
                <w:sz w:val="20"/>
                <w:szCs w:val="20"/>
                <w:lang w:eastAsia="sk-SK"/>
              </w:rPr>
              <w:t>pododseku</w:t>
            </w:r>
            <w:proofErr w:type="spellEnd"/>
            <w:r w:rsidRPr="0029105C">
              <w:rPr>
                <w:rFonts w:ascii="Times New Roman" w:eastAsia="Times New Roman" w:hAnsi="Times New Roman" w:cs="Times New Roman"/>
                <w:color w:val="000000" w:themeColor="text1"/>
                <w:sz w:val="20"/>
                <w:szCs w:val="20"/>
                <w:lang w:eastAsia="sk-SK"/>
              </w:rPr>
              <w:t xml:space="preserve">, daný prevádzkovateľ </w:t>
            </w:r>
          </w:p>
          <w:p w14:paraId="0DD3A89F"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poskytol príslušnému orgánu informácie o dôvodoch zamietnutia, ako aj podmienkach, ktoré sa majú splniť, </w:t>
            </w:r>
          </w:p>
          <w:p w14:paraId="53929E43"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a o opatreniach, ktoré sa majú v systéme prijať s cieľom umožniť pripojenie. Členské štáty zabezpečia zavedenie </w:t>
            </w:r>
          </w:p>
          <w:p w14:paraId="4B302716"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primeraného procesu nápravy neopodstatnených zamietnutí.</w:t>
            </w:r>
          </w:p>
        </w:tc>
        <w:tc>
          <w:tcPr>
            <w:tcW w:w="794" w:type="dxa"/>
            <w:tcBorders>
              <w:top w:val="single" w:sz="4" w:space="0" w:color="auto"/>
              <w:left w:val="single" w:sz="4" w:space="0" w:color="auto"/>
              <w:bottom w:val="single" w:sz="4" w:space="0" w:color="auto"/>
              <w:right w:val="single" w:sz="12" w:space="0" w:color="auto"/>
            </w:tcBorders>
          </w:tcPr>
          <w:p w14:paraId="3B7B4B86" w14:textId="23EF29E2" w:rsidR="00850A3D" w:rsidRPr="0029105C" w:rsidRDefault="004F08E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D</w:t>
            </w:r>
          </w:p>
        </w:tc>
        <w:tc>
          <w:tcPr>
            <w:tcW w:w="1080" w:type="dxa"/>
            <w:tcBorders>
              <w:top w:val="single" w:sz="4" w:space="0" w:color="auto"/>
              <w:left w:val="nil"/>
              <w:bottom w:val="single" w:sz="4" w:space="0" w:color="auto"/>
              <w:right w:val="single" w:sz="4" w:space="0" w:color="auto"/>
            </w:tcBorders>
          </w:tcPr>
          <w:p w14:paraId="5E7280E3" w14:textId="5AB1FEAB" w:rsidR="00850A3D" w:rsidRPr="0029105C"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657/2004</w:t>
            </w:r>
          </w:p>
        </w:tc>
        <w:tc>
          <w:tcPr>
            <w:tcW w:w="900" w:type="dxa"/>
            <w:tcBorders>
              <w:top w:val="single" w:sz="4" w:space="0" w:color="auto"/>
              <w:left w:val="single" w:sz="4" w:space="0" w:color="auto"/>
              <w:bottom w:val="single" w:sz="4" w:space="0" w:color="auto"/>
              <w:right w:val="single" w:sz="4" w:space="0" w:color="auto"/>
            </w:tcBorders>
          </w:tcPr>
          <w:p w14:paraId="66F9F81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 21 </w:t>
            </w:r>
          </w:p>
          <w:p w14:paraId="2426048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 3</w:t>
            </w:r>
          </w:p>
        </w:tc>
        <w:tc>
          <w:tcPr>
            <w:tcW w:w="4540" w:type="dxa"/>
            <w:tcBorders>
              <w:top w:val="single" w:sz="4" w:space="0" w:color="auto"/>
              <w:left w:val="single" w:sz="4" w:space="0" w:color="auto"/>
              <w:bottom w:val="single" w:sz="4" w:space="0" w:color="auto"/>
              <w:right w:val="single" w:sz="4" w:space="0" w:color="auto"/>
            </w:tcBorders>
          </w:tcPr>
          <w:p w14:paraId="75C37228" w14:textId="6AE9103C" w:rsidR="00850A3D" w:rsidRPr="00C84083"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84083">
              <w:rPr>
                <w:rFonts w:ascii="Times New Roman" w:eastAsia="Times New Roman" w:hAnsi="Times New Roman" w:cs="Times New Roman"/>
                <w:color w:val="000000" w:themeColor="text1"/>
                <w:sz w:val="20"/>
                <w:szCs w:val="20"/>
                <w:lang w:eastAsia="sk-SK"/>
              </w:rPr>
              <w:t xml:space="preserve">Držiteľ povolenia na rozvod tepla môže odmietnuť odoberať teplo len vtedy, ak je splnená aspoň jedna z týchto podmienok: </w:t>
            </w:r>
          </w:p>
          <w:p w14:paraId="65FF6C67" w14:textId="77777777" w:rsidR="00850A3D" w:rsidRPr="00C84083"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84083">
              <w:rPr>
                <w:rFonts w:ascii="Times New Roman" w:eastAsia="Times New Roman" w:hAnsi="Times New Roman" w:cs="Times New Roman"/>
                <w:color w:val="000000" w:themeColor="text1"/>
                <w:sz w:val="20"/>
                <w:szCs w:val="20"/>
                <w:lang w:eastAsia="sk-SK"/>
              </w:rPr>
              <w:t xml:space="preserve">a) systém centralizovaného zásobovania teplom nemá dostatočnú kapacitu z dôvodu iných dodávok tepla z obnoviteľných zdrojov alebo odpadového tepla, </w:t>
            </w:r>
          </w:p>
          <w:p w14:paraId="12EE9FA3" w14:textId="77777777" w:rsidR="00850A3D" w:rsidRPr="00C84083"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84083">
              <w:rPr>
                <w:rFonts w:ascii="Times New Roman" w:eastAsia="Times New Roman" w:hAnsi="Times New Roman" w:cs="Times New Roman"/>
                <w:color w:val="000000" w:themeColor="text1"/>
                <w:sz w:val="20"/>
                <w:szCs w:val="20"/>
                <w:lang w:eastAsia="sk-SK"/>
              </w:rPr>
              <w:t xml:space="preserve">b) držiteľ povolenia na výrobu tepla nesplní technické podmienky, </w:t>
            </w:r>
          </w:p>
          <w:p w14:paraId="676ED920" w14:textId="77777777" w:rsidR="00850A3D" w:rsidRPr="00C84083"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84083">
              <w:rPr>
                <w:rFonts w:ascii="Times New Roman" w:eastAsia="Times New Roman" w:hAnsi="Times New Roman" w:cs="Times New Roman"/>
                <w:color w:val="000000" w:themeColor="text1"/>
                <w:sz w:val="20"/>
                <w:szCs w:val="20"/>
                <w:lang w:eastAsia="sk-SK"/>
              </w:rPr>
              <w:t xml:space="preserve">c) držiteľ povolenia na rozvod tepla preukáže, že odoberanie tepla by viedlo k nadmernému zvýšeniu nákladov na teplo, </w:t>
            </w:r>
          </w:p>
          <w:p w14:paraId="03FE8CFF" w14:textId="6EA0B70C"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C84083">
              <w:rPr>
                <w:rFonts w:ascii="Times New Roman" w:eastAsia="Times New Roman" w:hAnsi="Times New Roman" w:cs="Times New Roman"/>
                <w:color w:val="000000" w:themeColor="text1"/>
                <w:sz w:val="20"/>
                <w:szCs w:val="20"/>
                <w:lang w:eastAsia="sk-SK"/>
              </w:rPr>
              <w:t>d) ide o účinné centralizované zásobovanie teplom.</w:t>
            </w:r>
          </w:p>
        </w:tc>
        <w:tc>
          <w:tcPr>
            <w:tcW w:w="849" w:type="dxa"/>
            <w:tcBorders>
              <w:top w:val="single" w:sz="4" w:space="0" w:color="auto"/>
              <w:left w:val="single" w:sz="4" w:space="0" w:color="auto"/>
              <w:bottom w:val="single" w:sz="4" w:space="0" w:color="auto"/>
              <w:right w:val="single" w:sz="4" w:space="0" w:color="auto"/>
            </w:tcBorders>
          </w:tcPr>
          <w:p w14:paraId="33D58F9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3A0FF5F2"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24ADE282"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5630AD66"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143EAA2A" w14:textId="77777777" w:rsidTr="00402EF0">
        <w:tc>
          <w:tcPr>
            <w:tcW w:w="1005" w:type="dxa"/>
            <w:tcBorders>
              <w:top w:val="single" w:sz="4" w:space="0" w:color="auto"/>
              <w:left w:val="single" w:sz="12" w:space="0" w:color="auto"/>
              <w:bottom w:val="single" w:sz="4" w:space="0" w:color="auto"/>
              <w:right w:val="single" w:sz="4" w:space="0" w:color="auto"/>
            </w:tcBorders>
          </w:tcPr>
          <w:p w14:paraId="33B411F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02E8502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O:14</w:t>
            </w:r>
          </w:p>
          <w:p w14:paraId="43EE2E2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P:c</w:t>
            </w:r>
          </w:p>
        </w:tc>
        <w:tc>
          <w:tcPr>
            <w:tcW w:w="3421" w:type="dxa"/>
            <w:tcBorders>
              <w:top w:val="single" w:sz="4" w:space="0" w:color="auto"/>
              <w:left w:val="single" w:sz="4" w:space="0" w:color="auto"/>
              <w:bottom w:val="single" w:sz="4" w:space="0" w:color="auto"/>
              <w:right w:val="single" w:sz="4" w:space="0" w:color="auto"/>
            </w:tcBorders>
          </w:tcPr>
          <w:p w14:paraId="0B60A3BE" w14:textId="50FF50D7" w:rsidR="0017014A" w:rsidRDefault="0020537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14. </w:t>
            </w:r>
            <w:r w:rsidR="0017014A" w:rsidRPr="0017014A">
              <w:rPr>
                <w:rFonts w:ascii="Times New Roman" w:eastAsia="Times New Roman" w:hAnsi="Times New Roman" w:cs="Times New Roman"/>
                <w:color w:val="000000" w:themeColor="text1"/>
                <w:sz w:val="20"/>
                <w:szCs w:val="20"/>
                <w:lang w:eastAsia="sk-SK"/>
              </w:rPr>
              <w:t>Článok 24 sa mení takto:</w:t>
            </w:r>
          </w:p>
          <w:p w14:paraId="39CFF151" w14:textId="07B415E8" w:rsidR="0017014A" w:rsidRDefault="0020537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c) </w:t>
            </w:r>
            <w:r w:rsidR="0017014A" w:rsidRPr="0017014A">
              <w:rPr>
                <w:rFonts w:ascii="Times New Roman" w:eastAsia="Times New Roman" w:hAnsi="Times New Roman" w:cs="Times New Roman"/>
                <w:color w:val="000000" w:themeColor="text1"/>
                <w:sz w:val="20"/>
                <w:szCs w:val="20"/>
                <w:lang w:eastAsia="sk-SK"/>
              </w:rPr>
              <w:t>Odseky 8, 9 a 10 sa nahrádzajú takto:</w:t>
            </w:r>
          </w:p>
          <w:p w14:paraId="5E009666" w14:textId="03CBBAF5"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„8. Členské štáty zriadia rámec, podľa ktorého prevádzkovatelia distribučnej sústavy elektriny v spolupráci </w:t>
            </w:r>
          </w:p>
          <w:p w14:paraId="4245175E" w14:textId="0BA3B4B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s prevádzkovateľmi systémov diaľkového vykurovania a chladenia v ich príslušnej oblasti aspoň každé štyri roky posudzujú potenciál systémov diaľkového vykurovania a chladenia poskytovať vyrovnávacie a iné systémové </w:t>
            </w:r>
          </w:p>
          <w:p w14:paraId="5788769D" w14:textId="22588934"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 xml:space="preserve">služby vrátane riadenia odberu a uskladňovania tepla z nadbytočnej elektriny z obnoviteľných zdrojov, a či by bolo využitie identifikovaného potenciálu efektívnejšie z hľadiska využívania zdrojov a nákladov než alternatívne </w:t>
            </w:r>
          </w:p>
          <w:p w14:paraId="7D6675AC"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riešenia.</w:t>
            </w:r>
          </w:p>
          <w:p w14:paraId="21D77AEE" w14:textId="08CA808D"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Členské štáty zabezpečia, aby prevádzkovatelia prenosovej a distribučnej sústavy elektriny náležitým spôsobom zohľadňovali výsledky posúdenia vyžadovaného v prvom </w:t>
            </w:r>
            <w:proofErr w:type="spellStart"/>
            <w:r w:rsidRPr="0029105C">
              <w:rPr>
                <w:rFonts w:ascii="Times New Roman" w:eastAsia="Times New Roman" w:hAnsi="Times New Roman" w:cs="Times New Roman"/>
                <w:color w:val="000000" w:themeColor="text1"/>
                <w:sz w:val="20"/>
                <w:szCs w:val="20"/>
                <w:lang w:eastAsia="sk-SK"/>
              </w:rPr>
              <w:t>pododseku</w:t>
            </w:r>
            <w:proofErr w:type="spellEnd"/>
            <w:r w:rsidRPr="0029105C">
              <w:rPr>
                <w:rFonts w:ascii="Times New Roman" w:eastAsia="Times New Roman" w:hAnsi="Times New Roman" w:cs="Times New Roman"/>
                <w:color w:val="000000" w:themeColor="text1"/>
                <w:sz w:val="20"/>
                <w:szCs w:val="20"/>
                <w:lang w:eastAsia="sk-SK"/>
              </w:rPr>
              <w:t xml:space="preserve"> pri plánovaní sústavy, investíciách do</w:t>
            </w:r>
            <w:r w:rsidR="000F3733">
              <w:rPr>
                <w:rFonts w:ascii="Times New Roman" w:eastAsia="Times New Roman" w:hAnsi="Times New Roman" w:cs="Times New Roman"/>
                <w:color w:val="000000" w:themeColor="text1"/>
                <w:sz w:val="20"/>
                <w:szCs w:val="20"/>
                <w:lang w:eastAsia="sk-SK"/>
              </w:rPr>
              <w:t xml:space="preserve"> </w:t>
            </w:r>
            <w:r w:rsidRPr="0029105C">
              <w:rPr>
                <w:rFonts w:ascii="Times New Roman" w:eastAsia="Times New Roman" w:hAnsi="Times New Roman" w:cs="Times New Roman"/>
                <w:color w:val="000000" w:themeColor="text1"/>
                <w:sz w:val="20"/>
                <w:szCs w:val="20"/>
                <w:lang w:eastAsia="sk-SK"/>
              </w:rPr>
              <w:t>sústavy a vývoji infraštruktúry na svojich územiach.</w:t>
            </w:r>
          </w:p>
          <w:p w14:paraId="095C4006"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Členské štáty uľahčujú koordináciu medzi prevádzkovateľmi systémov diaľkového vykurovania a chladenia </w:t>
            </w:r>
          </w:p>
          <w:p w14:paraId="3AD79A16" w14:textId="63A485FB"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a prevádzkovateľmi prenosovej a distribučnej sústavy elektriny v snahe zaručiť, aby vyrovnávanie, uskladňovanie a iné služby flexibility, ako je riadenie odberu, ktoré poskytujú prevádzkovatelia systémov diaľkového vykurovania a chladenia, mohli byť súčasťou trhov s elektrinou.</w:t>
            </w:r>
          </w:p>
          <w:p w14:paraId="5529E9CB" w14:textId="6BA04F5A" w:rsidR="00850A3D"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Členské štáty môžu rozšíriť posudzovanie a požiadavky na koordináciu uvedené v prvom a treťom </w:t>
            </w:r>
            <w:proofErr w:type="spellStart"/>
            <w:r w:rsidRPr="0029105C">
              <w:rPr>
                <w:rFonts w:ascii="Times New Roman" w:eastAsia="Times New Roman" w:hAnsi="Times New Roman" w:cs="Times New Roman"/>
                <w:color w:val="000000" w:themeColor="text1"/>
                <w:sz w:val="20"/>
                <w:szCs w:val="20"/>
                <w:lang w:eastAsia="sk-SK"/>
              </w:rPr>
              <w:t>pododseku</w:t>
            </w:r>
            <w:proofErr w:type="spellEnd"/>
            <w:r w:rsidRPr="0029105C">
              <w:rPr>
                <w:rFonts w:ascii="Times New Roman" w:eastAsia="Times New Roman" w:hAnsi="Times New Roman" w:cs="Times New Roman"/>
                <w:color w:val="000000" w:themeColor="text1"/>
                <w:sz w:val="20"/>
                <w:szCs w:val="20"/>
                <w:lang w:eastAsia="sk-SK"/>
              </w:rPr>
              <w:t xml:space="preserve"> na prevádzkovateľov prepravnej a distribučnej sústavy plynu vrátane vodíkových sietí a iných energetických sietí.</w:t>
            </w:r>
          </w:p>
          <w:p w14:paraId="00112496" w14:textId="77777777" w:rsidR="000F3733" w:rsidRDefault="000F3733"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2D618EC" w14:textId="77777777" w:rsidR="000F3733" w:rsidRPr="000F3733" w:rsidRDefault="000F3733" w:rsidP="000F3733">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0F3733">
              <w:rPr>
                <w:rFonts w:ascii="Times New Roman" w:eastAsia="Times New Roman" w:hAnsi="Times New Roman" w:cs="Times New Roman"/>
                <w:color w:val="000000" w:themeColor="text1"/>
                <w:sz w:val="20"/>
                <w:szCs w:val="20"/>
                <w:lang w:eastAsia="sk-SK"/>
              </w:rPr>
              <w:t xml:space="preserve">9.   Členské štáty zabezpečia, aby práva spotrebiteľov a pravidlá na prevádzku systémov diaľkového vykurovania a chladenia v súlade s týmto článkom boli </w:t>
            </w:r>
            <w:r w:rsidRPr="000F3733">
              <w:rPr>
                <w:rFonts w:ascii="Times New Roman" w:eastAsia="Times New Roman" w:hAnsi="Times New Roman" w:cs="Times New Roman"/>
                <w:color w:val="000000" w:themeColor="text1"/>
                <w:sz w:val="20"/>
                <w:szCs w:val="20"/>
                <w:lang w:eastAsia="sk-SK"/>
              </w:rPr>
              <w:lastRenderedPageBreak/>
              <w:t>jasne vymedzené, verejne dostupné a presadzované príslušným orgánom.</w:t>
            </w:r>
          </w:p>
          <w:p w14:paraId="3A86D426" w14:textId="77777777" w:rsidR="000F3733" w:rsidRPr="000F3733" w:rsidRDefault="000F3733" w:rsidP="000F3733">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1859B68" w14:textId="77777777" w:rsidR="000F3733" w:rsidRPr="000F3733" w:rsidRDefault="000F3733" w:rsidP="000F3733">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0F3733">
              <w:rPr>
                <w:rFonts w:ascii="Times New Roman" w:eastAsia="Times New Roman" w:hAnsi="Times New Roman" w:cs="Times New Roman"/>
                <w:color w:val="000000" w:themeColor="text1"/>
                <w:sz w:val="20"/>
                <w:szCs w:val="20"/>
                <w:lang w:eastAsia="sk-SK"/>
              </w:rPr>
              <w:t>10.   Členský štát nie je povinný uplatňovať odseky 2 až 9, ak je splnená aspoň jedna z týchto podmienok:</w:t>
            </w:r>
          </w:p>
          <w:p w14:paraId="4AEE0C56" w14:textId="2A1474A3" w:rsidR="000F3733" w:rsidRPr="000F3733" w:rsidRDefault="000F3733" w:rsidP="000F3733">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0F3733">
              <w:rPr>
                <w:rFonts w:ascii="Times New Roman" w:eastAsia="Times New Roman" w:hAnsi="Times New Roman" w:cs="Times New Roman"/>
                <w:color w:val="000000" w:themeColor="text1"/>
                <w:sz w:val="20"/>
                <w:szCs w:val="20"/>
                <w:lang w:eastAsia="sk-SK"/>
              </w:rPr>
              <w:t>a)</w:t>
            </w:r>
            <w:r>
              <w:rPr>
                <w:rFonts w:ascii="Times New Roman" w:eastAsia="Times New Roman" w:hAnsi="Times New Roman" w:cs="Times New Roman"/>
                <w:color w:val="000000" w:themeColor="text1"/>
                <w:sz w:val="20"/>
                <w:szCs w:val="20"/>
                <w:lang w:eastAsia="sk-SK"/>
              </w:rPr>
              <w:t xml:space="preserve"> </w:t>
            </w:r>
            <w:r w:rsidRPr="000F3733">
              <w:rPr>
                <w:rFonts w:ascii="Times New Roman" w:eastAsia="Times New Roman" w:hAnsi="Times New Roman" w:cs="Times New Roman"/>
                <w:color w:val="000000" w:themeColor="text1"/>
                <w:sz w:val="20"/>
                <w:szCs w:val="20"/>
                <w:lang w:eastAsia="sk-SK"/>
              </w:rPr>
              <w:t>jeho podiel diaľkového vykurovania a chladenia predstavoval najviac 2 % hrubej konečnej energetickej spotreby vo vykurovaní a chladení k 24. decembru 2018;</w:t>
            </w:r>
          </w:p>
          <w:p w14:paraId="50934174" w14:textId="29378603" w:rsidR="000F3733" w:rsidRPr="000F3733" w:rsidRDefault="000F3733" w:rsidP="000F3733">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0F3733">
              <w:rPr>
                <w:rFonts w:ascii="Times New Roman" w:eastAsia="Times New Roman" w:hAnsi="Times New Roman" w:cs="Times New Roman"/>
                <w:color w:val="000000" w:themeColor="text1"/>
                <w:sz w:val="20"/>
                <w:szCs w:val="20"/>
                <w:lang w:eastAsia="sk-SK"/>
              </w:rPr>
              <w:t>b)</w:t>
            </w:r>
            <w:r>
              <w:rPr>
                <w:rFonts w:ascii="Times New Roman" w:eastAsia="Times New Roman" w:hAnsi="Times New Roman" w:cs="Times New Roman"/>
                <w:color w:val="000000" w:themeColor="text1"/>
                <w:sz w:val="20"/>
                <w:szCs w:val="20"/>
                <w:lang w:eastAsia="sk-SK"/>
              </w:rPr>
              <w:t xml:space="preserve"> </w:t>
            </w:r>
            <w:r w:rsidRPr="000F3733">
              <w:rPr>
                <w:rFonts w:ascii="Times New Roman" w:eastAsia="Times New Roman" w:hAnsi="Times New Roman" w:cs="Times New Roman"/>
                <w:color w:val="000000" w:themeColor="text1"/>
                <w:sz w:val="20"/>
                <w:szCs w:val="20"/>
                <w:lang w:eastAsia="sk-SK"/>
              </w:rPr>
              <w:t>jeho podiel diaľkového vykurovania a chladenia sa zvýšil nad 2 % hrubej konečnej energetickej spotreby vo vykurovaní a chladení k 24. decembru 2018 v dôsledku vývoja nového účinného centralizovaného zásobovania teplom a chladom na základe jeho integrovaného národného energetického a klimatického plánu predloženého podľa článkov 3 a 14 nariadenia (EÚ) 2018/1999 a v súlade s ním a posúdenia uvedeného v článku 23 ods. 1b tejto smernice;</w:t>
            </w:r>
          </w:p>
          <w:p w14:paraId="2163467F" w14:textId="70B6CB55" w:rsidR="000F3733" w:rsidRPr="0029105C" w:rsidRDefault="000F3733" w:rsidP="000F3733">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0F3733">
              <w:rPr>
                <w:rFonts w:ascii="Times New Roman" w:eastAsia="Times New Roman" w:hAnsi="Times New Roman" w:cs="Times New Roman"/>
                <w:color w:val="000000" w:themeColor="text1"/>
                <w:sz w:val="20"/>
                <w:szCs w:val="20"/>
                <w:lang w:eastAsia="sk-SK"/>
              </w:rPr>
              <w:t>c)</w:t>
            </w:r>
            <w:r>
              <w:rPr>
                <w:rFonts w:ascii="Times New Roman" w:eastAsia="Times New Roman" w:hAnsi="Times New Roman" w:cs="Times New Roman"/>
                <w:color w:val="000000" w:themeColor="text1"/>
                <w:sz w:val="20"/>
                <w:szCs w:val="20"/>
                <w:lang w:eastAsia="sk-SK"/>
              </w:rPr>
              <w:t xml:space="preserve"> </w:t>
            </w:r>
            <w:r w:rsidRPr="000F3733">
              <w:rPr>
                <w:rFonts w:ascii="Times New Roman" w:eastAsia="Times New Roman" w:hAnsi="Times New Roman" w:cs="Times New Roman"/>
                <w:color w:val="000000" w:themeColor="text1"/>
                <w:sz w:val="20"/>
                <w:szCs w:val="20"/>
                <w:lang w:eastAsia="sk-SK"/>
              </w:rPr>
              <w:t>90 % hrubej konečnej energetickej spotreby v systémoch diaľkového vykurovania a chladenia pripadá na systémy účinného centralizovaného zásobovania teplom a chladom.“</w:t>
            </w:r>
          </w:p>
        </w:tc>
        <w:tc>
          <w:tcPr>
            <w:tcW w:w="794" w:type="dxa"/>
            <w:tcBorders>
              <w:top w:val="single" w:sz="4" w:space="0" w:color="auto"/>
              <w:left w:val="single" w:sz="4" w:space="0" w:color="auto"/>
              <w:bottom w:val="single" w:sz="4" w:space="0" w:color="auto"/>
              <w:right w:val="single" w:sz="12" w:space="0" w:color="auto"/>
            </w:tcBorders>
          </w:tcPr>
          <w:p w14:paraId="3DD72685" w14:textId="77777777" w:rsidR="00850A3D" w:rsidRDefault="00B56A6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w:t>
            </w:r>
          </w:p>
          <w:p w14:paraId="11E5B6DF"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1F83CD"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72D1BD"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8BDB20"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5C51C5"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CE8ACF"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C8B271"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210A4E"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13E642"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BCBBAF"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21376C"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76578A"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34B0D6"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A73DA7"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1901CD"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DF7259"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F7E8A5"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B2AC44"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0D6AFC"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AAB2B7"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78260C"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28CF61"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70C86A06"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BBCDE0"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1D2C23"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AC9935"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52D25C"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C180F9" w14:textId="77777777"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4155D0" w14:textId="2CB54FC2"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76AAA3A2"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DF378F"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9EC138"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863032"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48A124"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697DBD"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55B646"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AAE8DA"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698B00"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43A78B"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B41C35" w14:textId="77777777" w:rsidR="00970CED" w:rsidRDefault="00970C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D</w:t>
            </w:r>
          </w:p>
          <w:p w14:paraId="33A852F9" w14:textId="77777777"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09E9C7" w14:textId="77777777"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76E532" w14:textId="77777777"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55C13B" w14:textId="77777777"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720C36" w14:textId="77777777"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0EB7F7" w14:textId="77777777"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F8C7BC" w14:textId="77777777"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163B1D" w14:textId="791D920D"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18C92F05" w14:textId="77777777"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4C4DAC" w14:textId="77777777"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447D9F" w14:textId="77777777"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75D523" w14:textId="77777777"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0B1352" w14:textId="77777777"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773F19" w14:textId="77777777" w:rsidR="000F3733"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829076" w14:textId="3CA47184" w:rsidR="000F3733" w:rsidRPr="0029105C" w:rsidRDefault="000F373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roofErr w:type="spellStart"/>
            <w:r>
              <w:rPr>
                <w:rFonts w:ascii="Times New Roman" w:eastAsia="Times New Roman" w:hAnsi="Times New Roman" w:cs="Times New Roman"/>
                <w:color w:val="000000" w:themeColor="text1"/>
                <w:sz w:val="20"/>
                <w:szCs w:val="20"/>
                <w:lang w:eastAsia="sk-SK"/>
              </w:rPr>
              <w:t>n.a</w:t>
            </w:r>
            <w:proofErr w:type="spellEnd"/>
            <w:r>
              <w:rPr>
                <w:rFonts w:ascii="Times New Roman" w:eastAsia="Times New Roman" w:hAnsi="Times New Roman" w:cs="Times New Roman"/>
                <w:color w:val="000000" w:themeColor="text1"/>
                <w:sz w:val="20"/>
                <w:szCs w:val="20"/>
                <w:lang w:eastAsia="sk-SK"/>
              </w:rPr>
              <w:t>.</w:t>
            </w:r>
          </w:p>
        </w:tc>
        <w:tc>
          <w:tcPr>
            <w:tcW w:w="1080" w:type="dxa"/>
            <w:tcBorders>
              <w:top w:val="single" w:sz="4" w:space="0" w:color="auto"/>
              <w:left w:val="nil"/>
              <w:bottom w:val="single" w:sz="4" w:space="0" w:color="auto"/>
              <w:right w:val="single" w:sz="4" w:space="0" w:color="auto"/>
            </w:tcBorders>
          </w:tcPr>
          <w:p w14:paraId="6AC9DB91" w14:textId="3815A77D" w:rsidR="00850A3D" w:rsidRPr="0029105C" w:rsidRDefault="00CC28BE"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1.</w:t>
            </w:r>
          </w:p>
        </w:tc>
        <w:tc>
          <w:tcPr>
            <w:tcW w:w="900" w:type="dxa"/>
            <w:tcBorders>
              <w:top w:val="single" w:sz="4" w:space="0" w:color="auto"/>
              <w:left w:val="single" w:sz="4" w:space="0" w:color="auto"/>
              <w:bottom w:val="single" w:sz="4" w:space="0" w:color="auto"/>
              <w:right w:val="single" w:sz="4" w:space="0" w:color="auto"/>
            </w:tcBorders>
          </w:tcPr>
          <w:p w14:paraId="72D819DA" w14:textId="1882908E"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28</w:t>
            </w:r>
          </w:p>
          <w:p w14:paraId="2A6F05B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 3</w:t>
            </w:r>
          </w:p>
          <w:p w14:paraId="6A8104B1" w14:textId="6CA854FE"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 b</w:t>
            </w:r>
            <w:r>
              <w:rPr>
                <w:rFonts w:ascii="Times New Roman" w:eastAsia="Times New Roman" w:hAnsi="Times New Roman" w:cs="Times New Roman"/>
                <w:color w:val="000000" w:themeColor="text1"/>
                <w:sz w:val="20"/>
                <w:szCs w:val="20"/>
                <w:lang w:eastAsia="sk-SK"/>
              </w:rPr>
              <w:t>)</w:t>
            </w:r>
          </w:p>
          <w:p w14:paraId="17AD93B2" w14:textId="3B66C920"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3E9661" w14:textId="091C0B91"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F464C3" w14:textId="21CA5154"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9EB7BD" w14:textId="08FBBEA8"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CDE336" w14:textId="41926097"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904FC2" w14:textId="66508337"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C6C898" w14:textId="1A0A537A"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312426" w14:textId="2A4119C5"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865ADB" w14:textId="77777777" w:rsidR="00ED085D" w:rsidRDefault="00ED085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40ED15" w14:textId="77777777" w:rsidR="009F5089" w:rsidRPr="0029105C"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54A32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 31</w:t>
            </w:r>
          </w:p>
          <w:p w14:paraId="6FFA180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 2</w:t>
            </w:r>
          </w:p>
          <w:p w14:paraId="452DDDAB" w14:textId="2B233398"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P: </w:t>
            </w:r>
            <w:proofErr w:type="spellStart"/>
            <w:r w:rsidRPr="0029105C">
              <w:rPr>
                <w:rFonts w:ascii="Times New Roman" w:eastAsia="Times New Roman" w:hAnsi="Times New Roman" w:cs="Times New Roman"/>
                <w:color w:val="000000" w:themeColor="text1"/>
                <w:sz w:val="20"/>
                <w:szCs w:val="20"/>
                <w:lang w:eastAsia="sk-SK"/>
              </w:rPr>
              <w:t>ae</w:t>
            </w:r>
            <w:proofErr w:type="spellEnd"/>
            <w:r>
              <w:rPr>
                <w:rFonts w:ascii="Times New Roman" w:eastAsia="Times New Roman" w:hAnsi="Times New Roman" w:cs="Times New Roman"/>
                <w:color w:val="000000" w:themeColor="text1"/>
                <w:sz w:val="20"/>
                <w:szCs w:val="20"/>
                <w:lang w:eastAsia="sk-SK"/>
              </w:rPr>
              <w:t>)</w:t>
            </w:r>
            <w:r w:rsidR="004240E3">
              <w:rPr>
                <w:rFonts w:ascii="Times New Roman" w:eastAsia="Times New Roman" w:hAnsi="Times New Roman" w:cs="Times New Roman"/>
                <w:color w:val="000000" w:themeColor="text1"/>
                <w:sz w:val="20"/>
                <w:szCs w:val="20"/>
                <w:lang w:eastAsia="sk-SK"/>
              </w:rPr>
              <w:t xml:space="preserve">, </w:t>
            </w:r>
            <w:proofErr w:type="spellStart"/>
            <w:r w:rsidR="004240E3">
              <w:rPr>
                <w:rFonts w:ascii="Times New Roman" w:eastAsia="Times New Roman" w:hAnsi="Times New Roman" w:cs="Times New Roman"/>
                <w:color w:val="000000" w:themeColor="text1"/>
                <w:sz w:val="20"/>
                <w:szCs w:val="20"/>
                <w:lang w:eastAsia="sk-SK"/>
              </w:rPr>
              <w:t>af</w:t>
            </w:r>
            <w:proofErr w:type="spellEnd"/>
            <w:r w:rsidR="004240E3">
              <w:rPr>
                <w:rFonts w:ascii="Times New Roman" w:eastAsia="Times New Roman" w:hAnsi="Times New Roman" w:cs="Times New Roman"/>
                <w:color w:val="000000" w:themeColor="text1"/>
                <w:sz w:val="20"/>
                <w:szCs w:val="20"/>
                <w:lang w:eastAsia="sk-SK"/>
              </w:rPr>
              <w:t>)</w:t>
            </w:r>
          </w:p>
        </w:tc>
        <w:tc>
          <w:tcPr>
            <w:tcW w:w="4540" w:type="dxa"/>
            <w:tcBorders>
              <w:top w:val="single" w:sz="4" w:space="0" w:color="auto"/>
              <w:left w:val="single" w:sz="4" w:space="0" w:color="auto"/>
              <w:bottom w:val="single" w:sz="4" w:space="0" w:color="auto"/>
              <w:right w:val="single" w:sz="4" w:space="0" w:color="auto"/>
            </w:tcBorders>
          </w:tcPr>
          <w:p w14:paraId="2BA97D1C" w14:textId="05C1FAB2" w:rsidR="009F5089" w:rsidRDefault="009F5089"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9F5089">
              <w:rPr>
                <w:rFonts w:ascii="Times New Roman" w:eastAsia="Times New Roman" w:hAnsi="Times New Roman" w:cs="Times New Roman"/>
                <w:color w:val="000000" w:themeColor="text1"/>
                <w:sz w:val="20"/>
                <w:szCs w:val="20"/>
                <w:lang w:eastAsia="sk-SK"/>
              </w:rPr>
              <w:lastRenderedPageBreak/>
              <w:t>(3) Prevádzkovateľ prenosovej sústavy je ďalej povinný</w:t>
            </w:r>
          </w:p>
          <w:p w14:paraId="694D21DA" w14:textId="766C7F91" w:rsidR="00850A3D" w:rsidRPr="0029105C" w:rsidRDefault="009F5089"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9F5089">
              <w:rPr>
                <w:rFonts w:ascii="Times New Roman" w:eastAsia="Times New Roman" w:hAnsi="Times New Roman" w:cs="Times New Roman"/>
                <w:color w:val="000000" w:themeColor="text1"/>
                <w:sz w:val="20"/>
                <w:szCs w:val="20"/>
                <w:lang w:eastAsia="sk-SK"/>
              </w:rPr>
              <w:t>b) raz za dva roky vypracúvať plán rozvoja prenosovej sústavy vrátane plánu rozvoja spojovacích vedení na obdobie nasledujúcich desiatich rokov (ďalej len „desaťročný plán rozvoja sústavy“) a predložiť ho ministerstvu a úradu do 30. apríla druhého kalendárneho roka, v ktorom sa plní príslušný desaťročný plán rozvoja sústavy, spolu so správou o plnení desaťročného plánu rozvoja sústavy,</w:t>
            </w:r>
            <w:r>
              <w:rPr>
                <w:rFonts w:ascii="Times New Roman" w:eastAsia="Times New Roman" w:hAnsi="Times New Roman" w:cs="Times New Roman"/>
                <w:color w:val="000000" w:themeColor="text1"/>
                <w:sz w:val="20"/>
                <w:szCs w:val="20"/>
                <w:lang w:eastAsia="sk-SK"/>
              </w:rPr>
              <w:t xml:space="preserve"> </w:t>
            </w:r>
            <w:r w:rsidR="00850A3D" w:rsidRPr="0029105C">
              <w:rPr>
                <w:rFonts w:ascii="Times New Roman" w:eastAsia="Times New Roman" w:hAnsi="Times New Roman" w:cs="Times New Roman"/>
                <w:color w:val="000000" w:themeColor="text1"/>
                <w:sz w:val="20"/>
                <w:szCs w:val="20"/>
                <w:lang w:eastAsia="sk-SK"/>
              </w:rPr>
              <w:t xml:space="preserve">prevádzkovateľ prenosovej sústavy zohľadní výsledky posúdenia podľa § 31 ods. 2 písm. </w:t>
            </w:r>
            <w:proofErr w:type="spellStart"/>
            <w:r w:rsidR="00850A3D" w:rsidRPr="0029105C">
              <w:rPr>
                <w:rFonts w:ascii="Times New Roman" w:eastAsia="Times New Roman" w:hAnsi="Times New Roman" w:cs="Times New Roman"/>
                <w:color w:val="000000" w:themeColor="text1"/>
                <w:sz w:val="20"/>
                <w:szCs w:val="20"/>
                <w:lang w:eastAsia="sk-SK"/>
              </w:rPr>
              <w:t>ae</w:t>
            </w:r>
            <w:proofErr w:type="spellEnd"/>
            <w:r w:rsidR="00850A3D" w:rsidRPr="0029105C">
              <w:rPr>
                <w:rFonts w:ascii="Times New Roman" w:eastAsia="Times New Roman" w:hAnsi="Times New Roman" w:cs="Times New Roman"/>
                <w:color w:val="000000" w:themeColor="text1"/>
                <w:sz w:val="20"/>
                <w:szCs w:val="20"/>
                <w:lang w:eastAsia="sk-SK"/>
              </w:rPr>
              <w:t>) pri plánovaní rozvoja sústavy, investíciách do sústavy a vývoji infraštruktúry na vymedzenom území.</w:t>
            </w:r>
          </w:p>
          <w:p w14:paraId="0DE4B5B7" w14:textId="007F097E" w:rsidR="00850A3D"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49BCDE3" w14:textId="4193E12B" w:rsidR="004240E3" w:rsidRPr="0029105C" w:rsidRDefault="009F5089"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9F5089">
              <w:rPr>
                <w:rFonts w:ascii="Times New Roman" w:eastAsia="Times New Roman" w:hAnsi="Times New Roman" w:cs="Times New Roman"/>
                <w:color w:val="000000" w:themeColor="text1"/>
                <w:sz w:val="20"/>
                <w:szCs w:val="20"/>
                <w:lang w:eastAsia="sk-SK"/>
              </w:rPr>
              <w:lastRenderedPageBreak/>
              <w:t>(2) Prevádzkovateľ distribučnej sústavy je povinný</w:t>
            </w:r>
          </w:p>
          <w:p w14:paraId="58D55237" w14:textId="0F23ADD1" w:rsidR="004240E3" w:rsidRPr="004240E3" w:rsidRDefault="004240E3" w:rsidP="004240E3">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roofErr w:type="spellStart"/>
            <w:r w:rsidRPr="004240E3">
              <w:rPr>
                <w:rFonts w:ascii="Times New Roman" w:eastAsia="Times New Roman" w:hAnsi="Times New Roman" w:cs="Times New Roman"/>
                <w:color w:val="000000" w:themeColor="text1"/>
                <w:sz w:val="20"/>
                <w:szCs w:val="20"/>
                <w:lang w:eastAsia="sk-SK"/>
              </w:rPr>
              <w:t>ae</w:t>
            </w:r>
            <w:proofErr w:type="spellEnd"/>
            <w:r w:rsidRPr="004240E3">
              <w:rPr>
                <w:rFonts w:ascii="Times New Roman" w:eastAsia="Times New Roman" w:hAnsi="Times New Roman" w:cs="Times New Roman"/>
                <w:color w:val="000000" w:themeColor="text1"/>
                <w:sz w:val="20"/>
                <w:szCs w:val="20"/>
                <w:lang w:eastAsia="sk-SK"/>
              </w:rPr>
              <w:t>)</w:t>
            </w:r>
            <w:r w:rsidR="00ED085D">
              <w:rPr>
                <w:rFonts w:ascii="Times New Roman" w:eastAsia="Times New Roman" w:hAnsi="Times New Roman" w:cs="Times New Roman"/>
                <w:color w:val="000000" w:themeColor="text1"/>
                <w:sz w:val="20"/>
                <w:szCs w:val="20"/>
                <w:lang w:eastAsia="sk-SK"/>
              </w:rPr>
              <w:t xml:space="preserve"> </w:t>
            </w:r>
            <w:r w:rsidRPr="004240E3">
              <w:rPr>
                <w:rFonts w:ascii="Times New Roman" w:eastAsia="Times New Roman" w:hAnsi="Times New Roman" w:cs="Times New Roman"/>
                <w:color w:val="000000" w:themeColor="text1"/>
                <w:sz w:val="20"/>
                <w:szCs w:val="20"/>
                <w:lang w:eastAsia="sk-SK"/>
              </w:rPr>
              <w:t>posúdiť v spolupráci s držiteľmi povolení na výrobu tepla a rozvod tepla60aa) posúdiť na vymedzenom území každé štyri roky alternatívne riešenia a potenciál efektívnosti využívania zdrojov a nákladov držiteľa povolenia na výrobu tepla a rozvod tepla60aa) pre poskytovanie podporných služieb, využitie flexibility odberu a uskladňovania nadbytočnej elektriny vyrobenej z obnoviteľných zdrojov energie,60ab) a posúdenie predložiť ministerstvu a prevádzkovateľovi prenosovej sústavy do 30. novembra,; prevádzkovateľ distribučnej sústavy zohľadní výsledky posúdenia pri plánovaní rozvoja sústavy, investíciách do sústavy a vývoji infraštruktúry na časti vymedzeného územia,</w:t>
            </w:r>
          </w:p>
          <w:p w14:paraId="24082CE2" w14:textId="0ABFFC9C" w:rsidR="00850A3D" w:rsidRPr="0029105C" w:rsidRDefault="004240E3" w:rsidP="004240E3">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roofErr w:type="spellStart"/>
            <w:r w:rsidRPr="004240E3">
              <w:rPr>
                <w:rFonts w:ascii="Times New Roman" w:eastAsia="Times New Roman" w:hAnsi="Times New Roman" w:cs="Times New Roman"/>
                <w:color w:val="000000" w:themeColor="text1"/>
                <w:sz w:val="20"/>
                <w:szCs w:val="20"/>
                <w:lang w:eastAsia="sk-SK"/>
              </w:rPr>
              <w:t>af</w:t>
            </w:r>
            <w:proofErr w:type="spellEnd"/>
            <w:r w:rsidRPr="004240E3">
              <w:rPr>
                <w:rFonts w:ascii="Times New Roman" w:eastAsia="Times New Roman" w:hAnsi="Times New Roman" w:cs="Times New Roman"/>
                <w:color w:val="000000" w:themeColor="text1"/>
                <w:sz w:val="20"/>
                <w:szCs w:val="20"/>
                <w:lang w:eastAsia="sk-SK"/>
              </w:rPr>
              <w:t>)</w:t>
            </w:r>
            <w:r w:rsidRPr="004240E3">
              <w:rPr>
                <w:rFonts w:ascii="Times New Roman" w:eastAsia="Times New Roman" w:hAnsi="Times New Roman" w:cs="Times New Roman"/>
                <w:color w:val="000000" w:themeColor="text1"/>
                <w:sz w:val="20"/>
                <w:szCs w:val="20"/>
                <w:lang w:eastAsia="sk-SK"/>
              </w:rPr>
              <w:tab/>
              <w:t>poskytovať informácie prevádzkovateľovi prenosovej sústavy a spolupracovať pri kontrole plnenia požiadaviek ustanovených všeobecne záväzným právnym predpisom vydaným podľa § 95 ods. 2 písm. q),</w:t>
            </w:r>
          </w:p>
        </w:tc>
        <w:tc>
          <w:tcPr>
            <w:tcW w:w="849" w:type="dxa"/>
            <w:tcBorders>
              <w:top w:val="single" w:sz="4" w:space="0" w:color="auto"/>
              <w:left w:val="single" w:sz="4" w:space="0" w:color="auto"/>
              <w:bottom w:val="single" w:sz="4" w:space="0" w:color="auto"/>
              <w:right w:val="single" w:sz="4" w:space="0" w:color="auto"/>
            </w:tcBorders>
          </w:tcPr>
          <w:p w14:paraId="70C6A988" w14:textId="237CE22C" w:rsidR="00850A3D" w:rsidRPr="0029105C" w:rsidRDefault="00830DE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Č</w:t>
            </w:r>
          </w:p>
        </w:tc>
        <w:tc>
          <w:tcPr>
            <w:tcW w:w="1360" w:type="dxa"/>
            <w:tcBorders>
              <w:top w:val="single" w:sz="4" w:space="0" w:color="auto"/>
              <w:left w:val="single" w:sz="4" w:space="0" w:color="auto"/>
              <w:bottom w:val="single" w:sz="4" w:space="0" w:color="auto"/>
              <w:right w:val="single" w:sz="4" w:space="0" w:color="auto"/>
            </w:tcBorders>
          </w:tcPr>
          <w:p w14:paraId="66204FF1" w14:textId="07D72E2D" w:rsidR="00B56A69" w:rsidRPr="0029105C" w:rsidRDefault="00B56A69" w:rsidP="0017014A">
            <w:pPr>
              <w:autoSpaceDE w:val="0"/>
              <w:autoSpaceDN w:val="0"/>
              <w:spacing w:after="0" w:line="240" w:lineRule="auto"/>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06A3CCE7"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2DBF0D7D"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549F7401" w14:textId="77777777" w:rsidTr="00402EF0">
        <w:tc>
          <w:tcPr>
            <w:tcW w:w="1005" w:type="dxa"/>
            <w:tcBorders>
              <w:top w:val="single" w:sz="4" w:space="0" w:color="auto"/>
              <w:left w:val="single" w:sz="12" w:space="0" w:color="auto"/>
              <w:bottom w:val="single" w:sz="4" w:space="0" w:color="auto"/>
              <w:right w:val="single" w:sz="4" w:space="0" w:color="auto"/>
            </w:tcBorders>
          </w:tcPr>
          <w:p w14:paraId="5FF75CE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Č:1</w:t>
            </w:r>
          </w:p>
          <w:p w14:paraId="3E04896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O:15</w:t>
            </w:r>
          </w:p>
        </w:tc>
        <w:tc>
          <w:tcPr>
            <w:tcW w:w="3421" w:type="dxa"/>
            <w:tcBorders>
              <w:top w:val="single" w:sz="4" w:space="0" w:color="auto"/>
              <w:left w:val="single" w:sz="4" w:space="0" w:color="auto"/>
              <w:bottom w:val="single" w:sz="4" w:space="0" w:color="auto"/>
              <w:right w:val="single" w:sz="4" w:space="0" w:color="auto"/>
            </w:tcBorders>
          </w:tcPr>
          <w:p w14:paraId="1BA2CAA3" w14:textId="578657AB" w:rsidR="0017014A" w:rsidRDefault="0017014A"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17014A">
              <w:rPr>
                <w:rFonts w:ascii="Times New Roman" w:eastAsia="Times New Roman" w:hAnsi="Times New Roman" w:cs="Times New Roman"/>
                <w:color w:val="000000" w:themeColor="text1"/>
                <w:sz w:val="20"/>
                <w:szCs w:val="20"/>
                <w:lang w:eastAsia="sk-SK"/>
              </w:rPr>
              <w:t>Článok 25 sa nahrádza takto:</w:t>
            </w:r>
          </w:p>
          <w:p w14:paraId="4F6E7813" w14:textId="77777777" w:rsidR="0017014A" w:rsidRPr="0017014A" w:rsidRDefault="0017014A" w:rsidP="0017014A">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17014A">
              <w:rPr>
                <w:rFonts w:ascii="Times New Roman" w:eastAsia="Times New Roman" w:hAnsi="Times New Roman" w:cs="Times New Roman"/>
                <w:color w:val="000000" w:themeColor="text1"/>
                <w:sz w:val="20"/>
                <w:szCs w:val="20"/>
                <w:lang w:eastAsia="sk-SK"/>
              </w:rPr>
              <w:t>Článok 25</w:t>
            </w:r>
          </w:p>
          <w:p w14:paraId="57DE1D0D" w14:textId="36F69FB5" w:rsidR="0017014A" w:rsidRDefault="0017014A" w:rsidP="0017014A">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17014A">
              <w:rPr>
                <w:rFonts w:ascii="Times New Roman" w:eastAsia="Times New Roman" w:hAnsi="Times New Roman" w:cs="Times New Roman"/>
                <w:color w:val="000000" w:themeColor="text1"/>
                <w:sz w:val="20"/>
                <w:szCs w:val="20"/>
                <w:lang w:eastAsia="sk-SK"/>
              </w:rPr>
              <w:t>Zvýšenie energie z obnoviteľných zdrojov a zníženie intenzity skleníkových plynov v odvetví dopravy</w:t>
            </w:r>
          </w:p>
          <w:p w14:paraId="2E59B421" w14:textId="77777777" w:rsidR="0017014A" w:rsidRDefault="0017014A" w:rsidP="0017014A">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360A7CF" w14:textId="51FABFF4"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Každý členský štáty dodávateľom paliva uloží povinnosť zaručiť, že:</w:t>
            </w:r>
          </w:p>
          <w:p w14:paraId="6B62F1B3"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8B50214"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a) množstvo palív z obnoviteľných zdrojov a elektriny z obnoviteľných zdrojov dodávané odvetviu dopravy povedie k:</w:t>
            </w:r>
          </w:p>
          <w:p w14:paraId="02F2C34E"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2EE79B2"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i) aspoň 29 % podielu energie z obnoviteľných zdrojov na konečnej energetickej spotrebe v odvetví dopravy do roku 2030, alebo</w:t>
            </w:r>
          </w:p>
          <w:p w14:paraId="680A4E5D"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EFC7AEC"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ii) zníženiu intenzity skleníkových plynov o minimálne 14,5 % do roku 2030 v porovnaní so základným scenárom stanoveným v článku 27 ods. 1 písm. b) v súlade s orientačnou trajektóriou, ktorú určil členský štát;</w:t>
            </w:r>
          </w:p>
          <w:p w14:paraId="50368E3D" w14:textId="754777B9" w:rsidR="00850A3D"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1C8E247" w14:textId="77777777" w:rsidR="00C73CE4" w:rsidRPr="0029105C" w:rsidRDefault="00C73CE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7A908FB" w14:textId="6D39747B"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b) kombinovaný podiel pokročilých biopalív a bioplynu vyrábaných zo surovín uvedených v časti A prílohy IX a palív z obnoviteľných zdrojov nebiologického pôvodu ako podiel na energii dodanej odvetviu dopravy predstavuje aspoň 1 % v roku 2025 a 5,5 % v roku 2030, z toho podiel najmenej 1 percentuálneho bodu je z palív z obnoviteľných zdrojov nebiologického pôvodu v roku 2030.</w:t>
            </w:r>
          </w:p>
          <w:p w14:paraId="296FEF7D"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B3F6B2F"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Členské štáty sa nabádajú k tomu, aby stanovili diferencované ciele pre pokročilé biopalivá a bioplyn vyrábané zo surovín uvedených v časti A prílohy IX a palív z obnoviteľných zdrojov nebiologického pôvodu na vnútroštátnej úrovni s cieľom splniť povinnosť stanovenú v prvom </w:t>
            </w:r>
            <w:proofErr w:type="spellStart"/>
            <w:r w:rsidRPr="0029105C">
              <w:rPr>
                <w:rFonts w:ascii="Times New Roman" w:eastAsia="Times New Roman" w:hAnsi="Times New Roman" w:cs="Times New Roman"/>
                <w:color w:val="000000" w:themeColor="text1"/>
                <w:sz w:val="20"/>
                <w:szCs w:val="20"/>
                <w:lang w:eastAsia="sk-SK"/>
              </w:rPr>
              <w:t>pododseku</w:t>
            </w:r>
            <w:proofErr w:type="spellEnd"/>
            <w:r w:rsidRPr="0029105C">
              <w:rPr>
                <w:rFonts w:ascii="Times New Roman" w:eastAsia="Times New Roman" w:hAnsi="Times New Roman" w:cs="Times New Roman"/>
                <w:color w:val="000000" w:themeColor="text1"/>
                <w:sz w:val="20"/>
                <w:szCs w:val="20"/>
                <w:lang w:eastAsia="sk-SK"/>
              </w:rPr>
              <w:t xml:space="preserve"> písm. b) </w:t>
            </w:r>
            <w:r w:rsidRPr="0029105C">
              <w:rPr>
                <w:rFonts w:ascii="Times New Roman" w:eastAsia="Times New Roman" w:hAnsi="Times New Roman" w:cs="Times New Roman"/>
                <w:color w:val="000000" w:themeColor="text1"/>
                <w:sz w:val="20"/>
                <w:szCs w:val="20"/>
                <w:lang w:eastAsia="sk-SK"/>
              </w:rPr>
              <w:lastRenderedPageBreak/>
              <w:t>tohto odseku tak, aby sa stimuloval a rozširoval vývoj oboch palív.</w:t>
            </w:r>
          </w:p>
          <w:p w14:paraId="7194DBDC"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1E6D421"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8049B04"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74CEF93"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6E106D0"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D232219"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9CCBE7C"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D00A745"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02DA6B7"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F623A90"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250048A"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DCD0CAC"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42139B1"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8F3C3FB"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3D59FF6"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1D95512" w14:textId="77777777" w:rsidR="00F909B4" w:rsidRDefault="00F909B4"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A724D8B" w14:textId="5566550A"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Členské štáty s námornými prístavmi sa usilujú zabezpečiť, aby od roku 2030 podiel palív z obnoviteľných zdrojov nebiologického pôvodu na celkovom množstve energie dodávanej do odvetvia námornej dopravy predstavoval aspoň 1,2 %.</w:t>
            </w:r>
          </w:p>
          <w:p w14:paraId="769D0D3C"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509E9AB"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BB7945">
              <w:rPr>
                <w:rFonts w:ascii="Times New Roman" w:eastAsia="Times New Roman" w:hAnsi="Times New Roman" w:cs="Times New Roman"/>
                <w:color w:val="000000" w:themeColor="text1"/>
                <w:sz w:val="20"/>
                <w:szCs w:val="20"/>
                <w:lang w:eastAsia="sk-SK"/>
              </w:rPr>
              <w:t>Členské štáty vo svojich integrovaných národných energetických a klimatických správach o pokroku predkladaných podľa článku 17 nariadenia (EÚ) 2018/1999 informujú o podiele energie z obnoviteľných zdrojov na konečnej energetickej spotrebe v odvetví dopravy vrátane odvetvia námornej dopravy, ako aj o svojom znížení intenzity skleníkových plynov.</w:t>
            </w:r>
          </w:p>
          <w:p w14:paraId="54CD245A"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7EF59EF"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Ak sa zoznam surovín uvedený v časti A prílohy IX zmení v súlade s článkom 28 </w:t>
            </w:r>
            <w:r w:rsidRPr="0029105C">
              <w:rPr>
                <w:rFonts w:ascii="Times New Roman" w:eastAsia="Times New Roman" w:hAnsi="Times New Roman" w:cs="Times New Roman"/>
                <w:color w:val="000000" w:themeColor="text1"/>
                <w:sz w:val="20"/>
                <w:szCs w:val="20"/>
                <w:lang w:eastAsia="sk-SK"/>
              </w:rPr>
              <w:lastRenderedPageBreak/>
              <w:t>ods. 6, členské štáty môžu zodpovedajúcim spôsobom zvýšiť svoj minimálny podiel pokročilých biopalív a bioplynu vyrábaných z uvedených surovín v energii dodávanej do odvetvia dopravy.</w:t>
            </w:r>
          </w:p>
        </w:tc>
        <w:tc>
          <w:tcPr>
            <w:tcW w:w="794" w:type="dxa"/>
            <w:tcBorders>
              <w:top w:val="single" w:sz="4" w:space="0" w:color="auto"/>
              <w:left w:val="single" w:sz="4" w:space="0" w:color="auto"/>
              <w:bottom w:val="single" w:sz="4" w:space="0" w:color="auto"/>
              <w:right w:val="single" w:sz="12" w:space="0" w:color="auto"/>
            </w:tcBorders>
          </w:tcPr>
          <w:p w14:paraId="335B4510"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N</w:t>
            </w:r>
          </w:p>
          <w:p w14:paraId="601D2570"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0CC93D"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D375D0"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BC0C10"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162631"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527B52"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B4AE15"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F6327A"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0D0DE9"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1C07B4"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2EFB98"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C26500"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769DCF"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5BBFB3"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8D9BF1"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CDDDD0"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D474E4"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348F0F"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8B9FC4"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B1E0B3"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DB2CD5"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36B25F"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6969B6"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4B40D1"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9FF5E5"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525AE5"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CE1CBA"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5110A9"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C382AC"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576220"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CB2EA1"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FB7769"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144AA2"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D41C60"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72E2EC"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DEF41C"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4B235C"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A5AD29"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9BEA7C"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F78528"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F8ABBD"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67B02C"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A40CA0"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B72BA7"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D239FC"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0CD953"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5315A8"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071111"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F97A25"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CDEA48"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B1539E"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8396D4"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0DE1E9"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2428C3"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0C6B44"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4B873C"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7AA210"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DE6279"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2F84F9"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28B6A4"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EA6604"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0EDB4F"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4211F0"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AFA193"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4F8BB5"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66F1BA"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EE6750" w14:textId="74AF8AA6"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roofErr w:type="spellStart"/>
            <w:r>
              <w:rPr>
                <w:rFonts w:ascii="Times New Roman" w:eastAsia="Times New Roman" w:hAnsi="Times New Roman" w:cs="Times New Roman"/>
                <w:color w:val="000000" w:themeColor="text1"/>
                <w:sz w:val="20"/>
                <w:szCs w:val="20"/>
                <w:lang w:eastAsia="sk-SK"/>
              </w:rPr>
              <w:t>n.a</w:t>
            </w:r>
            <w:proofErr w:type="spellEnd"/>
            <w:r>
              <w:rPr>
                <w:rFonts w:ascii="Times New Roman" w:eastAsia="Times New Roman" w:hAnsi="Times New Roman" w:cs="Times New Roman"/>
                <w:color w:val="000000" w:themeColor="text1"/>
                <w:sz w:val="20"/>
                <w:szCs w:val="20"/>
                <w:lang w:eastAsia="sk-SK"/>
              </w:rPr>
              <w:t>.</w:t>
            </w:r>
          </w:p>
          <w:p w14:paraId="566367DC"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039153"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EBDC92" w14:textId="77777777" w:rsidR="00FA5416" w:rsidRDefault="00FA541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63B834" w14:textId="77777777" w:rsidR="00FA5416" w:rsidRDefault="00FA541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075068" w14:textId="77777777" w:rsidR="00FA5416" w:rsidRDefault="00FA541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55BF2E" w14:textId="77777777" w:rsidR="00FA5416" w:rsidRDefault="00FA541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3CE264" w14:textId="77777777" w:rsidR="00FA5416" w:rsidRDefault="00FA541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DE3E5C" w14:textId="7DCD2E3C" w:rsidR="00FA5416"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2DD930EC" w14:textId="77777777" w:rsidR="00FA5416" w:rsidRDefault="00FA541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2FD8F8" w14:textId="77777777" w:rsidR="00FA5416" w:rsidRDefault="00FA541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6644ED" w14:textId="77777777" w:rsidR="00FA5416" w:rsidRDefault="00FA541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5D925D" w14:textId="77777777" w:rsidR="00FA5416" w:rsidRDefault="00FA541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388AC4" w14:textId="77777777" w:rsidR="00FA5416" w:rsidRDefault="00FA541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44DEAA" w14:textId="77777777" w:rsidR="00FA5416" w:rsidRDefault="00FA541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3CF305" w14:textId="77777777" w:rsidR="00FA5416" w:rsidRDefault="00FA541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7F27B4" w14:textId="77777777" w:rsidR="00FA5416" w:rsidRDefault="00FA541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FC8E9A" w14:textId="77777777" w:rsidR="00FA5416" w:rsidRDefault="00FA541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92B240" w14:textId="77777777" w:rsidR="00830DED" w:rsidRDefault="00830DED" w:rsidP="00BB7945">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E981A3" w14:textId="7670484D" w:rsidR="00FA5416" w:rsidRPr="0029105C" w:rsidRDefault="004A5745" w:rsidP="00BB7945">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roofErr w:type="spellStart"/>
            <w:r>
              <w:rPr>
                <w:rFonts w:ascii="Times New Roman" w:eastAsia="Times New Roman" w:hAnsi="Times New Roman" w:cs="Times New Roman"/>
                <w:color w:val="000000" w:themeColor="text1"/>
                <w:sz w:val="20"/>
                <w:szCs w:val="20"/>
                <w:lang w:eastAsia="sk-SK"/>
              </w:rPr>
              <w:t>n.a</w:t>
            </w:r>
            <w:proofErr w:type="spellEnd"/>
            <w:r>
              <w:rPr>
                <w:rFonts w:ascii="Times New Roman" w:eastAsia="Times New Roman" w:hAnsi="Times New Roman" w:cs="Times New Roman"/>
                <w:color w:val="000000" w:themeColor="text1"/>
                <w:sz w:val="20"/>
                <w:szCs w:val="20"/>
                <w:lang w:eastAsia="sk-SK"/>
              </w:rPr>
              <w:t>.</w:t>
            </w:r>
          </w:p>
        </w:tc>
        <w:tc>
          <w:tcPr>
            <w:tcW w:w="1080" w:type="dxa"/>
            <w:tcBorders>
              <w:top w:val="single" w:sz="4" w:space="0" w:color="auto"/>
              <w:left w:val="nil"/>
              <w:bottom w:val="single" w:sz="4" w:space="0" w:color="auto"/>
              <w:right w:val="single" w:sz="4" w:space="0" w:color="auto"/>
            </w:tcBorders>
          </w:tcPr>
          <w:p w14:paraId="4E960FF8" w14:textId="5A433E54" w:rsidR="00850A3D" w:rsidRDefault="00B77A4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Návrh zákona č. 309/2009</w:t>
            </w:r>
          </w:p>
          <w:p w14:paraId="60BB068A" w14:textId="01F6B6CD"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CF81B4" w14:textId="63AFCF2D"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ABDAC5" w14:textId="5DF4A735"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BF8ED3" w14:textId="08D6DDB7"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047DA3" w14:textId="6554ACFB"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7D000F" w14:textId="62782859"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B0C390" w14:textId="364B2E00"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3082CC" w14:textId="4916D348"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B43EB6" w14:textId="1CD67F85"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E6DC04" w14:textId="12938954"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08295E" w14:textId="7127CA6B"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8D71D2" w14:textId="33543E03"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DBBFD3" w14:textId="265AC71D"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9565A0" w14:textId="1568668C"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32BDE8" w14:textId="72AC5E32"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A69A1A" w14:textId="6772ADB0"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7E1566" w14:textId="4107C970"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C7B04B" w14:textId="21C30896"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2D2614" w14:textId="291AA0F6"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9DD315" w14:textId="2AB7C50A"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0EE693" w14:textId="41B07C5B"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9F7891" w14:textId="42E10D6B"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CCAB4B" w14:textId="1CD44BE4"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703608" w14:textId="46D5A055"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74A50A" w14:textId="71EC2109"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BC3D26" w14:textId="72829D6A"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DDD7B5" w14:textId="34A8F952"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718BF7" w14:textId="0C136005"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5758C3" w14:textId="57F50C7A"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EC83C7" w14:textId="028852DF"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DFE5F1" w14:textId="2285197C"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2F66BD" w14:textId="20853F72"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DFC9A3" w14:textId="4E474828"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A80D7C" w14:textId="0D1A178E"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065D55" w14:textId="383748F1"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F60ED5" w14:textId="69A3CD94"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129C8D" w14:textId="010CBBBF"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8B3ECA" w14:textId="58F4B242"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678257" w14:textId="240020D1"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F7CA44" w14:textId="44177276"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8EF7F3" w14:textId="51CB125F"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8CB255" w14:textId="0EA24F55"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CA2B73" w14:textId="7DF19DC3"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3E2A84" w14:textId="20F1DA5A"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5284B6" w14:textId="6DBA2809"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9ECD18" w14:textId="7C2ED3E1"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83477D" w14:textId="665A5DD9"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CF4D10" w14:textId="32CC22A0"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59165C" w14:textId="60BBB723"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6DB340" w14:textId="3782698E"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18351E" w14:textId="38BA9325"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ABC4B6" w14:textId="20A664E4"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795273" w14:textId="0B5CD488"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521537" w14:textId="7F048E1B"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CCABAD" w14:textId="02E30529"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49AC5E" w14:textId="57666E03"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974E19" w14:textId="3A9BC2DD"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8F7174" w14:textId="0E002877"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1D0EFC" w14:textId="70D4A466"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B3C881" w14:textId="141FC2A0"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7A2BB9" w14:textId="66EC2981"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0116C7" w14:textId="7DD38CC2"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CBDEB8" w14:textId="232C1695"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6B0E85" w14:textId="3F18ED97"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5F9BA3" w14:textId="00E297A2"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DFC60C" w14:textId="16BD6393"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A1B9A1" w14:textId="295B5907"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732342" w14:textId="4C1C59EA"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B25606" w14:textId="329B1339"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3D530B" w14:textId="05A77E9A"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B096DE" w14:textId="6298809A"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8A8D36" w14:textId="51580777" w:rsidR="00F61DE2"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244FA7" w14:textId="71A1FB05" w:rsidR="00487F9F" w:rsidRDefault="00F61DE2"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2</w:t>
            </w:r>
          </w:p>
          <w:p w14:paraId="41CF1EB0" w14:textId="41D92E03"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C70E65" w14:textId="46800259"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E6D903" w14:textId="2E202946"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DC2C76" w14:textId="73A27006"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B0891F" w14:textId="4F30243C"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A43ACC" w14:textId="0B709208"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9F0249" w14:textId="0727B25E"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F27FC4" w14:textId="2A1C3DD9"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7D77CA" w14:textId="20693E93"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925E1B" w14:textId="0A30D6FA"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B3EBE6" w14:textId="276D8294"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372373" w14:textId="7157AD08"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960195" w14:textId="54C78220"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D7ED08" w14:textId="6AACF27E"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DFBA85" w14:textId="2D0345A0"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92E5A3" w14:textId="2B80883D"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BDCD46" w14:textId="3478C82D"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A446B5" w14:textId="713957DB"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EC5F0D" w14:textId="6A073E2D"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E936FD" w14:textId="37EF5E4E"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019A5E" w14:textId="598C05A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C1BB18" w14:textId="02338959"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28D81A" w14:textId="4FF71CD6"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1A21D8" w14:textId="43914F15"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93BCE2" w14:textId="16C2054B"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51C3E5" w14:textId="57D50421"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0C3AF6" w14:textId="4A3EA218"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DD4B6F" w14:textId="47A3BD90"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AC07CA" w14:textId="35B3BF5A"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C0B9FC" w14:textId="3BABCDAA"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FDD9C9" w14:textId="4D98C47E"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B6F2C2" w14:textId="1D8BE64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06ADAC" w14:textId="77777777" w:rsidR="00C73CE4" w:rsidRDefault="00C73CE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05B485"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69817B"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7104A8"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FCA9E1"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7F3210"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853A63"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1AE428"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F3B74E"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3F8660"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B40753"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300C48"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037AA0"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71DDE3"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85C2CA"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7BB025"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4525B2"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9925F0" w14:textId="77777777" w:rsidR="00F909B4" w:rsidRDefault="00F909B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F7D44C"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04FD4C" w14:textId="55E29195" w:rsidR="00487F9F" w:rsidRPr="0029105C"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900" w:type="dxa"/>
            <w:tcBorders>
              <w:top w:val="single" w:sz="4" w:space="0" w:color="auto"/>
              <w:left w:val="single" w:sz="4" w:space="0" w:color="auto"/>
              <w:bottom w:val="single" w:sz="4" w:space="0" w:color="auto"/>
              <w:right w:val="single" w:sz="4" w:space="0" w:color="auto"/>
            </w:tcBorders>
          </w:tcPr>
          <w:p w14:paraId="79D62A0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 14a</w:t>
            </w:r>
          </w:p>
          <w:p w14:paraId="77FBD61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 1</w:t>
            </w:r>
          </w:p>
          <w:p w14:paraId="55A6BC3F" w14:textId="176907B0"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P:a</w:t>
            </w:r>
            <w:r>
              <w:rPr>
                <w:rFonts w:ascii="Times New Roman" w:eastAsia="Times New Roman" w:hAnsi="Times New Roman" w:cs="Times New Roman"/>
                <w:color w:val="000000" w:themeColor="text1"/>
                <w:sz w:val="20"/>
                <w:szCs w:val="20"/>
                <w:lang w:eastAsia="sk-SK"/>
              </w:rPr>
              <w:t>)</w:t>
            </w:r>
            <w:r w:rsidRPr="0029105C">
              <w:rPr>
                <w:rFonts w:ascii="Times New Roman" w:eastAsia="Times New Roman" w:hAnsi="Times New Roman" w:cs="Times New Roman"/>
                <w:color w:val="000000" w:themeColor="text1"/>
                <w:sz w:val="20"/>
                <w:szCs w:val="20"/>
                <w:lang w:eastAsia="sk-SK"/>
              </w:rPr>
              <w:t xml:space="preserve"> a</w:t>
            </w:r>
            <w:r>
              <w:rPr>
                <w:rFonts w:ascii="Times New Roman" w:eastAsia="Times New Roman" w:hAnsi="Times New Roman" w:cs="Times New Roman"/>
                <w:color w:val="000000" w:themeColor="text1"/>
                <w:sz w:val="20"/>
                <w:szCs w:val="20"/>
                <w:lang w:eastAsia="sk-SK"/>
              </w:rPr>
              <w:t> </w:t>
            </w:r>
            <w:r w:rsidRPr="0029105C">
              <w:rPr>
                <w:rFonts w:ascii="Times New Roman" w:eastAsia="Times New Roman" w:hAnsi="Times New Roman" w:cs="Times New Roman"/>
                <w:color w:val="000000" w:themeColor="text1"/>
                <w:sz w:val="20"/>
                <w:szCs w:val="20"/>
                <w:lang w:eastAsia="sk-SK"/>
              </w:rPr>
              <w:t>b</w:t>
            </w:r>
            <w:r>
              <w:rPr>
                <w:rFonts w:ascii="Times New Roman" w:eastAsia="Times New Roman" w:hAnsi="Times New Roman" w:cs="Times New Roman"/>
                <w:color w:val="000000" w:themeColor="text1"/>
                <w:sz w:val="20"/>
                <w:szCs w:val="20"/>
                <w:lang w:eastAsia="sk-SK"/>
              </w:rPr>
              <w:t>)</w:t>
            </w:r>
          </w:p>
          <w:p w14:paraId="1231BE6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FEB5B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D7AA6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96D06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FF1C9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072C0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A2191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D18F9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8601F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3CABC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B6B1D1" w14:textId="699A5052"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B08B5D1"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6DEB4AB"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AD9C6F4"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B1F511A"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5F9C3DC"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023141B"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F3B1409"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62C75D1"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64355AD"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A965116"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DF4E37C"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4FB30F8"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CC7ECFA"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E37AC34" w14:textId="1B71EE19" w:rsidR="00850A3D" w:rsidRPr="0029105C" w:rsidRDefault="00850A3D"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14a</w:t>
            </w:r>
          </w:p>
          <w:p w14:paraId="4C342D99" w14:textId="01179D30" w:rsidR="00850A3D" w:rsidRPr="0029105C" w:rsidRDefault="00C73CE4" w:rsidP="00C73CE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11</w:t>
            </w:r>
          </w:p>
          <w:p w14:paraId="1DA6542E"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041E394"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22B00AE"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2C6D796"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E1831B3"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4E11D2A"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1126E5D"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DE403A5"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E18F332" w14:textId="77777777" w:rsidR="00C73CE4" w:rsidRDefault="00C73CE4"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3F26F0" w14:textId="77777777" w:rsidR="00C73CE4" w:rsidRDefault="00C73CE4"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116825" w14:textId="77777777" w:rsidR="00C73CE4" w:rsidRDefault="00C73CE4"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9C07F2" w14:textId="6BC58879" w:rsidR="00850A3D" w:rsidRPr="0029105C" w:rsidRDefault="00850A3D"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14f</w:t>
            </w:r>
          </w:p>
          <w:p w14:paraId="1528F9BA" w14:textId="1F2B14D7" w:rsidR="00850A3D" w:rsidRPr="0029105C" w:rsidRDefault="00C73CE4" w:rsidP="00C73CE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62431CDC"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9E398E2"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6287F21"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BE93A62"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84BA73E"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4B3F2EB"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D34F5C7"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B4020A7" w14:textId="11D7BEA6" w:rsidR="00850A3D"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CB9A279" w14:textId="189AD054" w:rsidR="00C73CE4" w:rsidRDefault="00C73CE4"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636EE3A" w14:textId="045DD408" w:rsidR="00C73CE4" w:rsidRDefault="00C73CE4"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E9BE9C9" w14:textId="5E64844E" w:rsidR="00C73CE4" w:rsidRDefault="00C73CE4"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1349EB1" w14:textId="6AB8DDE4" w:rsidR="00C73CE4" w:rsidRDefault="00C73CE4"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1255BC1" w14:textId="213DD27B" w:rsidR="00C73CE4" w:rsidRDefault="00C73CE4"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BC08A94" w14:textId="77777777" w:rsidR="00C73CE4" w:rsidRPr="0029105C" w:rsidRDefault="00C73CE4"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833F98E" w14:textId="77777777" w:rsidR="00850A3D" w:rsidRPr="0029105C" w:rsidRDefault="00850A3D"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14a</w:t>
            </w:r>
          </w:p>
          <w:p w14:paraId="07F89ABF" w14:textId="77777777" w:rsidR="00850A3D" w:rsidRPr="0029105C" w:rsidRDefault="00850A3D"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O:10</w:t>
            </w:r>
          </w:p>
          <w:p w14:paraId="4F904CB7"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9DF9463"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6971CD3"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A1F701D"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6F7E46D"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9991092"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4FA5509"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4DCB922"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E2A13C3"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C2FA811" w14:textId="54AFAADF" w:rsidR="00850A3D"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23B0CC4" w14:textId="5E65C0A6" w:rsidR="00F909B4" w:rsidRDefault="00F909B4"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09C8D7B" w14:textId="10EC4DC0" w:rsidR="00F909B4" w:rsidRDefault="00F909B4"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46F7CB7" w14:textId="54106623" w:rsidR="00F909B4" w:rsidRDefault="00F909B4"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42B3338" w14:textId="5858B167" w:rsidR="00F909B4" w:rsidRDefault="00F909B4"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D9A8FE3" w14:textId="0D8EDEA5" w:rsidR="00F909B4" w:rsidRDefault="00F909B4"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D0017FD" w14:textId="444A2932" w:rsidR="00F909B4" w:rsidRDefault="00F909B4"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C1B29E5" w14:textId="1421F993" w:rsidR="00F61DE2" w:rsidRDefault="00F61DE2" w:rsidP="00BB7945">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w:t>
            </w:r>
            <w:r w:rsidR="00830DED">
              <w:rPr>
                <w:rFonts w:ascii="Times New Roman" w:eastAsia="Times New Roman" w:hAnsi="Times New Roman" w:cs="Times New Roman"/>
                <w:color w:val="000000" w:themeColor="text1"/>
                <w:sz w:val="20"/>
                <w:szCs w:val="20"/>
                <w:lang w:eastAsia="sk-SK"/>
              </w:rPr>
              <w:t>14</w:t>
            </w:r>
          </w:p>
          <w:p w14:paraId="10A16140" w14:textId="73190CF0" w:rsidR="00F61DE2" w:rsidRDefault="00F61DE2" w:rsidP="00BB7945">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O:3</w:t>
            </w:r>
          </w:p>
          <w:p w14:paraId="23D60638" w14:textId="77777777" w:rsidR="00F909B4" w:rsidRPr="0029105C" w:rsidRDefault="00F909B4"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F8E323B" w14:textId="77777777" w:rsidR="00F909B4" w:rsidRDefault="00F909B4"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5E9CB2" w14:textId="77777777" w:rsidR="00F909B4" w:rsidRDefault="00F909B4"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B791D4" w14:textId="77777777" w:rsidR="00F909B4" w:rsidRDefault="00F909B4"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60DE17" w14:textId="77777777" w:rsidR="00F909B4" w:rsidRDefault="00F909B4"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66D55D" w14:textId="77777777" w:rsidR="00F909B4" w:rsidRDefault="00F909B4"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B35FC2" w14:textId="77777777" w:rsidR="00F909B4" w:rsidRDefault="00F909B4"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DE98E9" w14:textId="77777777" w:rsidR="00F909B4" w:rsidRDefault="00F909B4"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49F5D2" w14:textId="77777777" w:rsidR="00F909B4" w:rsidRDefault="00F909B4"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8B8528" w14:textId="77777777" w:rsidR="00F909B4" w:rsidRDefault="00F909B4"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CE7E0D" w14:textId="77777777" w:rsidR="00F909B4" w:rsidRDefault="00F909B4"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EFCA41" w14:textId="77777777" w:rsidR="00850A3D" w:rsidRPr="0029105C" w:rsidRDefault="00850A3D" w:rsidP="004A5745">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57BB4DE0" w14:textId="6008447C"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(1) Pri uvádzaní pohonných látok na trh je minimálny energetický obsah (ďalej len „referenčná hodnota“)</w:t>
            </w:r>
          </w:p>
          <w:p w14:paraId="6270C985"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a) primiešaných udržateľných pohonných látok z celkového energetického obsahu motorovej nafty a motorového benzínu uvedeného na trh</w:t>
            </w:r>
          </w:p>
          <w:p w14:paraId="3403E80A"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1. 8,2 % pre rok 2022,</w:t>
            </w:r>
          </w:p>
          <w:p w14:paraId="601EF1CE"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2. 8,6 % pre rok 2023,</w:t>
            </w:r>
          </w:p>
          <w:p w14:paraId="418B8F5E"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3. 8,8 % pre rok 2024,</w:t>
            </w:r>
          </w:p>
          <w:p w14:paraId="61E21426"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4. 9,2 % pre rok 2025,</w:t>
            </w:r>
          </w:p>
          <w:p w14:paraId="0B2F1DB9"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5. 9,5 % pre rok 2026,</w:t>
            </w:r>
          </w:p>
          <w:p w14:paraId="1080EF30" w14:textId="24D0DFD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6. 1</w:t>
            </w:r>
            <w:r w:rsidR="008B41B1">
              <w:rPr>
                <w:rFonts w:ascii="Times New Roman" w:eastAsia="Times New Roman" w:hAnsi="Times New Roman" w:cs="Times New Roman"/>
                <w:color w:val="000000" w:themeColor="text1"/>
                <w:sz w:val="20"/>
                <w:szCs w:val="20"/>
                <w:lang w:eastAsia="sk-SK"/>
              </w:rPr>
              <w:t>0,2</w:t>
            </w:r>
            <w:r w:rsidRPr="0029105C">
              <w:rPr>
                <w:rFonts w:ascii="Times New Roman" w:eastAsia="Times New Roman" w:hAnsi="Times New Roman" w:cs="Times New Roman"/>
                <w:color w:val="000000" w:themeColor="text1"/>
                <w:sz w:val="20"/>
                <w:szCs w:val="20"/>
                <w:lang w:eastAsia="sk-SK"/>
              </w:rPr>
              <w:t xml:space="preserve"> % pre rok 2027,</w:t>
            </w:r>
          </w:p>
          <w:p w14:paraId="114CF07F" w14:textId="24438BD0"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7. 1</w:t>
            </w:r>
            <w:r w:rsidR="008B41B1">
              <w:rPr>
                <w:rFonts w:ascii="Times New Roman" w:eastAsia="Times New Roman" w:hAnsi="Times New Roman" w:cs="Times New Roman"/>
                <w:color w:val="000000" w:themeColor="text1"/>
                <w:sz w:val="20"/>
                <w:szCs w:val="20"/>
                <w:lang w:eastAsia="sk-SK"/>
              </w:rPr>
              <w:t>1</w:t>
            </w:r>
            <w:r w:rsidRPr="0029105C">
              <w:rPr>
                <w:rFonts w:ascii="Times New Roman" w:eastAsia="Times New Roman" w:hAnsi="Times New Roman" w:cs="Times New Roman"/>
                <w:color w:val="000000" w:themeColor="text1"/>
                <w:sz w:val="20"/>
                <w:szCs w:val="20"/>
                <w:lang w:eastAsia="sk-SK"/>
              </w:rPr>
              <w:t>,</w:t>
            </w:r>
            <w:r w:rsidR="008B41B1">
              <w:rPr>
                <w:rFonts w:ascii="Times New Roman" w:eastAsia="Times New Roman" w:hAnsi="Times New Roman" w:cs="Times New Roman"/>
                <w:color w:val="000000" w:themeColor="text1"/>
                <w:sz w:val="20"/>
                <w:szCs w:val="20"/>
                <w:lang w:eastAsia="sk-SK"/>
              </w:rPr>
              <w:t>5</w:t>
            </w:r>
            <w:r w:rsidRPr="0029105C">
              <w:rPr>
                <w:rFonts w:ascii="Times New Roman" w:eastAsia="Times New Roman" w:hAnsi="Times New Roman" w:cs="Times New Roman"/>
                <w:color w:val="000000" w:themeColor="text1"/>
                <w:sz w:val="20"/>
                <w:szCs w:val="20"/>
                <w:lang w:eastAsia="sk-SK"/>
              </w:rPr>
              <w:t xml:space="preserve"> % pre rok 2028,</w:t>
            </w:r>
          </w:p>
          <w:p w14:paraId="47184F61" w14:textId="0B8E16FA"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8. 1</w:t>
            </w:r>
            <w:r w:rsidR="008B41B1">
              <w:rPr>
                <w:rFonts w:ascii="Times New Roman" w:eastAsia="Times New Roman" w:hAnsi="Times New Roman" w:cs="Times New Roman"/>
                <w:color w:val="000000" w:themeColor="text1"/>
                <w:sz w:val="20"/>
                <w:szCs w:val="20"/>
                <w:lang w:eastAsia="sk-SK"/>
              </w:rPr>
              <w:t>6</w:t>
            </w:r>
            <w:r w:rsidRPr="0029105C">
              <w:rPr>
                <w:rFonts w:ascii="Times New Roman" w:eastAsia="Times New Roman" w:hAnsi="Times New Roman" w:cs="Times New Roman"/>
                <w:color w:val="000000" w:themeColor="text1"/>
                <w:sz w:val="20"/>
                <w:szCs w:val="20"/>
                <w:lang w:eastAsia="sk-SK"/>
              </w:rPr>
              <w:t>,0 % pre rok 2029,</w:t>
            </w:r>
          </w:p>
          <w:p w14:paraId="39ACCD33"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9. 27,0 % pre rok 2030.</w:t>
            </w:r>
          </w:p>
          <w:p w14:paraId="5F96A722"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097CDC1"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b) udržateľných pohonných látok z celkového energetického obsahu stlačeného zemného plynu a skvapalneného zemného plynu uvedeného na trh</w:t>
            </w:r>
          </w:p>
          <w:p w14:paraId="45D90154"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1. 2,0 % pre rok 2023,</w:t>
            </w:r>
          </w:p>
          <w:p w14:paraId="2C3F875E"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2. 3,0 % pre rok 2024,</w:t>
            </w:r>
          </w:p>
          <w:p w14:paraId="4E018750"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3. 4,0 % pre rok 2025,</w:t>
            </w:r>
          </w:p>
          <w:p w14:paraId="788CFB2D"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4. 6,0 % pre rok 2026,</w:t>
            </w:r>
          </w:p>
          <w:p w14:paraId="22DCE027" w14:textId="296ED901"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5. 1</w:t>
            </w:r>
            <w:r w:rsidR="008B41B1">
              <w:rPr>
                <w:rFonts w:ascii="Times New Roman" w:eastAsia="Times New Roman" w:hAnsi="Times New Roman" w:cs="Times New Roman"/>
                <w:color w:val="000000" w:themeColor="text1"/>
                <w:sz w:val="20"/>
                <w:szCs w:val="20"/>
                <w:lang w:eastAsia="sk-SK"/>
              </w:rPr>
              <w:t>0,2</w:t>
            </w:r>
            <w:r w:rsidRPr="0029105C">
              <w:rPr>
                <w:rFonts w:ascii="Times New Roman" w:eastAsia="Times New Roman" w:hAnsi="Times New Roman" w:cs="Times New Roman"/>
                <w:color w:val="000000" w:themeColor="text1"/>
                <w:sz w:val="20"/>
                <w:szCs w:val="20"/>
                <w:lang w:eastAsia="sk-SK"/>
              </w:rPr>
              <w:t xml:space="preserve"> % pre rok 2027,</w:t>
            </w:r>
          </w:p>
          <w:p w14:paraId="0879D2E2" w14:textId="10522435"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6. </w:t>
            </w:r>
            <w:r w:rsidR="008B41B1">
              <w:rPr>
                <w:rFonts w:ascii="Times New Roman" w:eastAsia="Times New Roman" w:hAnsi="Times New Roman" w:cs="Times New Roman"/>
                <w:color w:val="000000" w:themeColor="text1"/>
                <w:sz w:val="20"/>
                <w:szCs w:val="20"/>
                <w:lang w:eastAsia="sk-SK"/>
              </w:rPr>
              <w:t>11,5</w:t>
            </w:r>
            <w:r w:rsidRPr="0029105C">
              <w:rPr>
                <w:rFonts w:ascii="Times New Roman" w:eastAsia="Times New Roman" w:hAnsi="Times New Roman" w:cs="Times New Roman"/>
                <w:color w:val="000000" w:themeColor="text1"/>
                <w:sz w:val="20"/>
                <w:szCs w:val="20"/>
                <w:lang w:eastAsia="sk-SK"/>
              </w:rPr>
              <w:t xml:space="preserve"> % pre rok 2028,</w:t>
            </w:r>
          </w:p>
          <w:p w14:paraId="1D903656" w14:textId="469CCAFA"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7. </w:t>
            </w:r>
            <w:r w:rsidR="008B41B1">
              <w:rPr>
                <w:rFonts w:ascii="Times New Roman" w:eastAsia="Times New Roman" w:hAnsi="Times New Roman" w:cs="Times New Roman"/>
                <w:color w:val="000000" w:themeColor="text1"/>
                <w:sz w:val="20"/>
                <w:szCs w:val="20"/>
                <w:lang w:eastAsia="sk-SK"/>
              </w:rPr>
              <w:t>16,0</w:t>
            </w:r>
            <w:r w:rsidRPr="0029105C">
              <w:rPr>
                <w:rFonts w:ascii="Times New Roman" w:eastAsia="Times New Roman" w:hAnsi="Times New Roman" w:cs="Times New Roman"/>
                <w:color w:val="000000" w:themeColor="text1"/>
                <w:sz w:val="20"/>
                <w:szCs w:val="20"/>
                <w:lang w:eastAsia="sk-SK"/>
              </w:rPr>
              <w:t xml:space="preserve"> % pre rok 2029,</w:t>
            </w:r>
          </w:p>
          <w:p w14:paraId="3E7A50AE" w14:textId="0CB0EB86"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8. </w:t>
            </w:r>
            <w:r w:rsidR="008B41B1">
              <w:rPr>
                <w:rFonts w:ascii="Times New Roman" w:eastAsia="Times New Roman" w:hAnsi="Times New Roman" w:cs="Times New Roman"/>
                <w:color w:val="000000" w:themeColor="text1"/>
                <w:sz w:val="20"/>
                <w:szCs w:val="20"/>
                <w:lang w:eastAsia="sk-SK"/>
              </w:rPr>
              <w:t>27,</w:t>
            </w:r>
            <w:r w:rsidRPr="0029105C">
              <w:rPr>
                <w:rFonts w:ascii="Times New Roman" w:eastAsia="Times New Roman" w:hAnsi="Times New Roman" w:cs="Times New Roman"/>
                <w:color w:val="000000" w:themeColor="text1"/>
                <w:sz w:val="20"/>
                <w:szCs w:val="20"/>
                <w:lang w:eastAsia="sk-SK"/>
              </w:rPr>
              <w:t>0 % pre rok 2030.</w:t>
            </w:r>
          </w:p>
          <w:p w14:paraId="5B95CD12"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13ED0BD" w14:textId="33934EAD" w:rsidR="00850A3D" w:rsidRPr="0029105C" w:rsidRDefault="00C73CE4"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(11) </w:t>
            </w:r>
            <w:r w:rsidR="00850A3D" w:rsidRPr="0029105C">
              <w:rPr>
                <w:rFonts w:ascii="Times New Roman" w:eastAsia="Times New Roman" w:hAnsi="Times New Roman" w:cs="Times New Roman"/>
                <w:color w:val="000000" w:themeColor="text1"/>
                <w:sz w:val="20"/>
                <w:szCs w:val="20"/>
                <w:lang w:eastAsia="sk-SK"/>
              </w:rPr>
              <w:t>Právnická osoba alebo fyzická osoba podľa odseku 2, ktorá uvádza na trh stlačený zemný plyn alebo skvapalnený zemný plyn, je povinná za kalendárny rok uviesť udržateľné pohonné látky zo surovín uvedených v prílohe č. 1a minimálne v referenčnej hodnote, ktorá je</w:t>
            </w:r>
          </w:p>
          <w:p w14:paraId="2336E6C9" w14:textId="77777777" w:rsidR="00C73CE4" w:rsidRPr="00C73CE4" w:rsidRDefault="00C73CE4" w:rsidP="00C73CE4">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C73CE4">
              <w:rPr>
                <w:rFonts w:ascii="Times New Roman" w:eastAsia="Times New Roman" w:hAnsi="Times New Roman" w:cs="Times New Roman"/>
                <w:sz w:val="20"/>
                <w:szCs w:val="20"/>
                <w:lang w:eastAsia="sk-SK"/>
              </w:rPr>
              <w:t>a) 0,5 % pre rok 2023,</w:t>
            </w:r>
          </w:p>
          <w:p w14:paraId="0C408271" w14:textId="77777777" w:rsidR="00C73CE4" w:rsidRPr="00C73CE4" w:rsidRDefault="00C73CE4" w:rsidP="00C73CE4">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C73CE4">
              <w:rPr>
                <w:rFonts w:ascii="Times New Roman" w:eastAsia="Times New Roman" w:hAnsi="Times New Roman" w:cs="Times New Roman"/>
                <w:sz w:val="20"/>
                <w:szCs w:val="20"/>
                <w:lang w:eastAsia="sk-SK"/>
              </w:rPr>
              <w:t>b) 0,65 % pre rok 2024,</w:t>
            </w:r>
          </w:p>
          <w:p w14:paraId="2B3D4F80" w14:textId="21D8DF3A" w:rsidR="00850A3D" w:rsidRPr="0029105C" w:rsidRDefault="00C73CE4" w:rsidP="00C73CE4">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C73CE4">
              <w:rPr>
                <w:rFonts w:ascii="Times New Roman" w:eastAsia="Times New Roman" w:hAnsi="Times New Roman" w:cs="Times New Roman"/>
                <w:sz w:val="20"/>
                <w:szCs w:val="20"/>
                <w:lang w:eastAsia="sk-SK"/>
              </w:rPr>
              <w:t>c) 1,05 % pre roky 2025 a 2026,</w:t>
            </w:r>
          </w:p>
          <w:p w14:paraId="31A5776D" w14:textId="2132F2A4"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d) 1,25 % pre rok</w:t>
            </w:r>
            <w:r w:rsidR="00F55143">
              <w:rPr>
                <w:rFonts w:ascii="Times New Roman" w:eastAsia="Times New Roman" w:hAnsi="Times New Roman" w:cs="Times New Roman"/>
                <w:sz w:val="20"/>
                <w:szCs w:val="20"/>
                <w:lang w:eastAsia="sk-SK"/>
              </w:rPr>
              <w:t>y</w:t>
            </w:r>
            <w:r w:rsidRPr="0029105C">
              <w:rPr>
                <w:rFonts w:ascii="Times New Roman" w:eastAsia="Times New Roman" w:hAnsi="Times New Roman" w:cs="Times New Roman"/>
                <w:sz w:val="20"/>
                <w:szCs w:val="20"/>
                <w:lang w:eastAsia="sk-SK"/>
              </w:rPr>
              <w:t xml:space="preserve"> 2027 a 2028, </w:t>
            </w:r>
          </w:p>
          <w:p w14:paraId="07C3BC10" w14:textId="1E71835F"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e) 1,75 % pre rok 2029, </w:t>
            </w:r>
          </w:p>
          <w:p w14:paraId="272DD711" w14:textId="03C9862B"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f) 3,75 % pre rok 2030.</w:t>
            </w:r>
          </w:p>
          <w:p w14:paraId="5220BBB2"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603F3C98" w14:textId="229D9131" w:rsidR="00850A3D" w:rsidRPr="0029105C" w:rsidRDefault="00C73CE4"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C73CE4">
              <w:rPr>
                <w:rFonts w:ascii="Times New Roman" w:eastAsia="Times New Roman" w:hAnsi="Times New Roman" w:cs="Times New Roman"/>
                <w:sz w:val="20"/>
                <w:szCs w:val="20"/>
                <w:lang w:eastAsia="sk-SK"/>
              </w:rPr>
              <w:t>Právnická osoba alebo fyzická osoba, na ktorú sa vzťahuje povinnosť podľa § 14a ods. 1 písm. a), je povinná uvádzať na trh pohonné látky s obsahom pokročilých biopalív minimálne v referenčnej hodnote vypočítanej z celkového energetického obsahu zmesi pohonných látok uvedených na trh, ktorá je</w:t>
            </w:r>
          </w:p>
          <w:p w14:paraId="268D09E4" w14:textId="77777777" w:rsidR="00C73CE4" w:rsidRPr="00C73CE4" w:rsidRDefault="00C73CE4" w:rsidP="00C73CE4">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C73CE4">
              <w:rPr>
                <w:rFonts w:ascii="Times New Roman" w:eastAsia="Times New Roman" w:hAnsi="Times New Roman" w:cs="Times New Roman"/>
                <w:sz w:val="20"/>
                <w:szCs w:val="20"/>
                <w:lang w:eastAsia="sk-SK"/>
              </w:rPr>
              <w:t>a) 0,1 % pre rok 2019,</w:t>
            </w:r>
          </w:p>
          <w:p w14:paraId="0BC126E7" w14:textId="77777777" w:rsidR="00C73CE4" w:rsidRPr="00C73CE4" w:rsidRDefault="00C73CE4" w:rsidP="00C73CE4">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C73CE4">
              <w:rPr>
                <w:rFonts w:ascii="Times New Roman" w:eastAsia="Times New Roman" w:hAnsi="Times New Roman" w:cs="Times New Roman"/>
                <w:sz w:val="20"/>
                <w:szCs w:val="20"/>
                <w:lang w:eastAsia="sk-SK"/>
              </w:rPr>
              <w:t>b) 0,5 % pre rok 2020,</w:t>
            </w:r>
          </w:p>
          <w:p w14:paraId="0BFE32CE" w14:textId="77777777" w:rsidR="00C73CE4" w:rsidRPr="00C73CE4" w:rsidRDefault="00C73CE4" w:rsidP="00C73CE4">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C73CE4">
              <w:rPr>
                <w:rFonts w:ascii="Times New Roman" w:eastAsia="Times New Roman" w:hAnsi="Times New Roman" w:cs="Times New Roman"/>
                <w:sz w:val="20"/>
                <w:szCs w:val="20"/>
                <w:lang w:eastAsia="sk-SK"/>
              </w:rPr>
              <w:t>c) 0,3 % pre roky 2021 a 2022,</w:t>
            </w:r>
          </w:p>
          <w:p w14:paraId="31EFB5DE" w14:textId="77777777" w:rsidR="00C73CE4" w:rsidRPr="00C73CE4" w:rsidRDefault="00C73CE4" w:rsidP="00C73CE4">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C73CE4">
              <w:rPr>
                <w:rFonts w:ascii="Times New Roman" w:eastAsia="Times New Roman" w:hAnsi="Times New Roman" w:cs="Times New Roman"/>
                <w:sz w:val="20"/>
                <w:szCs w:val="20"/>
                <w:lang w:eastAsia="sk-SK"/>
              </w:rPr>
              <w:lastRenderedPageBreak/>
              <w:t>d) 0,5 % pre rok 2023,</w:t>
            </w:r>
          </w:p>
          <w:p w14:paraId="5420E5DB" w14:textId="77777777" w:rsidR="00C73CE4" w:rsidRPr="00C73CE4" w:rsidRDefault="00C73CE4" w:rsidP="00C73CE4">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C73CE4">
              <w:rPr>
                <w:rFonts w:ascii="Times New Roman" w:eastAsia="Times New Roman" w:hAnsi="Times New Roman" w:cs="Times New Roman"/>
                <w:sz w:val="20"/>
                <w:szCs w:val="20"/>
                <w:lang w:eastAsia="sk-SK"/>
              </w:rPr>
              <w:t>e) 0,65 % pre rok 2024,</w:t>
            </w:r>
          </w:p>
          <w:p w14:paraId="6AF8F60D" w14:textId="0D1EE518" w:rsidR="00850A3D" w:rsidRPr="0029105C" w:rsidRDefault="00C73CE4" w:rsidP="00C73CE4">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C73CE4">
              <w:rPr>
                <w:rFonts w:ascii="Times New Roman" w:eastAsia="Times New Roman" w:hAnsi="Times New Roman" w:cs="Times New Roman"/>
                <w:sz w:val="20"/>
                <w:szCs w:val="20"/>
                <w:lang w:eastAsia="sk-SK"/>
              </w:rPr>
              <w:t>f) 1,05 % pre roky 2025 a 2026,</w:t>
            </w:r>
          </w:p>
          <w:p w14:paraId="2BB81F42" w14:textId="652CCB01"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g) 1,25 % pre roky 2027 a 2028, </w:t>
            </w:r>
          </w:p>
          <w:p w14:paraId="4BA3866B" w14:textId="0274C5BA"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 xml:space="preserve">h) 1,75 % pre rok 2029, </w:t>
            </w:r>
          </w:p>
          <w:p w14:paraId="1A46F374" w14:textId="54D2144F"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29105C">
              <w:rPr>
                <w:rFonts w:ascii="Times New Roman" w:eastAsia="Times New Roman" w:hAnsi="Times New Roman" w:cs="Times New Roman"/>
                <w:sz w:val="20"/>
                <w:szCs w:val="20"/>
                <w:lang w:eastAsia="sk-SK"/>
              </w:rPr>
              <w:t>i) 3,75 % pre rok 2030.</w:t>
            </w:r>
          </w:p>
          <w:p w14:paraId="13CB595B"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613FFB0E" w14:textId="7282D43A" w:rsidR="00850A3D" w:rsidRPr="0029105C" w:rsidRDefault="00FA5416"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w:t>
            </w:r>
            <w:r w:rsidR="00E1385B">
              <w:rPr>
                <w:rFonts w:ascii="Times New Roman" w:eastAsia="Times New Roman" w:hAnsi="Times New Roman" w:cs="Times New Roman"/>
                <w:sz w:val="20"/>
                <w:szCs w:val="20"/>
                <w:lang w:eastAsia="sk-SK"/>
              </w:rPr>
              <w:t>)</w:t>
            </w:r>
            <w:r w:rsidR="00E1385B">
              <w:t xml:space="preserve"> </w:t>
            </w:r>
            <w:r w:rsidR="00E1385B" w:rsidRPr="00E1385B">
              <w:rPr>
                <w:rFonts w:ascii="Times New Roman" w:eastAsia="Times New Roman" w:hAnsi="Times New Roman" w:cs="Times New Roman"/>
                <w:sz w:val="20"/>
                <w:szCs w:val="20"/>
                <w:lang w:eastAsia="sk-SK"/>
              </w:rPr>
              <w:t>Právnická osoba alebo fyzická osoba, ktorá uvádza na trh pohonné látky s obsahom udržateľných pohonných látok je povinná plniť referenčnú hodnotu podľa odseku 11 písm. f) a § 14f ods. 2 písm. i) aj prostredníctvom palív z obnoviteľných zdrojov nebiologického pôvodu, a to v minimálnej výške pol percentuálneho bodu ustanovenej referenčnej hodnoty.</w:t>
            </w:r>
          </w:p>
          <w:p w14:paraId="22F83044"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4238017A"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7CA3F689"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723A70B5"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1C61EF73" w14:textId="64B9510F" w:rsidR="00850A3D" w:rsidRDefault="00850A3D"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34678790" w14:textId="02C8745C" w:rsidR="00F909B4" w:rsidRDefault="00F909B4"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5F24A71D" w14:textId="1C2BFE7F" w:rsidR="00F909B4" w:rsidRDefault="00F909B4"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5ECF1B63" w14:textId="4A5A8938" w:rsidR="00F909B4" w:rsidRDefault="00F909B4"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0E4F0489" w14:textId="086DB16C" w:rsidR="00F909B4" w:rsidRDefault="00F909B4"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733C31CE" w14:textId="674FA72A" w:rsidR="00F909B4" w:rsidRDefault="00F909B4"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2737D1A9" w14:textId="77777777" w:rsidR="00F61DE2" w:rsidRPr="00F61DE2" w:rsidRDefault="00F61DE2" w:rsidP="00F61DE2">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638DDE8C" w14:textId="2372FFF0" w:rsidR="00F909B4" w:rsidRDefault="00F61DE2" w:rsidP="00F61DE2">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F61DE2">
              <w:rPr>
                <w:rFonts w:ascii="Times New Roman" w:eastAsia="Times New Roman" w:hAnsi="Times New Roman" w:cs="Times New Roman"/>
                <w:sz w:val="20"/>
                <w:szCs w:val="20"/>
                <w:lang w:eastAsia="sk-SK"/>
              </w:rPr>
              <w:t>Ministerstvo vypracováva integrovaný národný energetický a klimatický plán,17ac) ktorého súčasťou je aj určenie cieľov v oblasti využívania obnoviteľných zdrojov energie ako príspevku Slovenskej republiky k splneniu celkového záväzného cieľa Európskej únie. Ministerstvo zabezpečuje jeho aktualizáciu a vypracovanie správ o pokroku pri jeho plnení.</w:t>
            </w:r>
          </w:p>
          <w:p w14:paraId="4242F16C" w14:textId="0DD14EDE" w:rsidR="00F909B4" w:rsidRDefault="00F909B4" w:rsidP="00850A3D">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30FF6923" w14:textId="77777777" w:rsidR="00F61DE2" w:rsidRPr="00F61DE2" w:rsidRDefault="00F61DE2" w:rsidP="00F61DE2">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F61DE2">
              <w:rPr>
                <w:rFonts w:ascii="Times New Roman" w:eastAsia="Times New Roman" w:hAnsi="Times New Roman" w:cs="Times New Roman"/>
                <w:sz w:val="20"/>
                <w:szCs w:val="20"/>
                <w:lang w:eastAsia="sk-SK"/>
              </w:rPr>
              <w:t>17ac)</w:t>
            </w:r>
          </w:p>
          <w:p w14:paraId="13105D91" w14:textId="07945DBE" w:rsidR="00850A3D" w:rsidRPr="0029105C" w:rsidRDefault="00F61DE2" w:rsidP="00830DED">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F61DE2">
              <w:rPr>
                <w:rFonts w:ascii="Times New Roman" w:eastAsia="Times New Roman" w:hAnsi="Times New Roman" w:cs="Times New Roman"/>
                <w:sz w:val="20"/>
                <w:szCs w:val="20"/>
                <w:lang w:eastAsia="sk-SK"/>
              </w:rPr>
              <w:t xml:space="preserve">Čl. 3 ods. 1 a 2 a Príloha I nariadenia Európskeho parlamentu a Rady (EÚ) 2018/1999 z 11. decembra 2018 o riadení energetickej únie a opatrení v oblasti klímy, ktorým sa menia nariadenia Európskeho parlamentu a Rady (ES) č. 663/2009 a (ES) č. 715/2009, </w:t>
            </w:r>
            <w:r w:rsidRPr="00F61DE2">
              <w:rPr>
                <w:rFonts w:ascii="Times New Roman" w:eastAsia="Times New Roman" w:hAnsi="Times New Roman" w:cs="Times New Roman"/>
                <w:sz w:val="20"/>
                <w:szCs w:val="20"/>
                <w:lang w:eastAsia="sk-SK"/>
              </w:rPr>
              <w:lastRenderedPageBreak/>
              <w:t>smernice Európskeho parlamentu a Rady 94/22/ES, 98/70/ES, 2009/31/ES, 2009/73/ES, 2010/31/EÚ, 2012/27/EÚ a 2013/30/EÚ, smernice Rady 2009/119/ES a (EÚ) 2015/652 a ktorým sa zrušuje nariadenie Európskeho parlamentu a Rady (EÚ) č. 525/2013 (Ú. v. EÚ L 328, 21. 12. 2018) v platnom znení.</w:t>
            </w:r>
          </w:p>
        </w:tc>
        <w:tc>
          <w:tcPr>
            <w:tcW w:w="849" w:type="dxa"/>
            <w:tcBorders>
              <w:top w:val="single" w:sz="4" w:space="0" w:color="auto"/>
              <w:left w:val="single" w:sz="4" w:space="0" w:color="auto"/>
              <w:bottom w:val="single" w:sz="4" w:space="0" w:color="auto"/>
              <w:right w:val="single" w:sz="4" w:space="0" w:color="auto"/>
            </w:tcBorders>
          </w:tcPr>
          <w:p w14:paraId="7C92CD6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Ú</w:t>
            </w:r>
          </w:p>
        </w:tc>
        <w:tc>
          <w:tcPr>
            <w:tcW w:w="1360" w:type="dxa"/>
            <w:tcBorders>
              <w:top w:val="single" w:sz="4" w:space="0" w:color="auto"/>
              <w:left w:val="single" w:sz="4" w:space="0" w:color="auto"/>
              <w:bottom w:val="single" w:sz="4" w:space="0" w:color="auto"/>
              <w:right w:val="single" w:sz="4" w:space="0" w:color="auto"/>
            </w:tcBorders>
          </w:tcPr>
          <w:p w14:paraId="6D9C8D39"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667F79F3"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675E05EE"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3850AFA6" w14:textId="77777777" w:rsidTr="00402EF0">
        <w:tc>
          <w:tcPr>
            <w:tcW w:w="1005" w:type="dxa"/>
            <w:tcBorders>
              <w:top w:val="single" w:sz="4" w:space="0" w:color="auto"/>
              <w:left w:val="single" w:sz="12" w:space="0" w:color="auto"/>
              <w:bottom w:val="single" w:sz="4" w:space="0" w:color="auto"/>
              <w:right w:val="single" w:sz="4" w:space="0" w:color="auto"/>
            </w:tcBorders>
          </w:tcPr>
          <w:p w14:paraId="23CA621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Č:1</w:t>
            </w:r>
          </w:p>
          <w:p w14:paraId="4A5581E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O:15</w:t>
            </w:r>
          </w:p>
        </w:tc>
        <w:tc>
          <w:tcPr>
            <w:tcW w:w="3421" w:type="dxa"/>
            <w:tcBorders>
              <w:top w:val="single" w:sz="4" w:space="0" w:color="auto"/>
              <w:left w:val="single" w:sz="4" w:space="0" w:color="auto"/>
              <w:bottom w:val="single" w:sz="4" w:space="0" w:color="auto"/>
              <w:right w:val="single" w:sz="4" w:space="0" w:color="auto"/>
            </w:tcBorders>
          </w:tcPr>
          <w:p w14:paraId="22AF2CCC" w14:textId="77777777" w:rsidR="00727A8D" w:rsidRDefault="002C4A26"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C4A26">
              <w:rPr>
                <w:rFonts w:ascii="Times New Roman" w:eastAsia="Times New Roman" w:hAnsi="Times New Roman" w:cs="Times New Roman"/>
                <w:color w:val="000000" w:themeColor="text1"/>
                <w:sz w:val="20"/>
                <w:szCs w:val="20"/>
                <w:lang w:eastAsia="sk-SK"/>
              </w:rPr>
              <w:t>Článok 25 sa nahrádza takto:</w:t>
            </w:r>
          </w:p>
          <w:p w14:paraId="0067BE8C" w14:textId="2806A9DC"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Členské štáty na výpočet cieľov uvedených v odseku 1 prvom </w:t>
            </w:r>
            <w:proofErr w:type="spellStart"/>
            <w:r w:rsidRPr="0029105C">
              <w:rPr>
                <w:rFonts w:ascii="Times New Roman" w:eastAsia="Times New Roman" w:hAnsi="Times New Roman" w:cs="Times New Roman"/>
                <w:color w:val="000000" w:themeColor="text1"/>
                <w:sz w:val="20"/>
                <w:szCs w:val="20"/>
                <w:lang w:eastAsia="sk-SK"/>
              </w:rPr>
              <w:t>pododseku</w:t>
            </w:r>
            <w:proofErr w:type="spellEnd"/>
            <w:r w:rsidRPr="0029105C">
              <w:rPr>
                <w:rFonts w:ascii="Times New Roman" w:eastAsia="Times New Roman" w:hAnsi="Times New Roman" w:cs="Times New Roman"/>
                <w:color w:val="000000" w:themeColor="text1"/>
                <w:sz w:val="20"/>
                <w:szCs w:val="20"/>
                <w:lang w:eastAsia="sk-SK"/>
              </w:rPr>
              <w:t xml:space="preserve"> písm. a), a podielov uvedených </w:t>
            </w:r>
          </w:p>
          <w:p w14:paraId="5BCA8DF4"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v odseku 1 prvom </w:t>
            </w:r>
            <w:proofErr w:type="spellStart"/>
            <w:r w:rsidRPr="0029105C">
              <w:rPr>
                <w:rFonts w:ascii="Times New Roman" w:eastAsia="Times New Roman" w:hAnsi="Times New Roman" w:cs="Times New Roman"/>
                <w:color w:val="000000" w:themeColor="text1"/>
                <w:sz w:val="20"/>
                <w:szCs w:val="20"/>
                <w:lang w:eastAsia="sk-SK"/>
              </w:rPr>
              <w:t>pododseku</w:t>
            </w:r>
            <w:proofErr w:type="spellEnd"/>
            <w:r w:rsidRPr="0029105C">
              <w:rPr>
                <w:rFonts w:ascii="Times New Roman" w:eastAsia="Times New Roman" w:hAnsi="Times New Roman" w:cs="Times New Roman"/>
                <w:color w:val="000000" w:themeColor="text1"/>
                <w:sz w:val="20"/>
                <w:szCs w:val="20"/>
                <w:lang w:eastAsia="sk-SK"/>
              </w:rPr>
              <w:t xml:space="preserve"> písm. b):</w:t>
            </w:r>
          </w:p>
          <w:p w14:paraId="2E83224C"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a) zohľadnia palivá z obnoviteľných zdrojov nebiologického pôvodu aj v prípadoch, keď sa používajú ako </w:t>
            </w:r>
          </w:p>
          <w:p w14:paraId="20372375"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medziprodukt na výrobu:</w:t>
            </w:r>
          </w:p>
          <w:p w14:paraId="15B91ED4"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i) konvenčných dopravných palív alebo</w:t>
            </w:r>
          </w:p>
          <w:p w14:paraId="27CC6370"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ii) biopalív za predpokladu, že sa zníženie emisií skleníkových plynov dosiahnuté používaním palív </w:t>
            </w:r>
          </w:p>
          <w:p w14:paraId="3ACD2366"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z obnoviteľných zdrojov nebiologického pôvodu nezapočítava do výpočtu úspor emisií skleníkových plynov </w:t>
            </w:r>
          </w:p>
          <w:p w14:paraId="4B803A36"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biopalív;</w:t>
            </w:r>
          </w:p>
        </w:tc>
        <w:tc>
          <w:tcPr>
            <w:tcW w:w="794" w:type="dxa"/>
            <w:tcBorders>
              <w:top w:val="single" w:sz="4" w:space="0" w:color="auto"/>
              <w:left w:val="single" w:sz="4" w:space="0" w:color="auto"/>
              <w:bottom w:val="single" w:sz="4" w:space="0" w:color="auto"/>
              <w:right w:val="single" w:sz="12" w:space="0" w:color="auto"/>
            </w:tcBorders>
          </w:tcPr>
          <w:p w14:paraId="321BDFF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2FD2ABC4" w14:textId="2EBE530E" w:rsidR="00850A3D" w:rsidRPr="0029105C" w:rsidRDefault="00727A8D" w:rsidP="00727A8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309/2009</w:t>
            </w:r>
          </w:p>
        </w:tc>
        <w:tc>
          <w:tcPr>
            <w:tcW w:w="900" w:type="dxa"/>
            <w:tcBorders>
              <w:top w:val="single" w:sz="4" w:space="0" w:color="auto"/>
              <w:left w:val="single" w:sz="4" w:space="0" w:color="auto"/>
              <w:bottom w:val="single" w:sz="4" w:space="0" w:color="auto"/>
              <w:right w:val="single" w:sz="4" w:space="0" w:color="auto"/>
            </w:tcBorders>
          </w:tcPr>
          <w:p w14:paraId="080518D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 14a </w:t>
            </w:r>
          </w:p>
          <w:p w14:paraId="45E9EA8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 9</w:t>
            </w:r>
          </w:p>
          <w:p w14:paraId="2346A53C" w14:textId="3942D8D5"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 d</w:t>
            </w:r>
            <w:r>
              <w:rPr>
                <w:rFonts w:ascii="Times New Roman" w:eastAsia="Times New Roman" w:hAnsi="Times New Roman" w:cs="Times New Roman"/>
                <w:color w:val="000000" w:themeColor="text1"/>
                <w:sz w:val="20"/>
                <w:szCs w:val="20"/>
                <w:lang w:eastAsia="sk-SK"/>
              </w:rPr>
              <w:t>)</w:t>
            </w:r>
          </w:p>
        </w:tc>
        <w:tc>
          <w:tcPr>
            <w:tcW w:w="4540" w:type="dxa"/>
            <w:tcBorders>
              <w:top w:val="single" w:sz="4" w:space="0" w:color="auto"/>
              <w:left w:val="single" w:sz="4" w:space="0" w:color="auto"/>
              <w:bottom w:val="single" w:sz="4" w:space="0" w:color="auto"/>
              <w:right w:val="single" w:sz="4" w:space="0" w:color="auto"/>
            </w:tcBorders>
          </w:tcPr>
          <w:p w14:paraId="56E86B1E" w14:textId="56850A1D"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(9) Na účely plnenia referenčnej hodnoty podľa odseku 1 sa započítava energetický obsah</w:t>
            </w:r>
          </w:p>
          <w:p w14:paraId="70AC98E6" w14:textId="290AF7F2" w:rsidR="00850A3D" w:rsidRPr="0029105C" w:rsidRDefault="00850A3D"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d)</w:t>
            </w:r>
            <w:r w:rsidR="00E1385B">
              <w:rPr>
                <w:rFonts w:ascii="Times New Roman" w:eastAsia="Times New Roman" w:hAnsi="Times New Roman" w:cs="Times New Roman"/>
                <w:color w:val="000000" w:themeColor="text1"/>
                <w:sz w:val="20"/>
                <w:szCs w:val="20"/>
                <w:lang w:eastAsia="sk-SK"/>
              </w:rPr>
              <w:t xml:space="preserve"> </w:t>
            </w:r>
            <w:r w:rsidR="00E1385B" w:rsidRPr="00E1385B">
              <w:rPr>
                <w:rFonts w:ascii="Times New Roman" w:eastAsia="Times New Roman" w:hAnsi="Times New Roman" w:cs="Times New Roman"/>
                <w:color w:val="000000" w:themeColor="text1"/>
                <w:sz w:val="20"/>
                <w:szCs w:val="20"/>
                <w:lang w:eastAsia="sk-SK"/>
              </w:rPr>
              <w:t>palív z obnoviteľných zdrojov nebiologického pôvodu dvojnásobne a to aj vtedy, ak boli použité ako medziprodukt na výrobu motorovej nafty, motorového benzínu, stlačeného zemného plynu, skvapalneného zemného plynu alebo biopalív za predpokladu, že sa zníženie emisií skleníkových plynov dosiahnuté používaním palív z obnoviteľných zdrojov nebiologického pôvodu nezapočítava do výpočtu úspor emisií skleníkových plynov biopalív, podľa metodiky ustanovenej ministerstvom,</w:t>
            </w:r>
          </w:p>
        </w:tc>
        <w:tc>
          <w:tcPr>
            <w:tcW w:w="849" w:type="dxa"/>
            <w:tcBorders>
              <w:top w:val="single" w:sz="4" w:space="0" w:color="auto"/>
              <w:left w:val="single" w:sz="4" w:space="0" w:color="auto"/>
              <w:bottom w:val="single" w:sz="4" w:space="0" w:color="auto"/>
              <w:right w:val="single" w:sz="4" w:space="0" w:color="auto"/>
            </w:tcBorders>
          </w:tcPr>
          <w:p w14:paraId="68E1E20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0A4F7224"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6B1A7812"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5AE48A43"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ED085D" w:rsidRPr="0029105C" w14:paraId="13F4ECED" w14:textId="77777777" w:rsidTr="00402EF0">
        <w:tc>
          <w:tcPr>
            <w:tcW w:w="1005" w:type="dxa"/>
            <w:tcBorders>
              <w:top w:val="single" w:sz="4" w:space="0" w:color="auto"/>
              <w:left w:val="single" w:sz="12" w:space="0" w:color="auto"/>
              <w:bottom w:val="single" w:sz="4" w:space="0" w:color="auto"/>
              <w:right w:val="single" w:sz="4" w:space="0" w:color="auto"/>
            </w:tcBorders>
          </w:tcPr>
          <w:p w14:paraId="56DC06E8" w14:textId="77777777" w:rsidR="00ED085D" w:rsidRDefault="00ED085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Č:1</w:t>
            </w:r>
          </w:p>
          <w:p w14:paraId="087034A7" w14:textId="337B4AEF" w:rsidR="00ED085D" w:rsidRPr="0029105C" w:rsidRDefault="00ED085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O:15</w:t>
            </w:r>
          </w:p>
        </w:tc>
        <w:tc>
          <w:tcPr>
            <w:tcW w:w="3421" w:type="dxa"/>
            <w:tcBorders>
              <w:top w:val="single" w:sz="4" w:space="0" w:color="auto"/>
              <w:left w:val="single" w:sz="4" w:space="0" w:color="auto"/>
              <w:bottom w:val="single" w:sz="4" w:space="0" w:color="auto"/>
              <w:right w:val="single" w:sz="4" w:space="0" w:color="auto"/>
            </w:tcBorders>
          </w:tcPr>
          <w:p w14:paraId="4008A068" w14:textId="6E78786F" w:rsidR="00ED085D" w:rsidRPr="00F61DE2" w:rsidRDefault="00ED085D" w:rsidP="00ED085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F61DE2">
              <w:rPr>
                <w:rFonts w:ascii="Times New Roman" w:eastAsia="Times New Roman" w:hAnsi="Times New Roman" w:cs="Times New Roman"/>
                <w:color w:val="000000" w:themeColor="text1"/>
                <w:sz w:val="20"/>
                <w:szCs w:val="20"/>
                <w:lang w:eastAsia="sk-SK"/>
              </w:rPr>
              <w:t xml:space="preserve">Na výpočet cieľov stanovených v odseku 1 prvom </w:t>
            </w:r>
            <w:proofErr w:type="spellStart"/>
            <w:r w:rsidRPr="00F61DE2">
              <w:rPr>
                <w:rFonts w:ascii="Times New Roman" w:eastAsia="Times New Roman" w:hAnsi="Times New Roman" w:cs="Times New Roman"/>
                <w:color w:val="000000" w:themeColor="text1"/>
                <w:sz w:val="20"/>
                <w:szCs w:val="20"/>
                <w:lang w:eastAsia="sk-SK"/>
              </w:rPr>
              <w:t>pododseku</w:t>
            </w:r>
            <w:proofErr w:type="spellEnd"/>
            <w:r w:rsidRPr="00F61DE2">
              <w:rPr>
                <w:rFonts w:ascii="Times New Roman" w:eastAsia="Times New Roman" w:hAnsi="Times New Roman" w:cs="Times New Roman"/>
                <w:color w:val="000000" w:themeColor="text1"/>
                <w:sz w:val="20"/>
                <w:szCs w:val="20"/>
                <w:lang w:eastAsia="sk-SK"/>
              </w:rPr>
              <w:t xml:space="preserve"> písm. a) môžu členské štáty zohľadniť množstvo fosílnych palív vyrobených z odpadu.</w:t>
            </w:r>
          </w:p>
          <w:p w14:paraId="25FE995D" w14:textId="77777777" w:rsidR="00ED085D" w:rsidRPr="00F61DE2" w:rsidRDefault="00ED085D" w:rsidP="00ED085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34E479F" w14:textId="77777777" w:rsidR="00ED085D" w:rsidRPr="00F61DE2" w:rsidRDefault="00ED085D" w:rsidP="00ED085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F61DE2">
              <w:rPr>
                <w:rFonts w:ascii="Times New Roman" w:eastAsia="Times New Roman" w:hAnsi="Times New Roman" w:cs="Times New Roman"/>
                <w:color w:val="000000" w:themeColor="text1"/>
                <w:sz w:val="20"/>
                <w:szCs w:val="20"/>
                <w:lang w:eastAsia="sk-SK"/>
              </w:rPr>
              <w:t>Členské štáty môžu pri navrhovaní povinnosti dodávateľom paliva:</w:t>
            </w:r>
          </w:p>
          <w:p w14:paraId="3C7FA91E" w14:textId="54924B5F" w:rsidR="00ED085D" w:rsidRPr="00F61DE2" w:rsidRDefault="00ED085D" w:rsidP="00ED085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F61DE2">
              <w:rPr>
                <w:rFonts w:ascii="Times New Roman" w:eastAsia="Times New Roman" w:hAnsi="Times New Roman" w:cs="Times New Roman"/>
                <w:color w:val="000000" w:themeColor="text1"/>
                <w:sz w:val="20"/>
                <w:szCs w:val="20"/>
                <w:lang w:eastAsia="sk-SK"/>
              </w:rPr>
              <w:t>a) oslobodiť tých dodávateľov palív, ktorí dodávajú palivá vo forme elektriny z obnoviteľných zdrojov nebiologického pôvodu, od požiadavky spĺňať minimálny podiel pokročilých biopalív a bioplynu vyrábaných zo surovín uvedených v časti A prílohy IX, pokiaľ ide o predmetné palivá;</w:t>
            </w:r>
          </w:p>
          <w:p w14:paraId="67048A7C" w14:textId="416B326B" w:rsidR="00ED085D" w:rsidRPr="00F61DE2" w:rsidRDefault="00ED085D" w:rsidP="00ED085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F61DE2">
              <w:rPr>
                <w:rFonts w:ascii="Times New Roman" w:eastAsia="Times New Roman" w:hAnsi="Times New Roman" w:cs="Times New Roman"/>
                <w:color w:val="000000" w:themeColor="text1"/>
                <w:sz w:val="20"/>
                <w:szCs w:val="20"/>
                <w:lang w:eastAsia="sk-SK"/>
              </w:rPr>
              <w:t>b) uložiť povinnosť prostredníctvom opatrení zameraných na objemy, energetický obsah alebo emisie skleníkových plynov;</w:t>
            </w:r>
          </w:p>
          <w:p w14:paraId="7A1FC536" w14:textId="3D1D7E2B" w:rsidR="00ED085D" w:rsidRPr="00F61DE2" w:rsidRDefault="00ED085D" w:rsidP="00ED085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F61DE2">
              <w:rPr>
                <w:rFonts w:ascii="Times New Roman" w:eastAsia="Times New Roman" w:hAnsi="Times New Roman" w:cs="Times New Roman"/>
                <w:color w:val="000000" w:themeColor="text1"/>
                <w:sz w:val="20"/>
                <w:szCs w:val="20"/>
                <w:lang w:eastAsia="sk-SK"/>
              </w:rPr>
              <w:t>c) rozlišovať medzi rôznymi nosičmi energie;</w:t>
            </w:r>
          </w:p>
          <w:p w14:paraId="53A0ADF4" w14:textId="79B3756E" w:rsidR="00ED085D" w:rsidRPr="003E0D5F" w:rsidRDefault="00ED085D" w:rsidP="00ED085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highlight w:val="yellow"/>
                <w:lang w:eastAsia="sk-SK"/>
              </w:rPr>
            </w:pPr>
            <w:r w:rsidRPr="00F61DE2">
              <w:rPr>
                <w:rFonts w:ascii="Times New Roman" w:eastAsia="Times New Roman" w:hAnsi="Times New Roman" w:cs="Times New Roman"/>
                <w:color w:val="000000" w:themeColor="text1"/>
                <w:sz w:val="20"/>
                <w:szCs w:val="20"/>
                <w:lang w:eastAsia="sk-SK"/>
              </w:rPr>
              <w:lastRenderedPageBreak/>
              <w:t>d) rozlišovať medzi sektorom námornej dopravy a inými sektormi.</w:t>
            </w:r>
          </w:p>
        </w:tc>
        <w:tc>
          <w:tcPr>
            <w:tcW w:w="794" w:type="dxa"/>
            <w:tcBorders>
              <w:top w:val="single" w:sz="4" w:space="0" w:color="auto"/>
              <w:left w:val="single" w:sz="4" w:space="0" w:color="auto"/>
              <w:bottom w:val="single" w:sz="4" w:space="0" w:color="auto"/>
              <w:right w:val="single" w:sz="12" w:space="0" w:color="auto"/>
            </w:tcBorders>
          </w:tcPr>
          <w:p w14:paraId="563E47D3" w14:textId="32FD47C5" w:rsidR="00ED085D" w:rsidRPr="003E0D5F" w:rsidRDefault="003E0D5F" w:rsidP="00850A3D">
            <w:pPr>
              <w:autoSpaceDE w:val="0"/>
              <w:autoSpaceDN w:val="0"/>
              <w:spacing w:after="0" w:line="240" w:lineRule="auto"/>
              <w:jc w:val="center"/>
              <w:rPr>
                <w:rFonts w:ascii="Times New Roman" w:eastAsia="Times New Roman" w:hAnsi="Times New Roman" w:cs="Times New Roman"/>
                <w:color w:val="000000" w:themeColor="text1"/>
                <w:sz w:val="20"/>
                <w:szCs w:val="20"/>
                <w:highlight w:val="yellow"/>
                <w:lang w:eastAsia="sk-SK"/>
              </w:rPr>
            </w:pPr>
            <w:r w:rsidRPr="00F61DE2">
              <w:rPr>
                <w:rFonts w:ascii="Times New Roman" w:eastAsia="Times New Roman" w:hAnsi="Times New Roman" w:cs="Times New Roman"/>
                <w:color w:val="000000" w:themeColor="text1"/>
                <w:sz w:val="20"/>
                <w:szCs w:val="20"/>
                <w:lang w:eastAsia="sk-SK"/>
              </w:rPr>
              <w:lastRenderedPageBreak/>
              <w:t>D</w:t>
            </w:r>
          </w:p>
        </w:tc>
        <w:tc>
          <w:tcPr>
            <w:tcW w:w="1080" w:type="dxa"/>
            <w:tcBorders>
              <w:top w:val="single" w:sz="4" w:space="0" w:color="auto"/>
              <w:left w:val="nil"/>
              <w:bottom w:val="single" w:sz="4" w:space="0" w:color="auto"/>
              <w:right w:val="single" w:sz="4" w:space="0" w:color="auto"/>
            </w:tcBorders>
          </w:tcPr>
          <w:p w14:paraId="2E564FDB" w14:textId="77777777" w:rsidR="00ED085D" w:rsidRDefault="00ED085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900" w:type="dxa"/>
            <w:tcBorders>
              <w:top w:val="single" w:sz="4" w:space="0" w:color="auto"/>
              <w:left w:val="single" w:sz="4" w:space="0" w:color="auto"/>
              <w:bottom w:val="single" w:sz="4" w:space="0" w:color="auto"/>
              <w:right w:val="single" w:sz="4" w:space="0" w:color="auto"/>
            </w:tcBorders>
          </w:tcPr>
          <w:p w14:paraId="4042551B" w14:textId="77777777" w:rsidR="00ED085D" w:rsidRPr="0029105C" w:rsidRDefault="00ED085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4BC7D0C3" w14:textId="77777777" w:rsidR="00ED085D" w:rsidRDefault="00ED085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tc>
        <w:tc>
          <w:tcPr>
            <w:tcW w:w="849" w:type="dxa"/>
            <w:tcBorders>
              <w:top w:val="single" w:sz="4" w:space="0" w:color="auto"/>
              <w:left w:val="single" w:sz="4" w:space="0" w:color="auto"/>
              <w:bottom w:val="single" w:sz="4" w:space="0" w:color="auto"/>
              <w:right w:val="single" w:sz="4" w:space="0" w:color="auto"/>
            </w:tcBorders>
          </w:tcPr>
          <w:p w14:paraId="4BA0AE84" w14:textId="77777777" w:rsidR="00ED085D" w:rsidRPr="0029105C" w:rsidRDefault="00ED085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6E53EA72" w14:textId="77777777" w:rsidR="00ED085D" w:rsidRPr="0029105C" w:rsidRDefault="00ED085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24561838" w14:textId="77777777" w:rsidR="00ED085D" w:rsidRPr="0029105C" w:rsidRDefault="00ED085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15EBD91D" w14:textId="77777777" w:rsidR="00ED085D" w:rsidRPr="0029105C" w:rsidRDefault="00ED085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59099619" w14:textId="77777777" w:rsidTr="00402EF0">
        <w:tc>
          <w:tcPr>
            <w:tcW w:w="1005" w:type="dxa"/>
            <w:tcBorders>
              <w:top w:val="single" w:sz="4" w:space="0" w:color="auto"/>
              <w:left w:val="single" w:sz="12" w:space="0" w:color="auto"/>
              <w:bottom w:val="single" w:sz="4" w:space="0" w:color="auto"/>
              <w:right w:val="single" w:sz="4" w:space="0" w:color="auto"/>
            </w:tcBorders>
          </w:tcPr>
          <w:p w14:paraId="3688F16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5DD3DDB3"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O:15</w:t>
            </w:r>
          </w:p>
        </w:tc>
        <w:tc>
          <w:tcPr>
            <w:tcW w:w="3421" w:type="dxa"/>
            <w:tcBorders>
              <w:top w:val="single" w:sz="4" w:space="0" w:color="auto"/>
              <w:left w:val="single" w:sz="4" w:space="0" w:color="auto"/>
              <w:bottom w:val="single" w:sz="4" w:space="0" w:color="auto"/>
              <w:right w:val="single" w:sz="4" w:space="0" w:color="auto"/>
            </w:tcBorders>
          </w:tcPr>
          <w:p w14:paraId="13982BC5" w14:textId="77777777" w:rsidR="00FC070D"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Členské štáty zavedú mechanizmus umožňujúci dodávateľom palív na ich území vymieňať kredity za dodávky energie z obnoviteľných zdrojov odvetviu dopravy. Hospodárske subjekty, ktoré dodávajú elektrinu z obnoviteľných zdrojov elektrickým vozidlám prostredníctvom verejných nabíjacích bodov dostávajú kredity bez ohľadu na to, či sa na dané hospodárske subjekty vzťahujú povinnosti, ktoré členské štáty uložili dodávateľom palív, a môžu tieto kredity predať dodávateľom palív, ktorí ich môžu použiť na účely splnenia povinnosti stanovenej v odseku 1 prvom </w:t>
            </w:r>
            <w:proofErr w:type="spellStart"/>
            <w:r w:rsidRPr="0029105C">
              <w:rPr>
                <w:rFonts w:ascii="Times New Roman" w:eastAsia="Times New Roman" w:hAnsi="Times New Roman" w:cs="Times New Roman"/>
                <w:color w:val="000000" w:themeColor="text1"/>
                <w:sz w:val="20"/>
                <w:szCs w:val="20"/>
                <w:lang w:eastAsia="sk-SK"/>
              </w:rPr>
              <w:t>pododseku</w:t>
            </w:r>
            <w:proofErr w:type="spellEnd"/>
            <w:r w:rsidRPr="0029105C">
              <w:rPr>
                <w:rFonts w:ascii="Times New Roman" w:eastAsia="Times New Roman" w:hAnsi="Times New Roman" w:cs="Times New Roman"/>
                <w:color w:val="000000" w:themeColor="text1"/>
                <w:sz w:val="20"/>
                <w:szCs w:val="20"/>
                <w:lang w:eastAsia="sk-SK"/>
              </w:rPr>
              <w:t xml:space="preserve">. </w:t>
            </w:r>
          </w:p>
          <w:p w14:paraId="10FC42AA"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6E71260"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49FFEB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611C671"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9F926DB"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6905873"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D99CB45"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DA6D3A2"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5EAC838"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B912FAA"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8BA8AD1"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BE2A413"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472E52F"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132478F"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6441316"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23B3F73"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3D9EBE8"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D0B01BF"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DAE1E8B"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2F40E55"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E6E25E5"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A4248E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C13A1A2"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7C9261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D56DE69"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E8DF29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AC38103"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5C48AAF"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0B6E29D"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00295F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558708F"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61E6209"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417A752"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28CBCBA"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A4E3C81"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BB5EDEF"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68A68D8"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3EBD1B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7FB522E"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5CB1230"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499957D"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DF181B1"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FC5F107"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3A06866"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579BC4F"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1C75BC6"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D83EF9E"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8F8A19F"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700B087"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C32D6FD"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8BCD3B7"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9CFF349"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BC7D465"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1399AD8"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DDCCE46"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A5F88D6"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E94554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E146697"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372FB3C"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D9D0C7F"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B2E854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463E6D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8734F7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61F6C9D"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58B3256"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27AD8FD"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2EDB59C"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E4C20B5"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9093F98"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AFA2429"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86A573C"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F098159"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55C45D6"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02AA64E"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2F9604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A6484D2"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E48F18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C6EC6D0"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E54BF3A"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4AA70BD"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D007E2A"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D75E98B"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08B64E5"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030EC8C"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7A57123"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16CEEBB"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2388E31"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4FB4DDA"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D1F97BD"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021BCF3"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D94D768"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FDEA637"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10E9872"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BE0DA8B"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4EE43A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9C62A8A"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84C5FFA"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A2D7A29"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D8C3FCD"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E286788"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E4460DA"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DE7395B"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B079D28"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A39D091"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9868835"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0862653"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2D94E97"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8BCC9F0"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05D05F9"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C78C49C"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C45316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FCD13C1"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8845FDD"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A3E79EE"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4EB200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4B88E6C"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7AA5BDF"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A940661"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8359D16"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394447E"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EE21680"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71072EC"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F777203"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5998FAC"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BAC0A4D"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8D8E427"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10064A7"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A642196"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8F7A057"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0CDA2C3"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297E108"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A35666E"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4DE387E"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ACB3FD2"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5FC09D5"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DC28522"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130EC4D"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EF2B330"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482EAC7"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FC6EF2C"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52035E9"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E6BD038"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5F05ED5"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D8639BE"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BB459DA"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6B34A54"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D937EEF"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262CCC2"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8BD43C1"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A8B14ED"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8765DA8"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6103FFB"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9940968"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4F83C3F"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ADEEF63"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23D98A9"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727F59A"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B327485"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51B63B0"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D22B165"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7B1D72C"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827BC67" w14:textId="77777777" w:rsidR="00FC070D" w:rsidRDefault="00FC070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7727D87" w14:textId="4947F250"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Členské štáty môžu do tohto mechanizmu zahrnúť súkromné nabíjacie body za predpokladu, že je možné preukázať, že elektrina z obnoviteľných zdrojov dodávaná týmto súkromným nabíjacím bodom sa poskytuje výlučne elektrickým vozidlám.</w:t>
            </w:r>
          </w:p>
        </w:tc>
        <w:tc>
          <w:tcPr>
            <w:tcW w:w="794" w:type="dxa"/>
            <w:tcBorders>
              <w:top w:val="single" w:sz="4" w:space="0" w:color="auto"/>
              <w:left w:val="single" w:sz="4" w:space="0" w:color="auto"/>
              <w:bottom w:val="single" w:sz="4" w:space="0" w:color="auto"/>
              <w:right w:val="single" w:sz="12" w:space="0" w:color="auto"/>
            </w:tcBorders>
          </w:tcPr>
          <w:p w14:paraId="0D4DBBCF"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N</w:t>
            </w:r>
          </w:p>
          <w:p w14:paraId="52134226"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996569"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A37209"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921520"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B0202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173DE9"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EF90A0"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5A694D"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F38878"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AC9298"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C4D4E8"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A9B364"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83AA5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83D87C"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A33569"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7CB8C8"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5CD5CE"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12CF53"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4B8862"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499547"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F3712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F6F2F0"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608D0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16D64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A27B86"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5A50B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6AE8D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E648DF"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2F1247"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24BE6C"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F9C796"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9CA183"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F6B5B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A0C70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7830A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1B204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4FDBE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D31597"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7FB506"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477BF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AA139D"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7DE45E"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7D0DD0"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26B31F"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28811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19E066"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2B4D2D"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DD2427"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27E20E"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55D609"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422D68"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51A8B4"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C7584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32ADA2"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31899C"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0E8955"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F0E570"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00D7EC"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561C8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EC2913"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39E56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FDE0A3"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CDEFD3"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7FC3D5"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008BF9"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17E916"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DB950E"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A342ED"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51D3B5"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DD8843"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03EACF"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99868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C13D09"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539B6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DD682E"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9E1637"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D28372"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0BF8D5"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53E7AF"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DD501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9B5F1F"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255927"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46152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6E6C3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5C215F"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69E692"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314164"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DEFBCE"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3B2A3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45D73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1E63B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202DF2"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61C31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3517B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212E20"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3D219D"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B61863"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B0AFC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EE1728"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69AD17"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ED935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0B4CF3"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E11B5D"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CB2D2E"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57F5D7"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121F1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1CEB23"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FF42A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741CF3"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BF76BF"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D16B56"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6D4614"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197DD5"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FBF16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FF88A5"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BF3D9E"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25FB72"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26EE8F"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C5A53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3E54C3"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8E08B5"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48E3BE"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F3C980"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DF190C"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73F32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57E5B3"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987D54"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B751E5"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E6C13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D42C75"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662BC7"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83CCE7"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7BF95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024C74"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88B688"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F2F3CF"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882796"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8FBCD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29CA40"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C452725"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41B935"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488662"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5CB25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2EC579"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315BC6"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5311DE"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A037F7"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B69EC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4FF72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70FD9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E5AEB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5A7587"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756915"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4AD2F8"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00F6B7"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D210C5"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B54ACF"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43512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32B7E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729EB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2FFA42"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C001D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FF110B"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EBD8A2"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A9B43E"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F1285F"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678CD4"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6C58AA"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D7E265"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DD5346"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3798D0"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133F8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9482DF"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0A8101"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A4069E"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FB97A0"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CC7834" w14:textId="77777777" w:rsidR="00FC070D"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A2F99F" w14:textId="474247B7" w:rsidR="00FC070D" w:rsidRPr="0029105C" w:rsidRDefault="00FC070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roofErr w:type="spellStart"/>
            <w:r>
              <w:rPr>
                <w:rFonts w:ascii="Times New Roman" w:eastAsia="Times New Roman" w:hAnsi="Times New Roman" w:cs="Times New Roman"/>
                <w:color w:val="000000" w:themeColor="text1"/>
                <w:sz w:val="20"/>
                <w:szCs w:val="20"/>
                <w:lang w:eastAsia="sk-SK"/>
              </w:rPr>
              <w:t>n.a</w:t>
            </w:r>
            <w:proofErr w:type="spellEnd"/>
            <w:r>
              <w:rPr>
                <w:rFonts w:ascii="Times New Roman" w:eastAsia="Times New Roman" w:hAnsi="Times New Roman" w:cs="Times New Roman"/>
                <w:color w:val="000000" w:themeColor="text1"/>
                <w:sz w:val="20"/>
                <w:szCs w:val="20"/>
                <w:lang w:eastAsia="sk-SK"/>
              </w:rPr>
              <w:t>.</w:t>
            </w:r>
          </w:p>
        </w:tc>
        <w:tc>
          <w:tcPr>
            <w:tcW w:w="1080" w:type="dxa"/>
            <w:tcBorders>
              <w:top w:val="single" w:sz="4" w:space="0" w:color="auto"/>
              <w:left w:val="nil"/>
              <w:bottom w:val="single" w:sz="4" w:space="0" w:color="auto"/>
              <w:right w:val="single" w:sz="4" w:space="0" w:color="auto"/>
            </w:tcBorders>
          </w:tcPr>
          <w:p w14:paraId="58A017A9" w14:textId="3D771890" w:rsidR="00850A3D"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Návrh zákona č.</w:t>
            </w:r>
            <w:r w:rsidR="00727A8D">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p w14:paraId="1537CCFB"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50E5BA"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5E1B9A"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5198FF"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486B91"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83E328"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41F709"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830E30"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1508C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E1D932"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9681B9"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665A55"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A2F43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E54D6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4CD385"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4B119D"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504308"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6D323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B258C0"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E18FCC"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2323D0"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C8ED97"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49352D"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17576D"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691419"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B2A865"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23FA05"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AA36BD"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736C76"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74BDCB"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0AD70B"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352225"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7C1FFD"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617D42"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A3F6FB"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50F370"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E428DD"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7F2F17"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4C568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42D25F"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4975CF"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78DF8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5969BB"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E433E9"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574B6D"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F6B7BC"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92083B"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088D07"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A962FB"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DDF671"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44A524"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679448"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B18F6F"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30FDD7"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0DDF50"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6CFF0B"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E48B1A"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C85180"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28EC6D"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73695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722DEE"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9E9417"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6CD010"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9CD551"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E14D9F"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75F887"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09E4FA"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22C506"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7B8A54"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2C83F5"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8B0959"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2940C1"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5326E7"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CC0CD4"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9FBEEA"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45CF0A"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A0CA76"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4A0A1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4C8D78"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A15B5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4B409A"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999D04E"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BD19D2"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1B412C"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A825E1"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0EEC52"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A54710"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D487D8"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F9B5DB"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ADD53B"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F02E1B"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BEE85A"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C2328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39B08D"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7F8F7C"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ADFE6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423B64"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156B2C"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15CDEB"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11AE10"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B7EC7B"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F467CF"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70B3B5"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0B78E4"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771AE6"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A99DAD"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AC15B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F45AE7"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787C7A"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7A5044"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3EB270"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66AAC8"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082F11"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8A2D5F"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4A2615"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28D325"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5D4896"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D89C90"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8B8BCE"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9F0F82"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12378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B31E1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A54CAC"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847355"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AC666C"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51F6F9"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67D996"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35D93A"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5A9D94"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ADD3B4"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C7B39C"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B3E28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C1D66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2FE2DC"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C6E8E2"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ED5C60"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B9B515"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1ED9F1"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340A13"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64A744"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98CCDC"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E1B2B9"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1816C1"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57B882" w14:textId="77777777" w:rsidR="00487F9F"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C18D9C" w14:textId="1AF18A6A" w:rsidR="00487F9F" w:rsidRPr="0029105C" w:rsidRDefault="00487F9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900" w:type="dxa"/>
            <w:tcBorders>
              <w:top w:val="single" w:sz="4" w:space="0" w:color="auto"/>
              <w:left w:val="single" w:sz="4" w:space="0" w:color="auto"/>
              <w:bottom w:val="single" w:sz="4" w:space="0" w:color="auto"/>
              <w:right w:val="single" w:sz="4" w:space="0" w:color="auto"/>
            </w:tcBorders>
          </w:tcPr>
          <w:p w14:paraId="4DD49959" w14:textId="393C5350"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 14c</w:t>
            </w:r>
          </w:p>
          <w:p w14:paraId="39DE664D" w14:textId="240758DD"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E8D54D" w14:textId="274BBB99"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68A125" w14:textId="0BFAC3A3"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300AB9" w14:textId="04183221"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47C414" w14:textId="6F39ED8F"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5B6CEE" w14:textId="7A6EA22D"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508FA3" w14:textId="0AA31A4A"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343398" w14:textId="23AC21BA"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96B40D" w14:textId="39861FE4"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8242C2" w14:textId="4547F53A"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C54414" w14:textId="30D1846A"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D1A57B" w14:textId="35C64AC2"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2EBDAF" w14:textId="032FA7D0"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4583BE" w14:textId="43DBFE2C"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F29397" w14:textId="3214E4FE"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A1B5A5" w14:textId="64C25ED2"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BC7D00" w14:textId="4D143341" w:rsidR="009F5089" w:rsidRDefault="009F5089"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053BD6" w14:textId="30501181" w:rsidR="009F5089" w:rsidRDefault="009F5089"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ABC48E6" w14:textId="74455A85"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3AE9EA6" w14:textId="7D09035E"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DD32EC6" w14:textId="09B64510"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0843634" w14:textId="5B2035FE"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DC42796" w14:textId="692FAF48"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5645EDB" w14:textId="5697E182"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BB30BED" w14:textId="3EDD3274"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6E55E30" w14:textId="685B2D4E"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CE5E953" w14:textId="6B34BC6A"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12D0F3D" w14:textId="18AE842F"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A11BD90" w14:textId="15A229E3"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92DA496" w14:textId="370FCE08"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45FE3F1" w14:textId="1DB888FE"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B6C363D" w14:textId="1169A452"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CD18F52" w14:textId="2E73F2BD"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1340E1C" w14:textId="350E0CA8"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708639E" w14:textId="17E29565"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A89F3DE" w14:textId="495D83FC"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39D2973" w14:textId="5F4BDE84"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CA46190" w14:textId="493FDBEE"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1E514CD" w14:textId="3C5BC00F"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6E3D325" w14:textId="0D28082A"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3CDDEF1" w14:textId="1BEE996C"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B807DDB" w14:textId="4A550925"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B4CB7D8" w14:textId="0935A66C"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A3E459D" w14:textId="720183B4"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F269145" w14:textId="459FC7BA"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DBE053C" w14:textId="1DDBA065"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DA5151E" w14:textId="1127CBE2"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EC5687B" w14:textId="3646062F"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7680833" w14:textId="2D0F5F2D"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1C3023C" w14:textId="71399D2C"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A4F97F8" w14:textId="6A85F004"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F55AB03" w14:textId="048E589A"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3E9BC7F" w14:textId="18F148F4"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B8872EE" w14:textId="3CAE20CD"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F2D3A8D" w14:textId="052C2A83"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A679DAA" w14:textId="44182D78"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E951C99" w14:textId="697708C6"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698830D" w14:textId="73E84B82"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1A5A680" w14:textId="3AF1421C"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481FC32" w14:textId="19B4E3B5"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B904C8D" w14:textId="79D5A718"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323BE5E" w14:textId="7A0ED7B6" w:rsidR="00850A3D" w:rsidRDefault="00727A8D" w:rsidP="009F508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w:t>
            </w:r>
            <w:r w:rsidR="00850A3D" w:rsidRPr="0029105C">
              <w:rPr>
                <w:rFonts w:ascii="Times New Roman" w:eastAsia="Times New Roman" w:hAnsi="Times New Roman" w:cs="Times New Roman"/>
                <w:color w:val="000000" w:themeColor="text1"/>
                <w:sz w:val="20"/>
                <w:szCs w:val="20"/>
                <w:lang w:eastAsia="sk-SK"/>
              </w:rPr>
              <w:t xml:space="preserve"> 14ca</w:t>
            </w:r>
          </w:p>
          <w:p w14:paraId="247CC0E4" w14:textId="6100ABA4" w:rsidR="009F5089" w:rsidRDefault="009F5089" w:rsidP="009F508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C590FC" w14:textId="43580EA7" w:rsidR="009F5089" w:rsidRDefault="009F5089" w:rsidP="009F508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37074B" w14:textId="6E1F8DED" w:rsidR="009F5089" w:rsidRDefault="009F5089" w:rsidP="009F508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94BA74" w14:textId="23C1C9A3" w:rsidR="009F5089" w:rsidRDefault="009F5089" w:rsidP="009F508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612F5B" w14:textId="1762984B" w:rsidR="009F5089" w:rsidRDefault="009F5089" w:rsidP="009F508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792DBE" w14:textId="0FDCAA38" w:rsidR="009F5089" w:rsidRDefault="009F5089" w:rsidP="009F508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7AD1CE" w14:textId="45CF8CCC" w:rsidR="009F5089" w:rsidRDefault="009F5089" w:rsidP="009F508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595A75" w14:textId="6CF00701" w:rsidR="009F5089" w:rsidRDefault="009F5089" w:rsidP="009F508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499CA9" w14:textId="560BDD6E" w:rsidR="009F5089" w:rsidRDefault="009F5089" w:rsidP="009F508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8819AA" w14:textId="664D4441" w:rsidR="009F5089" w:rsidRDefault="009F5089" w:rsidP="009F508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2F9378" w14:textId="0C2516BF" w:rsidR="00850A3D"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5E66698" w14:textId="72FA9A73"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30427B0" w14:textId="217352CC"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03C1700" w14:textId="7C4B525B"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0A37AD2" w14:textId="4AABBD9A"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995ABC4" w14:textId="3DEB4A7B"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6952714" w14:textId="2308EE4D"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8AAD71E" w14:textId="3D0B56E4"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7113D1F" w14:textId="6B62B55C"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4D4883A" w14:textId="287AF203"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FA327DF" w14:textId="013D5422"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8D13FB8" w14:textId="7E86457D"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024DB57" w14:textId="20FF4B56"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CF9D498" w14:textId="175DB5D8"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115E53B" w14:textId="4007C008"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45EC435" w14:textId="4299E744"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549F685" w14:textId="2183057D"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A765697" w14:textId="68E4B1F3"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88BA1FA" w14:textId="0FD1C07A"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CD1B4D3" w14:textId="1412FED0"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7C6244A" w14:textId="476B0399"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F75E0D1" w14:textId="183EA2C5"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5F72853" w14:textId="65D2B9F0"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0341875" w14:textId="499B2C66"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1033479" w14:textId="5300E39E"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429002F" w14:textId="13F8F879"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160F4ED" w14:textId="0FA10011"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E8C4918" w14:textId="56DCEB0B"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431F037" w14:textId="3AD96B69"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1FA77AE" w14:textId="40CE3490"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1C356CC" w14:textId="7DE5ABD1"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EFD7DB7" w14:textId="0DCCBB03"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22F1A5D" w14:textId="64132512"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D8201BA" w14:textId="0F89136A"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5CF4315" w14:textId="77777777" w:rsidR="00850A3D" w:rsidRPr="0029105C"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C6C02E0" w14:textId="7C209DCA" w:rsidR="00850A3D" w:rsidRDefault="00850A3D" w:rsidP="009F508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14cb</w:t>
            </w:r>
          </w:p>
          <w:p w14:paraId="3A2D44A1" w14:textId="4EDACFF1" w:rsidR="00850A3D"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B683FE5" w14:textId="29681659"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92E2C3A" w14:textId="1B636305"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EDA8843" w14:textId="30AA5D30"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2C5D507" w14:textId="4A8A382C"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399C687" w14:textId="2D61FB04"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2E7975B" w14:textId="29A63BCD"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950F4B9" w14:textId="61C94176"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0E1270F" w14:textId="58A42019"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B703B06" w14:textId="0B950F41"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076DB52" w14:textId="1AC8C729"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38D38CD" w14:textId="7BC8E031"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44DC231" w14:textId="161FBE86"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ADCE3A9" w14:textId="6716A116"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A2EA8E6" w14:textId="1B126C94"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CDC2842" w14:textId="15013230"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9EF167B" w14:textId="143E4B9F"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4E7CB8F" w14:textId="3B78FAA7"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B349A02" w14:textId="1C050131"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70B6CB3" w14:textId="5C55D5D5"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3F93F2B" w14:textId="6BF938F3"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30AA46F" w14:textId="5A530E5D"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3F5AF009" w14:textId="1EB7527A"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9E3D78D" w14:textId="34D13622"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9167E35" w14:textId="4EF49883"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88BAA97" w14:textId="411C23E5"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F99D524" w14:textId="7B92B4D2"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62FC81C" w14:textId="321CC2B3"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4660F6B" w14:textId="2A6A2CCD"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6457F67" w14:textId="73355E78"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1760971" w14:textId="08552AF7"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65E0352" w14:textId="1FB24678"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5462FBB" w14:textId="40A1CD02"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A42A8C9" w14:textId="0A51DF72"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1F5C347" w14:textId="4C512A5F"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0D36577" w14:textId="77777777" w:rsidR="00727A8D" w:rsidRDefault="00727A8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49965BDC" w14:textId="77777777" w:rsidR="00850A3D"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6971E2D0" w14:textId="2704E7E9" w:rsidR="00850A3D"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2419A82" w14:textId="29D11DEE" w:rsidR="009F5089" w:rsidRDefault="009F5089"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6760FD9" w14:textId="0A4AE741" w:rsidR="009F5089" w:rsidRDefault="009F5089"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76965FE8" w14:textId="77777777" w:rsidR="009F5089" w:rsidRDefault="009F5089"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21641D3" w14:textId="77777777" w:rsidR="00850A3D"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C0D565A" w14:textId="30AE3560" w:rsidR="00850A3D"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264274A6" w14:textId="77777777" w:rsidR="00E1385B" w:rsidRDefault="00E1385B"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F2365DD" w14:textId="6C28000B" w:rsidR="00850A3D"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559687A0" w14:textId="0ADDF90B" w:rsidR="00E1385B" w:rsidRDefault="00E1385B"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0A7CE67" w14:textId="77777777" w:rsidR="00E1385B" w:rsidRDefault="00E1385B"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0D755490" w14:textId="77777777" w:rsidR="00850A3D" w:rsidRDefault="00850A3D" w:rsidP="00850A3D">
            <w:pPr>
              <w:autoSpaceDE w:val="0"/>
              <w:autoSpaceDN w:val="0"/>
              <w:spacing w:after="0" w:line="240" w:lineRule="auto"/>
              <w:rPr>
                <w:rFonts w:ascii="Times New Roman" w:eastAsia="Times New Roman" w:hAnsi="Times New Roman" w:cs="Times New Roman"/>
                <w:color w:val="000000" w:themeColor="text1"/>
                <w:sz w:val="20"/>
                <w:szCs w:val="20"/>
                <w:lang w:eastAsia="sk-SK"/>
              </w:rPr>
            </w:pPr>
          </w:p>
          <w:p w14:paraId="140FEE6F" w14:textId="77777777" w:rsidR="00850A3D" w:rsidRDefault="00850A3D" w:rsidP="009F508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14c</w:t>
            </w:r>
            <w:r w:rsidR="009E42C0">
              <w:rPr>
                <w:rFonts w:ascii="Times New Roman" w:eastAsia="Times New Roman" w:hAnsi="Times New Roman" w:cs="Times New Roman"/>
                <w:color w:val="000000" w:themeColor="text1"/>
                <w:sz w:val="20"/>
                <w:szCs w:val="20"/>
                <w:lang w:eastAsia="sk-SK"/>
              </w:rPr>
              <w:t>c</w:t>
            </w:r>
          </w:p>
          <w:p w14:paraId="3C0395D3" w14:textId="7189EB88" w:rsidR="009F5089" w:rsidRPr="0029105C" w:rsidRDefault="009F5089" w:rsidP="009F508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543FA5B0" w14:textId="69886322" w:rsidR="00850A3D" w:rsidRPr="0029105C" w:rsidRDefault="00727A8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 xml:space="preserve">§ 14c </w:t>
            </w:r>
            <w:r w:rsidR="00850A3D" w:rsidRPr="0029105C">
              <w:rPr>
                <w:rFonts w:ascii="Times New Roman" w:eastAsia="Times New Roman" w:hAnsi="Times New Roman" w:cs="Times New Roman"/>
                <w:color w:val="000000" w:themeColor="text1"/>
                <w:sz w:val="20"/>
                <w:szCs w:val="20"/>
                <w:lang w:eastAsia="sk-SK"/>
              </w:rPr>
              <w:t>Kredity</w:t>
            </w:r>
          </w:p>
          <w:p w14:paraId="3544E2E0" w14:textId="5AB90E74" w:rsidR="00E1385B" w:rsidRPr="00E1385B" w:rsidRDefault="00727A8D"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727A8D">
              <w:rPr>
                <w:rFonts w:ascii="Times New Roman" w:eastAsia="Times New Roman" w:hAnsi="Times New Roman" w:cs="Times New Roman"/>
                <w:color w:val="000000" w:themeColor="text1"/>
                <w:sz w:val="20"/>
                <w:szCs w:val="20"/>
                <w:lang w:eastAsia="sk-SK"/>
              </w:rPr>
              <w:t>(1)</w:t>
            </w:r>
            <w:r w:rsidR="00E1385B" w:rsidRPr="00E1385B">
              <w:rPr>
                <w:rFonts w:ascii="Times New Roman" w:eastAsia="Times New Roman" w:hAnsi="Times New Roman" w:cs="Times New Roman"/>
                <w:color w:val="000000" w:themeColor="text1"/>
                <w:sz w:val="20"/>
                <w:szCs w:val="20"/>
                <w:lang w:eastAsia="sk-SK"/>
              </w:rPr>
              <w:t xml:space="preserve"> Kredity sa vydávajú na množstvo elektriny z obnoviteľných zdrojov energie, ktoré bolo v bilančnom období vyrobené v zariadení na výrobu elektriny z obnoviteľných zdrojov energie pripojeným v odbernom mieste alebo odovzdávacom mieste, v ktorom je súčasne pripojená nabíjacia stanica,17j) alebo na množstvo elektriny z obnoviteľných zdrojov energie odobraté zo sústavy, na ktoré bola použitá záruka pôvodu energie podľa § 8a, najviac však v rozsahu celkového množstva odobratej elektriny v tejto nabíjacej stanici pre nabíjanie elektrických vozidiel v bilančnom období.</w:t>
            </w:r>
          </w:p>
          <w:p w14:paraId="2EC072A2"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 xml:space="preserve">(2) Bilančné obdobie je obdobie jedného kalendárneho mesiaca. </w:t>
            </w:r>
          </w:p>
          <w:p w14:paraId="27FA80BA"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(3) Kredit obsahuje</w:t>
            </w:r>
          </w:p>
          <w:p w14:paraId="50292B2C"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a) zdroj energie, z ktorého bola elektrina vyrobená,</w:t>
            </w:r>
          </w:p>
          <w:p w14:paraId="566A1B63"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b) počiatočný dátum a koncový dátum výroby elektriny,</w:t>
            </w:r>
          </w:p>
          <w:p w14:paraId="3FA98E17"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 xml:space="preserve">c) označenie, miesto, technológiu a celkový inštalovaný výkon zariadenia, v ktorom bola </w:t>
            </w:r>
            <w:r w:rsidRPr="00E1385B">
              <w:rPr>
                <w:rFonts w:ascii="Times New Roman" w:eastAsia="Times New Roman" w:hAnsi="Times New Roman" w:cs="Times New Roman"/>
                <w:color w:val="000000" w:themeColor="text1"/>
                <w:sz w:val="20"/>
                <w:szCs w:val="20"/>
                <w:lang w:eastAsia="sk-SK"/>
              </w:rPr>
              <w:tab/>
              <w:t>elektrina vyrobená, ak bola elektrina dodaná zariadením na výrobu elektriny z obnoviteľných zdrojov energie v odbernom mieste alebo odovzdávacom mieste, v ktorom je súčasne pripojená nabíjacia stanica,</w:t>
            </w:r>
          </w:p>
          <w:p w14:paraId="66BCDC20"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d) dátum, členský štát, v ktorom bola záruka pôvodu elektriny z obnoviteľných zdrojov energie vydaná a identifikačné číslo záruky pôvodu, ak ide o elektrinu z obnoviteľných zdrojov energie odobratú zo sústavy,</w:t>
            </w:r>
          </w:p>
          <w:p w14:paraId="7655944F"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e) kalendárny rok, za ktorý možno kredit uplatniť na plnenie referenčných hodnôt ustanovených v §14a ods. 1,</w:t>
            </w:r>
          </w:p>
          <w:p w14:paraId="4C278EFD"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f) identifikačné číslo kreditu,</w:t>
            </w:r>
          </w:p>
          <w:p w14:paraId="24A55628"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g) identifikačný kód prevádzkovateľa a statické údaje o nabíjacom bode, prostredníctvom ktorého bola dodaná elektrina.</w:t>
            </w:r>
          </w:p>
          <w:p w14:paraId="75E6F2A0"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(4) Kredity sa vydávajú za každú 1 kWh elektriny podľa odseku 1.</w:t>
            </w:r>
          </w:p>
          <w:p w14:paraId="37F6E9DF"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lastRenderedPageBreak/>
              <w:t>(5) Organizátor krátkodobého trhu s elektrinou vedie evidenciu kreditov na účel plnenia referenčných hodnôt pri uvádzaní pohonných látok na trh na účte, ktorý vlastní držiteľ účtu, ktorému bol kredit vydaný alebo na ktorého bol kredit prevedený.</w:t>
            </w:r>
          </w:p>
          <w:p w14:paraId="1676F2B2"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(6) Držiteľom účtu v evidencii kreditov na účel plnenia referenčných hodnôt pri uvádzaní pohonných látok na trh je prevádzkovateľ nabíjacej stanice a právnická osoba alebo fyzická osoba, ktorá uvádza na trh pohonné látky, na ktoré sa vzťahuje povinnosť plnenia referenčných hodnôt pri uvádzaní pohonných látok na trh podľa § 14a ods. 1.</w:t>
            </w:r>
          </w:p>
          <w:p w14:paraId="6C49529B"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(7) Organizátor krátkodobého trhu s elektrinou organizuje trh s vydanými kreditmi.</w:t>
            </w:r>
          </w:p>
          <w:p w14:paraId="53F2EA23"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(8) Dohľad nad evidenciou, prevodom a zrušením kreditov vykonáva úrad. Organizátor krátkodobého trhu s elektrinou, výrobca elektriny, dodávateľ elektriny a držiteľ účtu podľa odseku 5 sú povinní poskytnúť úradu potrebnú súčinnosť pri výkone dohľadu.</w:t>
            </w:r>
          </w:p>
          <w:p w14:paraId="39EC7927" w14:textId="290D14DC" w:rsidR="00727A8D"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(9) Poplatok na pokrytie nákladov spojených s vedením evidencie kreditov na účel plnenia referenčných hodnôt pri uvádzaní pohonných látok na trh platí držiteľ účtu podľa odseku 6 organizátorovi krátkodobého trhu s elektrinou. Podrobnosti upravuje prevádzkový poriadok organizátora krátkodobého trhu s elektrinou.</w:t>
            </w:r>
          </w:p>
          <w:p w14:paraId="40974494" w14:textId="77777777" w:rsidR="00E1385B" w:rsidRDefault="00E1385B" w:rsidP="00727A8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69270C5" w14:textId="086C5F78" w:rsidR="00727A8D" w:rsidRPr="00727A8D" w:rsidRDefault="00727A8D" w:rsidP="00727A8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727A8D">
              <w:rPr>
                <w:rFonts w:ascii="Times New Roman" w:eastAsia="Times New Roman" w:hAnsi="Times New Roman" w:cs="Times New Roman"/>
                <w:color w:val="000000" w:themeColor="text1"/>
                <w:sz w:val="20"/>
                <w:szCs w:val="20"/>
                <w:lang w:eastAsia="sk-SK"/>
              </w:rPr>
              <w:t>§ 14ca</w:t>
            </w:r>
            <w:r>
              <w:rPr>
                <w:rFonts w:ascii="Times New Roman" w:eastAsia="Times New Roman" w:hAnsi="Times New Roman" w:cs="Times New Roman"/>
                <w:color w:val="000000" w:themeColor="text1"/>
                <w:sz w:val="20"/>
                <w:szCs w:val="20"/>
                <w:lang w:eastAsia="sk-SK"/>
              </w:rPr>
              <w:t xml:space="preserve"> </w:t>
            </w:r>
            <w:r w:rsidRPr="00727A8D">
              <w:rPr>
                <w:rFonts w:ascii="Times New Roman" w:eastAsia="Times New Roman" w:hAnsi="Times New Roman" w:cs="Times New Roman"/>
                <w:color w:val="000000" w:themeColor="text1"/>
                <w:sz w:val="20"/>
                <w:szCs w:val="20"/>
                <w:lang w:eastAsia="sk-SK"/>
              </w:rPr>
              <w:t xml:space="preserve">Vydávanie kreditov </w:t>
            </w:r>
          </w:p>
          <w:p w14:paraId="4F972310" w14:textId="20036F1A" w:rsidR="00E1385B" w:rsidRPr="00E1385B" w:rsidRDefault="00727A8D"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727A8D">
              <w:rPr>
                <w:rFonts w:ascii="Times New Roman" w:eastAsia="Times New Roman" w:hAnsi="Times New Roman" w:cs="Times New Roman"/>
                <w:color w:val="000000" w:themeColor="text1"/>
                <w:sz w:val="20"/>
                <w:szCs w:val="20"/>
                <w:lang w:eastAsia="sk-SK"/>
              </w:rPr>
              <w:t>(1)</w:t>
            </w:r>
            <w:r w:rsidR="00E1385B" w:rsidRPr="00E1385B">
              <w:rPr>
                <w:rFonts w:ascii="Times New Roman" w:eastAsia="Times New Roman" w:hAnsi="Times New Roman" w:cs="Times New Roman"/>
                <w:color w:val="000000" w:themeColor="text1"/>
                <w:sz w:val="20"/>
                <w:szCs w:val="20"/>
                <w:lang w:eastAsia="sk-SK"/>
              </w:rPr>
              <w:t xml:space="preserve"> Kredity vydáva v elektronickej podobe organizátor krátkodobého trhu s elektrinou na základe žiadosti prevádzkovateľa nabíjacej stanice na jeho účet vedený v evidencii kreditov na účel plnenia referenčných hodnôt pri uvádzaní pohonných látok na trh. Prevádzkovateľ nabíjacej stanice môže požiadať o vydanie kreditu do troch mesiacov od skončenia kalendárneho roka, za ktorý je možné kredit uplatniť na plnenie referenčných hodnôt ustanovených v §14a ods. 1 .</w:t>
            </w:r>
          </w:p>
          <w:p w14:paraId="7428F85F"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 xml:space="preserve">(2) Na účel vydania kreditu je prevádzkovateľ nabíjacej stanice povinný zaregistrovať nabíjaciu stanicu v systéme organizátora krátkodobého trhu s elektrinou </w:t>
            </w:r>
            <w:r w:rsidRPr="00E1385B">
              <w:rPr>
                <w:rFonts w:ascii="Times New Roman" w:eastAsia="Times New Roman" w:hAnsi="Times New Roman" w:cs="Times New Roman"/>
                <w:color w:val="000000" w:themeColor="text1"/>
                <w:sz w:val="20"/>
                <w:szCs w:val="20"/>
                <w:lang w:eastAsia="sk-SK"/>
              </w:rPr>
              <w:lastRenderedPageBreak/>
              <w:t>spôsobom určeným v prevádzkovom poriadku organizátora krátkodobého trhu s elektrinou a odovzdať organizátorovi krátkodobého trhu s elektrinou v rozsahu a spôsobom podľa prevádzkového poriadku organizátora krátkodobého trhu s elektrinou úplné a pravdivé informácie o</w:t>
            </w:r>
          </w:p>
          <w:p w14:paraId="62CD535D" w14:textId="6435C55A"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a)</w:t>
            </w:r>
            <w:r>
              <w:rPr>
                <w:rFonts w:ascii="Times New Roman" w:eastAsia="Times New Roman" w:hAnsi="Times New Roman" w:cs="Times New Roman"/>
                <w:color w:val="000000" w:themeColor="text1"/>
                <w:sz w:val="20"/>
                <w:szCs w:val="20"/>
                <w:lang w:eastAsia="sk-SK"/>
              </w:rPr>
              <w:t xml:space="preserve"> </w:t>
            </w:r>
            <w:r w:rsidRPr="00E1385B">
              <w:rPr>
                <w:rFonts w:ascii="Times New Roman" w:eastAsia="Times New Roman" w:hAnsi="Times New Roman" w:cs="Times New Roman"/>
                <w:color w:val="000000" w:themeColor="text1"/>
                <w:sz w:val="20"/>
                <w:szCs w:val="20"/>
                <w:lang w:eastAsia="sk-SK"/>
              </w:rPr>
              <w:t xml:space="preserve">nameranom alebo vypočítanom množstve elektriny, na ktorú nebola vydaná záruka pôvodu a ktorá bola v bilančnom období vyrobená v zariadení na výrobu elektriny z obnoviteľných zdrojov energie pripojenom v odovzdávacom mieste, v ktorom je súčasne pripojená nabíjacia stanica, </w:t>
            </w:r>
          </w:p>
          <w:p w14:paraId="7A04048D"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b)</w:t>
            </w:r>
            <w:r w:rsidRPr="00E1385B">
              <w:rPr>
                <w:rFonts w:ascii="Times New Roman" w:eastAsia="Times New Roman" w:hAnsi="Times New Roman" w:cs="Times New Roman"/>
                <w:color w:val="000000" w:themeColor="text1"/>
                <w:sz w:val="20"/>
                <w:szCs w:val="20"/>
                <w:lang w:eastAsia="sk-SK"/>
              </w:rPr>
              <w:tab/>
              <w:t>nameranom množstve elektriny spotrebovanej v nabíjacej stanici na nabíjanie elektrických vozidiel v bilančnom období,</w:t>
            </w:r>
          </w:p>
          <w:p w14:paraId="072F9966"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c) množstve elektriny odobratého zo sústavy, ktoré bolo preukázané zárukou pôvodu energie podľa § 8a vydanou na elektrinu vyrobenú z obnoviteľných zdrojov energie.</w:t>
            </w:r>
          </w:p>
          <w:p w14:paraId="481CA16A"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 xml:space="preserve">(3) Meranie vyrobenej elektriny podľa odseku 2 písm. a) zabezpečuje prevádzkovateľ nabíjacej stanice v súlade s osobitým predpisom.17k) Na meranie množstva elektriny spotrebovanej v nabíjacej stanici na nabíjanie elektrických vozidiel sa použije prvá veta primerane. </w:t>
            </w:r>
          </w:p>
          <w:p w14:paraId="0D6944AA"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(4) Prevádzkovateľ prenosovej sústavy a prevádzkovateľ distribučnej sústavy sú povinní poskytovať organizátorovi krátkodobého trhu s elektrinou úplné a pravdivé informácie nevyhnutné pre vydanie kreditov.</w:t>
            </w:r>
          </w:p>
          <w:p w14:paraId="7FFF798C" w14:textId="1EB8BE3F" w:rsidR="00727A8D"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(5) Organizátor krátkodobého trhu s elektrinou vydá kredity na základe informácií poskytnutých podľa odsekov 2 a 4.</w:t>
            </w:r>
          </w:p>
          <w:p w14:paraId="306730F5" w14:textId="520B6B47" w:rsid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B1F51D8" w14:textId="7A3C08BC" w:rsid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 14cb</w:t>
            </w:r>
            <w:r>
              <w:rPr>
                <w:rFonts w:ascii="Times New Roman" w:eastAsia="Times New Roman" w:hAnsi="Times New Roman" w:cs="Times New Roman"/>
                <w:color w:val="000000" w:themeColor="text1"/>
                <w:sz w:val="20"/>
                <w:szCs w:val="20"/>
                <w:lang w:eastAsia="sk-SK"/>
              </w:rPr>
              <w:t xml:space="preserve"> </w:t>
            </w:r>
            <w:r w:rsidRPr="00E1385B">
              <w:rPr>
                <w:rFonts w:ascii="Times New Roman" w:eastAsia="Times New Roman" w:hAnsi="Times New Roman" w:cs="Times New Roman"/>
                <w:color w:val="000000" w:themeColor="text1"/>
                <w:sz w:val="20"/>
                <w:szCs w:val="20"/>
                <w:lang w:eastAsia="sk-SK"/>
              </w:rPr>
              <w:t>Uplatnenie kreditov</w:t>
            </w:r>
          </w:p>
          <w:p w14:paraId="20C65308"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(1) Kredity sú platné do 30. apríla roku nasledujúceho po kalendárnom roku, za ktorý možno kredit uplatniť na plnenie referenčných hodnôt ustanovených v § 14a ods. 1.</w:t>
            </w:r>
          </w:p>
          <w:p w14:paraId="736C2116"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lastRenderedPageBreak/>
              <w:t xml:space="preserve">(2) Množstvo kreditov na účte právnickej osoby alebo fyzickej osoby, ktorá uvádza na trh pohonné látky a na ktorú sa vzťahuje povinnosť plnenia referenčných hodnôt pri uvádzaní pohonných látok na trh podľa § 14a ods. 1 zriadenom podľa § 14c ods. 5 sa k 1. máju uplatní na splnenie povinnosti plnenia referenčných hodnôt podľa § 14a ods. 1 za predchádzajúci kalendárny rok. Uplatniť možno len kredity, pri ktorých sa údaj podľa § 14c ods. 3 písm. e) zhoduje s kalendárnym rokom za ktorý sa plní povinnosť podľa § 14a ods. 1. </w:t>
            </w:r>
          </w:p>
          <w:p w14:paraId="163E3843"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(3) Organizátor krátkodobého trhu s elektrinou poskytuje ministerstvu a Slovenskej obchodnej inšpekcii údaje o množstve kreditov uplatnených podľa odseku 2 do 15 dní od ich uplatnenia.</w:t>
            </w:r>
          </w:p>
          <w:p w14:paraId="6C013223"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(4) Organizátor krátkodobého trhu s elektrinou prevádza na základe žiadosti držiteľa účtu v evidencii kreditov na účel plnenia referenčných hodnôt pri uvádzaní pohonných látok na trh kredity na účet iného držiteľa účtu a eviduje prevody kreditov medzi držiteľmi účtov.</w:t>
            </w:r>
          </w:p>
          <w:p w14:paraId="04ED53B7"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 xml:space="preserve">(5) Organizátor krátkodobého trhu s elektrinou zruší a eviduje zrušenie kreditov, ak k ich vydaniu došlo na základe neúplných alebo nepravdivých informácií. Organizátor krátkodobého trhu s elektrinou ďalej eviduje zrušenie kreditov, ku ktorému dochádza </w:t>
            </w:r>
          </w:p>
          <w:p w14:paraId="1FB155A5"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a) uplatnením kreditov alebo</w:t>
            </w:r>
          </w:p>
          <w:p w14:paraId="712F5D53"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 xml:space="preserve">b) skončením platnosti kreditov. </w:t>
            </w:r>
          </w:p>
          <w:p w14:paraId="411C36CF"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 xml:space="preserve">(6) Držiteľ účtu v evidencii kreditov na účel plnenia referenčných hodnôt je povinný odovzdať organizátorovi krátkodobého trhu s elektrinou úplné a pravdivé informácie potrebné na prevod a uplatnenie kreditov. </w:t>
            </w:r>
          </w:p>
          <w:p w14:paraId="659CDBA9" w14:textId="37E393E9" w:rsidR="00727A8D"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 xml:space="preserve">(7) Postupy, termíny a podmienky pre vydanie, prevody, uplatnenie a zrušenie kreditov, náležitosti žiadosti o vydanie kreditov a prevod kreditov, organizovanie trhu s kreditmi, pravidlá pre obchodovanie s kreditmi, rozsah a spôsob odovzdávania informácií organizátorovi krátkodobého trhu s elektrinou potrebných pre prevod a uplatnenie kreditov, spôsob prevodu, uplatnenie a zrušenie kreditov a vedenie účtov v evidencii kreditov </w:t>
            </w:r>
            <w:r w:rsidRPr="00E1385B">
              <w:rPr>
                <w:rFonts w:ascii="Times New Roman" w:eastAsia="Times New Roman" w:hAnsi="Times New Roman" w:cs="Times New Roman"/>
                <w:color w:val="000000" w:themeColor="text1"/>
                <w:sz w:val="20"/>
                <w:szCs w:val="20"/>
                <w:lang w:eastAsia="sk-SK"/>
              </w:rPr>
              <w:lastRenderedPageBreak/>
              <w:t>na účel plnenia referenčných hodnôt pri uvádzaní pohonných látok na trh upravuje organizátor krátkodobého trhu s elektrinou vo svojom prevádzkovom poriadku.</w:t>
            </w:r>
          </w:p>
          <w:p w14:paraId="1F1FA876" w14:textId="40A5E9C2" w:rsidR="00727A8D" w:rsidRDefault="00727A8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80594FD" w14:textId="52E0CCF2" w:rsid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 14cc</w:t>
            </w:r>
            <w:r>
              <w:rPr>
                <w:rFonts w:ascii="Times New Roman" w:eastAsia="Times New Roman" w:hAnsi="Times New Roman" w:cs="Times New Roman"/>
                <w:color w:val="000000" w:themeColor="text1"/>
                <w:sz w:val="20"/>
                <w:szCs w:val="20"/>
                <w:lang w:eastAsia="sk-SK"/>
              </w:rPr>
              <w:t xml:space="preserve"> </w:t>
            </w:r>
            <w:r w:rsidRPr="00E1385B">
              <w:rPr>
                <w:rFonts w:ascii="Times New Roman" w:eastAsia="Times New Roman" w:hAnsi="Times New Roman" w:cs="Times New Roman"/>
                <w:color w:val="000000" w:themeColor="text1"/>
                <w:sz w:val="20"/>
                <w:szCs w:val="20"/>
                <w:lang w:eastAsia="sk-SK"/>
              </w:rPr>
              <w:t>Prevod časti plnenia referenčných hodnôt</w:t>
            </w:r>
          </w:p>
          <w:p w14:paraId="65670D03"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(1) Právnické osoby a fyzické osoby, na ktoré sa vzťahuje povinnosť plnenia referenčných hodnôt podľa § 14a ods. 1, môžu medzi sebou prevádzať časť plnenia referenčných hodnôt uvedených v § 14a ods. 1, §14 a ods. 11 a § 14f ods. 2 bez použitia kreditného systému podľa § 14c.</w:t>
            </w:r>
          </w:p>
          <w:p w14:paraId="3D6B06AE"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(2) Prevody podľa odseku 1 sa oznamujú ministerstvu do 15. mája nasledujúceho kalendárneho roka. Vzor oznámenia zverejní ministerstvo na svojom webovom sídle; prílohou oznámenia je ročná správa o plnení referenčných hodnôt podľa § 14a ods. 4 písm. d) vyhotovená za predchádzajúci kalendárny rok.</w:t>
            </w:r>
          </w:p>
          <w:p w14:paraId="4DEC0BD7" w14:textId="77777777" w:rsidR="00E1385B" w:rsidRPr="00E1385B"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(3)</w:t>
            </w:r>
            <w:r w:rsidRPr="00E1385B">
              <w:rPr>
                <w:rFonts w:ascii="Times New Roman" w:eastAsia="Times New Roman" w:hAnsi="Times New Roman" w:cs="Times New Roman"/>
                <w:color w:val="000000" w:themeColor="text1"/>
                <w:sz w:val="20"/>
                <w:szCs w:val="20"/>
                <w:lang w:eastAsia="sk-SK"/>
              </w:rPr>
              <w:tab/>
              <w:t xml:space="preserve"> Prevod podľa odseku 1 je platný, len ak oznámenie podľa odseku 2 vykonajú všetky strany prevodu podľa odseku 1.</w:t>
            </w:r>
          </w:p>
          <w:p w14:paraId="21EC2229" w14:textId="738F0DA5" w:rsidR="00FC070D" w:rsidRDefault="00E1385B" w:rsidP="00E1385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E1385B">
              <w:rPr>
                <w:rFonts w:ascii="Times New Roman" w:eastAsia="Times New Roman" w:hAnsi="Times New Roman" w:cs="Times New Roman"/>
                <w:color w:val="000000" w:themeColor="text1"/>
                <w:sz w:val="20"/>
                <w:szCs w:val="20"/>
                <w:lang w:eastAsia="sk-SK"/>
              </w:rPr>
              <w:t>(4)</w:t>
            </w:r>
            <w:r w:rsidRPr="00E1385B">
              <w:rPr>
                <w:rFonts w:ascii="Times New Roman" w:eastAsia="Times New Roman" w:hAnsi="Times New Roman" w:cs="Times New Roman"/>
                <w:color w:val="000000" w:themeColor="text1"/>
                <w:sz w:val="20"/>
                <w:szCs w:val="20"/>
                <w:lang w:eastAsia="sk-SK"/>
              </w:rPr>
              <w:tab/>
              <w:t xml:space="preserve"> Na účel kontroly plnenia povinností právnických osôb a fyzických osôb podľa § 14a ods. 1, § 14a ods. 11 a § 14f ods. 2 ministerstvo zohľadňuje energiu z udržateľných pohonných látok prevedenú podľa odseku 1.</w:t>
            </w:r>
          </w:p>
          <w:p w14:paraId="5C83FA85" w14:textId="4FE511E3" w:rsidR="00FC070D" w:rsidRPr="0029105C" w:rsidRDefault="00FC070D" w:rsidP="00727A8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tc>
        <w:tc>
          <w:tcPr>
            <w:tcW w:w="849" w:type="dxa"/>
            <w:tcBorders>
              <w:top w:val="single" w:sz="4" w:space="0" w:color="auto"/>
              <w:left w:val="single" w:sz="4" w:space="0" w:color="auto"/>
              <w:bottom w:val="single" w:sz="4" w:space="0" w:color="auto"/>
              <w:right w:val="single" w:sz="4" w:space="0" w:color="auto"/>
            </w:tcBorders>
          </w:tcPr>
          <w:p w14:paraId="72E1F4C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Ú</w:t>
            </w:r>
          </w:p>
        </w:tc>
        <w:tc>
          <w:tcPr>
            <w:tcW w:w="1360" w:type="dxa"/>
            <w:tcBorders>
              <w:top w:val="single" w:sz="4" w:space="0" w:color="auto"/>
              <w:left w:val="single" w:sz="4" w:space="0" w:color="auto"/>
              <w:bottom w:val="single" w:sz="4" w:space="0" w:color="auto"/>
              <w:right w:val="single" w:sz="4" w:space="0" w:color="auto"/>
            </w:tcBorders>
          </w:tcPr>
          <w:p w14:paraId="269E314A"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552A1C23"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47341341"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13B6B335" w14:textId="77777777" w:rsidTr="00402EF0">
        <w:tc>
          <w:tcPr>
            <w:tcW w:w="1005" w:type="dxa"/>
            <w:tcBorders>
              <w:top w:val="single" w:sz="4" w:space="0" w:color="auto"/>
              <w:left w:val="single" w:sz="12" w:space="0" w:color="auto"/>
              <w:bottom w:val="single" w:sz="4" w:space="0" w:color="auto"/>
              <w:right w:val="single" w:sz="4" w:space="0" w:color="auto"/>
            </w:tcBorders>
          </w:tcPr>
          <w:p w14:paraId="1399F3A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 xml:space="preserve">Č:1 </w:t>
            </w:r>
          </w:p>
          <w:p w14:paraId="022B48B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O:17</w:t>
            </w:r>
          </w:p>
        </w:tc>
        <w:tc>
          <w:tcPr>
            <w:tcW w:w="3421" w:type="dxa"/>
            <w:tcBorders>
              <w:top w:val="single" w:sz="4" w:space="0" w:color="auto"/>
              <w:left w:val="single" w:sz="4" w:space="0" w:color="auto"/>
              <w:bottom w:val="single" w:sz="4" w:space="0" w:color="auto"/>
              <w:right w:val="single" w:sz="4" w:space="0" w:color="auto"/>
            </w:tcBorders>
          </w:tcPr>
          <w:p w14:paraId="7AD91A92" w14:textId="2C2303C1" w:rsidR="0017014A" w:rsidRDefault="0017014A"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17014A">
              <w:rPr>
                <w:rFonts w:ascii="Times New Roman" w:eastAsia="Times New Roman" w:hAnsi="Times New Roman" w:cs="Times New Roman"/>
                <w:color w:val="000000" w:themeColor="text1"/>
                <w:sz w:val="20"/>
                <w:szCs w:val="20"/>
                <w:lang w:eastAsia="sk-SK"/>
              </w:rPr>
              <w:t>Článok 27 sa nahrádza takto:</w:t>
            </w:r>
          </w:p>
          <w:p w14:paraId="36C55F46" w14:textId="77777777" w:rsidR="00850A3D" w:rsidRDefault="00A44CB5"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e) </w:t>
            </w:r>
            <w:r w:rsidR="00850A3D" w:rsidRPr="0029105C">
              <w:rPr>
                <w:rFonts w:ascii="Times New Roman" w:eastAsia="Times New Roman" w:hAnsi="Times New Roman" w:cs="Times New Roman"/>
                <w:color w:val="000000" w:themeColor="text1"/>
                <w:sz w:val="20"/>
                <w:szCs w:val="20"/>
                <w:lang w:eastAsia="sk-SK"/>
              </w:rPr>
              <w:t xml:space="preserve">podiel pokročilých biopalív a bioplynu vyrábaných zo surovín uvedených v časti A prílohy IX dodávaných leteckej a námornej doprave sa považuje za 1,2-násobok ich energetického obsahu a podiel palív z obnoviteľných zdrojov </w:t>
            </w:r>
            <w:r w:rsidR="00850A3D" w:rsidRPr="0029105C">
              <w:rPr>
                <w:rFonts w:ascii="Times New Roman" w:eastAsia="Times New Roman" w:hAnsi="Times New Roman" w:cs="Times New Roman"/>
                <w:color w:val="000000" w:themeColor="text1"/>
                <w:sz w:val="20"/>
                <w:szCs w:val="20"/>
                <w:lang w:eastAsia="sk-SK"/>
              </w:rPr>
              <w:lastRenderedPageBreak/>
              <w:t>nebiologického pôvodu dodávaných leteckej a námornej doprave sa považuje ta 1,5-násobok ich energetického obsahu</w:t>
            </w:r>
          </w:p>
          <w:p w14:paraId="040375C8" w14:textId="77777777" w:rsidR="00A44CB5" w:rsidRDefault="00A44CB5"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676655D8" w14:textId="5F9FB649" w:rsidR="00A44CB5" w:rsidRPr="0029105C" w:rsidRDefault="00A44CB5"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A44CB5">
              <w:rPr>
                <w:rFonts w:ascii="Times New Roman" w:eastAsia="Times New Roman" w:hAnsi="Times New Roman" w:cs="Times New Roman"/>
                <w:color w:val="000000" w:themeColor="text1"/>
                <w:sz w:val="20"/>
                <w:szCs w:val="20"/>
                <w:lang w:eastAsia="sk-SK"/>
              </w:rPr>
              <w:t xml:space="preserve">Členské štáty môžu v odôvodnených prípadoch zvýšiť limit uvedený v prvom </w:t>
            </w:r>
            <w:proofErr w:type="spellStart"/>
            <w:r w:rsidRPr="00A44CB5">
              <w:rPr>
                <w:rFonts w:ascii="Times New Roman" w:eastAsia="Times New Roman" w:hAnsi="Times New Roman" w:cs="Times New Roman"/>
                <w:color w:val="000000" w:themeColor="text1"/>
                <w:sz w:val="20"/>
                <w:szCs w:val="20"/>
                <w:lang w:eastAsia="sk-SK"/>
              </w:rPr>
              <w:t>pododseku</w:t>
            </w:r>
            <w:proofErr w:type="spellEnd"/>
            <w:r w:rsidRPr="00A44CB5">
              <w:rPr>
                <w:rFonts w:ascii="Times New Roman" w:eastAsia="Times New Roman" w:hAnsi="Times New Roman" w:cs="Times New Roman"/>
                <w:color w:val="000000" w:themeColor="text1"/>
                <w:sz w:val="20"/>
                <w:szCs w:val="20"/>
                <w:lang w:eastAsia="sk-SK"/>
              </w:rPr>
              <w:t xml:space="preserve"> písm. f) tohto odseku, pričom zohľadnia dostupnosť surovín uvedených v časti B prílohy IX. Každé takéto zvýšenie sa oznámi Komisii spolu s jeho dôvodmi a podlieha schváleniu zo strany Komisie.</w:t>
            </w:r>
          </w:p>
        </w:tc>
        <w:tc>
          <w:tcPr>
            <w:tcW w:w="794" w:type="dxa"/>
            <w:tcBorders>
              <w:top w:val="single" w:sz="4" w:space="0" w:color="auto"/>
              <w:left w:val="single" w:sz="4" w:space="0" w:color="auto"/>
              <w:bottom w:val="single" w:sz="4" w:space="0" w:color="auto"/>
              <w:right w:val="single" w:sz="12" w:space="0" w:color="auto"/>
            </w:tcBorders>
          </w:tcPr>
          <w:p w14:paraId="1B458725"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N</w:t>
            </w:r>
          </w:p>
          <w:p w14:paraId="216E1E32" w14:textId="77777777" w:rsidR="007E0383" w:rsidRDefault="007E038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C13036" w14:textId="77777777" w:rsidR="007E0383" w:rsidRDefault="007E038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75AAF3" w14:textId="77777777" w:rsidR="007E0383" w:rsidRDefault="007E038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A3B03C" w14:textId="77777777" w:rsidR="007E0383" w:rsidRDefault="007E038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127C54" w14:textId="77777777" w:rsidR="007E0383" w:rsidRDefault="007E038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9B4AB5" w14:textId="77777777" w:rsidR="007E0383" w:rsidRDefault="007E038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EC8D65" w14:textId="77777777" w:rsidR="007E0383" w:rsidRDefault="007E038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566AC5" w14:textId="77777777" w:rsidR="007E0383" w:rsidRDefault="007E038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6C15DA" w14:textId="77777777" w:rsidR="007E0383" w:rsidRDefault="007E038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953540" w14:textId="77777777" w:rsidR="007E0383" w:rsidRDefault="007E038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BCE874" w14:textId="6F28AD84" w:rsidR="007E0383" w:rsidRPr="0029105C" w:rsidRDefault="007E038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D</w:t>
            </w:r>
          </w:p>
        </w:tc>
        <w:tc>
          <w:tcPr>
            <w:tcW w:w="1080" w:type="dxa"/>
            <w:tcBorders>
              <w:top w:val="single" w:sz="4" w:space="0" w:color="auto"/>
              <w:left w:val="nil"/>
              <w:bottom w:val="single" w:sz="4" w:space="0" w:color="auto"/>
              <w:right w:val="single" w:sz="4" w:space="0" w:color="auto"/>
            </w:tcBorders>
          </w:tcPr>
          <w:p w14:paraId="24D0B0D7" w14:textId="73BB078B" w:rsidR="00850A3D" w:rsidRPr="0029105C" w:rsidRDefault="00487F9F" w:rsidP="0070738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Návrh zákona č.</w:t>
            </w:r>
            <w:r w:rsidR="0070738A">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tc>
        <w:tc>
          <w:tcPr>
            <w:tcW w:w="900" w:type="dxa"/>
            <w:tcBorders>
              <w:top w:val="single" w:sz="4" w:space="0" w:color="auto"/>
              <w:left w:val="single" w:sz="4" w:space="0" w:color="auto"/>
              <w:bottom w:val="single" w:sz="4" w:space="0" w:color="auto"/>
              <w:right w:val="single" w:sz="4" w:space="0" w:color="auto"/>
            </w:tcBorders>
          </w:tcPr>
          <w:p w14:paraId="462B5B7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 14a </w:t>
            </w:r>
          </w:p>
          <w:p w14:paraId="1D80038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O: 9 </w:t>
            </w:r>
          </w:p>
          <w:p w14:paraId="446A6CFB"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 h</w:t>
            </w:r>
            <w:r>
              <w:rPr>
                <w:rFonts w:ascii="Times New Roman" w:eastAsia="Times New Roman" w:hAnsi="Times New Roman" w:cs="Times New Roman"/>
                <w:color w:val="000000" w:themeColor="text1"/>
                <w:sz w:val="20"/>
                <w:szCs w:val="20"/>
                <w:lang w:eastAsia="sk-SK"/>
              </w:rPr>
              <w:t>)</w:t>
            </w:r>
          </w:p>
          <w:p w14:paraId="55273812" w14:textId="77777777" w:rsidR="00A44CB5" w:rsidRDefault="00A44CB5"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4D532D" w14:textId="77777777" w:rsidR="00A44CB5" w:rsidRDefault="00A44CB5"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D022CE" w14:textId="77777777" w:rsidR="00A44CB5" w:rsidRDefault="00A44CB5"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EEDEC3" w14:textId="77777777" w:rsidR="00A44CB5" w:rsidRDefault="00A44CB5"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39DE1B" w14:textId="77777777" w:rsidR="00A44CB5" w:rsidRDefault="00A44CB5"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495742" w14:textId="77777777" w:rsidR="00A44CB5" w:rsidRDefault="00A44CB5"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10E9D4" w14:textId="77777777" w:rsidR="00A44CB5" w:rsidRDefault="00A44CB5"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43C961" w14:textId="77777777" w:rsidR="00A44CB5" w:rsidRDefault="00A44CB5"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7D6F04" w14:textId="442E159E" w:rsidR="00A44CB5" w:rsidRPr="0029105C" w:rsidRDefault="00A44CB5"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6BD03193" w14:textId="3C301740"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(9) Na účely plnenia referenčnej hodnoty podľa odseku 1 sa započítava energetický obsah</w:t>
            </w:r>
          </w:p>
          <w:p w14:paraId="1F4FCCD4" w14:textId="50B61BF0" w:rsidR="00850A3D" w:rsidRDefault="00850A3D" w:rsidP="0070738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h)</w:t>
            </w:r>
            <w:r w:rsidR="0070738A">
              <w:t xml:space="preserve"> </w:t>
            </w:r>
            <w:r w:rsidR="007E0383">
              <w:t xml:space="preserve"> </w:t>
            </w:r>
            <w:r w:rsidR="007E0383" w:rsidRPr="007E0383">
              <w:rPr>
                <w:rFonts w:ascii="Times New Roman" w:eastAsia="Times New Roman" w:hAnsi="Times New Roman" w:cs="Times New Roman"/>
                <w:color w:val="000000" w:themeColor="text1"/>
                <w:sz w:val="20"/>
                <w:szCs w:val="20"/>
                <w:lang w:eastAsia="sk-SK"/>
              </w:rPr>
              <w:t xml:space="preserve">pokročilých biopalív a plynných palív vyrobených z biomasy podľa prílohy č. 1 časti A. dodávaných leteckej a námornej doprave 1,2-násobne a kvapalných a plynných palív z obnoviteľných zdrojov nebiologického </w:t>
            </w:r>
            <w:r w:rsidR="007E0383" w:rsidRPr="007E0383">
              <w:rPr>
                <w:rFonts w:ascii="Times New Roman" w:eastAsia="Times New Roman" w:hAnsi="Times New Roman" w:cs="Times New Roman"/>
                <w:color w:val="000000" w:themeColor="text1"/>
                <w:sz w:val="20"/>
                <w:szCs w:val="20"/>
                <w:lang w:eastAsia="sk-SK"/>
              </w:rPr>
              <w:lastRenderedPageBreak/>
              <w:t>pôvodu dodávaných leteckej a námornej doprave 1,5-násobne,</w:t>
            </w:r>
          </w:p>
          <w:p w14:paraId="4903E44E" w14:textId="77777777" w:rsidR="00A44CB5" w:rsidRDefault="00A44CB5" w:rsidP="0070738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75FF012" w14:textId="77777777" w:rsidR="00A44CB5" w:rsidRDefault="00A44CB5" w:rsidP="0070738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D51A3CE" w14:textId="77777777" w:rsidR="00A44CB5" w:rsidRDefault="00A44CB5" w:rsidP="0070738A">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57F8289" w14:textId="315FD2FE" w:rsidR="00A44CB5" w:rsidRPr="0029105C" w:rsidRDefault="00A44CB5" w:rsidP="007E0383">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tc>
        <w:tc>
          <w:tcPr>
            <w:tcW w:w="849" w:type="dxa"/>
            <w:tcBorders>
              <w:top w:val="single" w:sz="4" w:space="0" w:color="auto"/>
              <w:left w:val="single" w:sz="4" w:space="0" w:color="auto"/>
              <w:bottom w:val="single" w:sz="4" w:space="0" w:color="auto"/>
              <w:right w:val="single" w:sz="4" w:space="0" w:color="auto"/>
            </w:tcBorders>
          </w:tcPr>
          <w:p w14:paraId="307FDE1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Ú</w:t>
            </w:r>
          </w:p>
        </w:tc>
        <w:tc>
          <w:tcPr>
            <w:tcW w:w="1360" w:type="dxa"/>
            <w:tcBorders>
              <w:top w:val="single" w:sz="4" w:space="0" w:color="auto"/>
              <w:left w:val="single" w:sz="4" w:space="0" w:color="auto"/>
              <w:bottom w:val="single" w:sz="4" w:space="0" w:color="auto"/>
              <w:right w:val="single" w:sz="4" w:space="0" w:color="auto"/>
            </w:tcBorders>
          </w:tcPr>
          <w:p w14:paraId="7B40C951"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3F81AEF2"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4B4D7232"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032CC960" w14:textId="77777777" w:rsidTr="00402EF0">
        <w:tc>
          <w:tcPr>
            <w:tcW w:w="1005" w:type="dxa"/>
            <w:tcBorders>
              <w:top w:val="single" w:sz="4" w:space="0" w:color="auto"/>
              <w:left w:val="single" w:sz="12" w:space="0" w:color="auto"/>
              <w:bottom w:val="single" w:sz="4" w:space="0" w:color="auto"/>
              <w:right w:val="single" w:sz="4" w:space="0" w:color="auto"/>
            </w:tcBorders>
          </w:tcPr>
          <w:p w14:paraId="47C9276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63C7D1B7"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O:19</w:t>
            </w:r>
          </w:p>
          <w:p w14:paraId="2D57878E" w14:textId="005040F6" w:rsidR="00BE60A7" w:rsidRPr="0029105C" w:rsidRDefault="00BE60A7"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f</w:t>
            </w:r>
          </w:p>
        </w:tc>
        <w:tc>
          <w:tcPr>
            <w:tcW w:w="3421" w:type="dxa"/>
            <w:tcBorders>
              <w:top w:val="single" w:sz="4" w:space="0" w:color="auto"/>
              <w:left w:val="single" w:sz="4" w:space="0" w:color="auto"/>
              <w:bottom w:val="single" w:sz="4" w:space="0" w:color="auto"/>
              <w:right w:val="single" w:sz="4" w:space="0" w:color="auto"/>
            </w:tcBorders>
          </w:tcPr>
          <w:p w14:paraId="397E7961" w14:textId="4B73A894" w:rsidR="000018E8" w:rsidRDefault="000018E8"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018E8">
              <w:rPr>
                <w:rFonts w:ascii="Times New Roman" w:eastAsia="Times New Roman" w:hAnsi="Times New Roman" w:cs="Times New Roman"/>
                <w:bCs/>
                <w:color w:val="000000" w:themeColor="text1"/>
                <w:sz w:val="20"/>
                <w:szCs w:val="20"/>
                <w:lang w:eastAsia="sk-SK"/>
              </w:rPr>
              <w:t>Článok 29 sa mení takto:</w:t>
            </w:r>
          </w:p>
          <w:p w14:paraId="55B00086" w14:textId="699CA54D" w:rsidR="000018E8" w:rsidRDefault="000018E8"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018E8">
              <w:rPr>
                <w:rFonts w:ascii="Times New Roman" w:eastAsia="Times New Roman" w:hAnsi="Times New Roman" w:cs="Times New Roman"/>
                <w:bCs/>
                <w:color w:val="000000" w:themeColor="text1"/>
                <w:sz w:val="20"/>
                <w:szCs w:val="20"/>
                <w:lang w:eastAsia="sk-SK"/>
              </w:rPr>
              <w:t>f) Vkladajú sa tieto odseky:</w:t>
            </w:r>
          </w:p>
          <w:p w14:paraId="7A059C4B" w14:textId="3BC02749"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 xml:space="preserve">7a. Výroba </w:t>
            </w:r>
            <w:proofErr w:type="spellStart"/>
            <w:r w:rsidRPr="0029105C">
              <w:rPr>
                <w:rFonts w:ascii="Times New Roman" w:eastAsia="Times New Roman" w:hAnsi="Times New Roman" w:cs="Times New Roman"/>
                <w:bCs/>
                <w:color w:val="000000" w:themeColor="text1"/>
                <w:sz w:val="20"/>
                <w:szCs w:val="20"/>
                <w:lang w:eastAsia="sk-SK"/>
              </w:rPr>
              <w:t>biopalív</w:t>
            </w:r>
            <w:proofErr w:type="spellEnd"/>
            <w:r w:rsidRPr="0029105C">
              <w:rPr>
                <w:rFonts w:ascii="Times New Roman" w:eastAsia="Times New Roman" w:hAnsi="Times New Roman" w:cs="Times New Roman"/>
                <w:bCs/>
                <w:color w:val="000000" w:themeColor="text1"/>
                <w:sz w:val="20"/>
                <w:szCs w:val="20"/>
                <w:lang w:eastAsia="sk-SK"/>
              </w:rPr>
              <w:t xml:space="preserve">, </w:t>
            </w:r>
            <w:proofErr w:type="spellStart"/>
            <w:r w:rsidRPr="0029105C">
              <w:rPr>
                <w:rFonts w:ascii="Times New Roman" w:eastAsia="Times New Roman" w:hAnsi="Times New Roman" w:cs="Times New Roman"/>
                <w:bCs/>
                <w:color w:val="000000" w:themeColor="text1"/>
                <w:sz w:val="20"/>
                <w:szCs w:val="20"/>
                <w:lang w:eastAsia="sk-SK"/>
              </w:rPr>
              <w:t>biokvapalín</w:t>
            </w:r>
            <w:proofErr w:type="spellEnd"/>
            <w:r w:rsidRPr="0029105C">
              <w:rPr>
                <w:rFonts w:ascii="Times New Roman" w:eastAsia="Times New Roman" w:hAnsi="Times New Roman" w:cs="Times New Roman"/>
                <w:bCs/>
                <w:color w:val="000000" w:themeColor="text1"/>
                <w:sz w:val="20"/>
                <w:szCs w:val="20"/>
                <w:lang w:eastAsia="sk-SK"/>
              </w:rPr>
              <w:t xml:space="preserve"> a palív z domácej lesnej biomasy musí byť v súlade so záväzkami a cieľmi členských štátov stanovenými v článku 4 nariadenia Európskeho parlamentu a Rady (EÚ) 2018/841 (*20) a s politikami a opatreniami opísanými členskými štátmi vo svojich integrovaných národných energetických a klimatických plánoch predložených podľa článkov 3 a 14 nariadenia (EÚ) 2018/1999.</w:t>
            </w:r>
          </w:p>
        </w:tc>
        <w:tc>
          <w:tcPr>
            <w:tcW w:w="794" w:type="dxa"/>
            <w:tcBorders>
              <w:top w:val="single" w:sz="4" w:space="0" w:color="auto"/>
              <w:left w:val="single" w:sz="4" w:space="0" w:color="auto"/>
              <w:bottom w:val="single" w:sz="4" w:space="0" w:color="auto"/>
              <w:right w:val="single" w:sz="12" w:space="0" w:color="auto"/>
            </w:tcBorders>
          </w:tcPr>
          <w:p w14:paraId="7C94244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04FD492D" w14:textId="34DCF000" w:rsidR="00850A3D" w:rsidRPr="0029105C" w:rsidRDefault="00487F9F" w:rsidP="007F2E65">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7F2E65">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tc>
        <w:tc>
          <w:tcPr>
            <w:tcW w:w="900" w:type="dxa"/>
            <w:tcBorders>
              <w:top w:val="single" w:sz="4" w:space="0" w:color="auto"/>
              <w:left w:val="single" w:sz="4" w:space="0" w:color="auto"/>
              <w:bottom w:val="single" w:sz="4" w:space="0" w:color="auto"/>
              <w:right w:val="single" w:sz="4" w:space="0" w:color="auto"/>
            </w:tcBorders>
          </w:tcPr>
          <w:p w14:paraId="7903DEF9"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14h</w:t>
            </w:r>
          </w:p>
          <w:p w14:paraId="28D76E30" w14:textId="248DF862"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16</w:t>
            </w:r>
          </w:p>
        </w:tc>
        <w:tc>
          <w:tcPr>
            <w:tcW w:w="4540" w:type="dxa"/>
            <w:tcBorders>
              <w:top w:val="single" w:sz="4" w:space="0" w:color="auto"/>
              <w:left w:val="single" w:sz="4" w:space="0" w:color="auto"/>
              <w:bottom w:val="single" w:sz="4" w:space="0" w:color="auto"/>
              <w:right w:val="single" w:sz="4" w:space="0" w:color="auto"/>
            </w:tcBorders>
          </w:tcPr>
          <w:p w14:paraId="0FBDA531" w14:textId="29D690B1" w:rsidR="00850A3D" w:rsidRPr="0029105C" w:rsidRDefault="007F2E65"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 xml:space="preserve">(16) </w:t>
            </w:r>
            <w:r w:rsidR="00E21087">
              <w:t xml:space="preserve"> </w:t>
            </w:r>
            <w:r w:rsidR="00E21087" w:rsidRPr="00E21087">
              <w:rPr>
                <w:rFonts w:ascii="Times New Roman" w:eastAsia="Times New Roman" w:hAnsi="Times New Roman" w:cs="Times New Roman"/>
                <w:bCs/>
                <w:color w:val="000000" w:themeColor="text1"/>
                <w:sz w:val="20"/>
                <w:szCs w:val="20"/>
                <w:lang w:eastAsia="sk-SK"/>
              </w:rPr>
              <w:t xml:space="preserve">Výroba </w:t>
            </w:r>
            <w:proofErr w:type="spellStart"/>
            <w:r w:rsidR="00E21087" w:rsidRPr="00E21087">
              <w:rPr>
                <w:rFonts w:ascii="Times New Roman" w:eastAsia="Times New Roman" w:hAnsi="Times New Roman" w:cs="Times New Roman"/>
                <w:bCs/>
                <w:color w:val="000000" w:themeColor="text1"/>
                <w:sz w:val="20"/>
                <w:szCs w:val="20"/>
                <w:lang w:eastAsia="sk-SK"/>
              </w:rPr>
              <w:t>biopalív</w:t>
            </w:r>
            <w:proofErr w:type="spellEnd"/>
            <w:r w:rsidR="00E21087" w:rsidRPr="00E21087">
              <w:rPr>
                <w:rFonts w:ascii="Times New Roman" w:eastAsia="Times New Roman" w:hAnsi="Times New Roman" w:cs="Times New Roman"/>
                <w:bCs/>
                <w:color w:val="000000" w:themeColor="text1"/>
                <w:sz w:val="20"/>
                <w:szCs w:val="20"/>
                <w:lang w:eastAsia="sk-SK"/>
              </w:rPr>
              <w:t xml:space="preserve">, </w:t>
            </w:r>
            <w:proofErr w:type="spellStart"/>
            <w:r w:rsidR="00E21087" w:rsidRPr="00E21087">
              <w:rPr>
                <w:rFonts w:ascii="Times New Roman" w:eastAsia="Times New Roman" w:hAnsi="Times New Roman" w:cs="Times New Roman"/>
                <w:bCs/>
                <w:color w:val="000000" w:themeColor="text1"/>
                <w:sz w:val="20"/>
                <w:szCs w:val="20"/>
                <w:lang w:eastAsia="sk-SK"/>
              </w:rPr>
              <w:t>biokvapalín</w:t>
            </w:r>
            <w:proofErr w:type="spellEnd"/>
            <w:r w:rsidR="00E21087" w:rsidRPr="00E21087">
              <w:rPr>
                <w:rFonts w:ascii="Times New Roman" w:eastAsia="Times New Roman" w:hAnsi="Times New Roman" w:cs="Times New Roman"/>
                <w:bCs/>
                <w:color w:val="000000" w:themeColor="text1"/>
                <w:sz w:val="20"/>
                <w:szCs w:val="20"/>
                <w:lang w:eastAsia="sk-SK"/>
              </w:rPr>
              <w:t xml:space="preserve"> a palív z domácej lesnej biomasy musí byť v súlade so záväzkami a cieľmi podľa osobitného predpisu17p) a s integrovaným národným energetickým a klimatickým plánom.17q)</w:t>
            </w:r>
          </w:p>
          <w:p w14:paraId="29D6B04F"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 xml:space="preserve"> </w:t>
            </w:r>
          </w:p>
          <w:p w14:paraId="6D9CEA0B"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17p) Čl. 4 nariadenia Európskeho parlamentu a Rady (EÚ) 2018/841 z 30. mája 2018 o začlenení emisií a odstraňovania skleníkových plynov z využívania pôdy, zo zmien vo využívaní pôdy a z lesného hospodárstva do rámca politík v oblasti klímy a energetiky na rok 2030, ktorým sa mení nariadenie (EÚ) č. 525/2013 a rozhodnutie č. 529/2013/EÚ (Ú. v. EÚ L 156, 19.6.2018, s. 1).</w:t>
            </w:r>
          </w:p>
          <w:p w14:paraId="7B9558DE"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17q) Čl. 3 a 14 nariadenia Európskeho parlamentu a Rady (EÚ) 2018/1999 z 11. decembra 2018 o riadení energetickej únie a opatrení v oblasti klímy, ktorým sa menia nariadenia Európskeho parlamentu a Rady (ES) č. 663/2009 a (ES) č. 715/2009, smernice Európskeho parlamentu a Rady 94/22/ES, 98/70/ES, 2009/31/ES, 2009/73/ES, 2010/31/EÚ, 2012/27/EÚ a 2013/30/EÚ, smernice Rady 2009/119/ES a (EÚ) 2015/652 a ktorým sa zrušuje nariadenie Európskeho parlamentu a Rady (EÚ) č. 525/2013 (Ú. v. EÚ L 328, 21.12.2018, s. 1).</w:t>
            </w:r>
          </w:p>
        </w:tc>
        <w:tc>
          <w:tcPr>
            <w:tcW w:w="849" w:type="dxa"/>
            <w:tcBorders>
              <w:top w:val="single" w:sz="4" w:space="0" w:color="auto"/>
              <w:left w:val="single" w:sz="4" w:space="0" w:color="auto"/>
              <w:bottom w:val="single" w:sz="4" w:space="0" w:color="auto"/>
              <w:right w:val="single" w:sz="4" w:space="0" w:color="auto"/>
            </w:tcBorders>
          </w:tcPr>
          <w:p w14:paraId="7641FEB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7FD8715F"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0BECC9AC"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6BDFDFC2"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19716AF8" w14:textId="77777777" w:rsidTr="00402EF0">
        <w:tc>
          <w:tcPr>
            <w:tcW w:w="1005" w:type="dxa"/>
            <w:tcBorders>
              <w:top w:val="single" w:sz="4" w:space="0" w:color="auto"/>
              <w:left w:val="single" w:sz="12" w:space="0" w:color="auto"/>
              <w:bottom w:val="single" w:sz="4" w:space="0" w:color="auto"/>
              <w:right w:val="single" w:sz="4" w:space="0" w:color="auto"/>
            </w:tcBorders>
          </w:tcPr>
          <w:p w14:paraId="3631A48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6CAF6D0B"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O:21</w:t>
            </w:r>
          </w:p>
          <w:p w14:paraId="37B1FEA4" w14:textId="6FB82114" w:rsidR="000018E8" w:rsidRPr="0029105C" w:rsidRDefault="000018E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w:t>
            </w:r>
          </w:p>
        </w:tc>
        <w:tc>
          <w:tcPr>
            <w:tcW w:w="3421" w:type="dxa"/>
            <w:tcBorders>
              <w:top w:val="single" w:sz="4" w:space="0" w:color="auto"/>
              <w:left w:val="single" w:sz="4" w:space="0" w:color="auto"/>
              <w:bottom w:val="single" w:sz="4" w:space="0" w:color="auto"/>
              <w:right w:val="single" w:sz="4" w:space="0" w:color="auto"/>
            </w:tcBorders>
          </w:tcPr>
          <w:p w14:paraId="1974DE36" w14:textId="6276E8B2" w:rsidR="000018E8" w:rsidRDefault="000018E8"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018E8">
              <w:rPr>
                <w:rFonts w:ascii="Times New Roman" w:eastAsia="Times New Roman" w:hAnsi="Times New Roman" w:cs="Times New Roman"/>
                <w:bCs/>
                <w:color w:val="000000" w:themeColor="text1"/>
                <w:sz w:val="20"/>
                <w:szCs w:val="20"/>
                <w:lang w:eastAsia="sk-SK"/>
              </w:rPr>
              <w:t>21. Článok 30 sa mení takto:</w:t>
            </w:r>
          </w:p>
          <w:p w14:paraId="06C9ECDA" w14:textId="474E3E03" w:rsidR="000018E8" w:rsidRDefault="000018E8"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018E8">
              <w:rPr>
                <w:rFonts w:ascii="Times New Roman" w:eastAsia="Times New Roman" w:hAnsi="Times New Roman" w:cs="Times New Roman"/>
                <w:bCs/>
                <w:color w:val="000000" w:themeColor="text1"/>
                <w:sz w:val="20"/>
                <w:szCs w:val="20"/>
                <w:lang w:eastAsia="sk-SK"/>
              </w:rPr>
              <w:t xml:space="preserve">a) V odseku 1 prvom </w:t>
            </w:r>
            <w:proofErr w:type="spellStart"/>
            <w:r w:rsidRPr="000018E8">
              <w:rPr>
                <w:rFonts w:ascii="Times New Roman" w:eastAsia="Times New Roman" w:hAnsi="Times New Roman" w:cs="Times New Roman"/>
                <w:bCs/>
                <w:color w:val="000000" w:themeColor="text1"/>
                <w:sz w:val="20"/>
                <w:szCs w:val="20"/>
                <w:lang w:eastAsia="sk-SK"/>
              </w:rPr>
              <w:t>pododseku</w:t>
            </w:r>
            <w:proofErr w:type="spellEnd"/>
            <w:r w:rsidRPr="000018E8">
              <w:rPr>
                <w:rFonts w:ascii="Times New Roman" w:eastAsia="Times New Roman" w:hAnsi="Times New Roman" w:cs="Times New Roman"/>
                <w:bCs/>
                <w:color w:val="000000" w:themeColor="text1"/>
                <w:sz w:val="20"/>
                <w:szCs w:val="20"/>
                <w:lang w:eastAsia="sk-SK"/>
              </w:rPr>
              <w:t xml:space="preserve"> sa úvodná veta nahrádza takto:</w:t>
            </w:r>
          </w:p>
          <w:p w14:paraId="0AB9B317" w14:textId="60257E8D"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lastRenderedPageBreak/>
              <w:t>1. Keď sa palivá z obnoviteľných zdrojov a fosílne palivá vyrobené z odpadu majú započítať k cieľovým hodnotám uvedeným v článku 3 ods. 1, článku 15a ods. 1, článku 22a ods. 1, článku 23 ods. 1, článku 24 ods. 4 a článku 25 ods. 1, členské štáty od hospodárskych subjektov požadujú, aby prostredníctvom povinných, nezávislých a transparentných auditov v súlade s vykonávacím aktom prijatým podľa odseku 8 tohto článku preukázali splnenie kritérií udržateľnosti a úspor emisií skleníkových plynov stanovených v článku 29 ods. 2 až 7 a 10 a v článku 29a ods. 1 a 2 v prípade palív z obnoviteľných zdrojov a fosílnych palív vyrobených z odpadu. Na tento účel členské štáty požadujú od hospodárskych subjektov použitie systému hmotnostnej bilancie, ktorým sa:</w:t>
            </w:r>
          </w:p>
        </w:tc>
        <w:tc>
          <w:tcPr>
            <w:tcW w:w="794" w:type="dxa"/>
            <w:tcBorders>
              <w:top w:val="single" w:sz="4" w:space="0" w:color="auto"/>
              <w:left w:val="single" w:sz="4" w:space="0" w:color="auto"/>
              <w:bottom w:val="single" w:sz="4" w:space="0" w:color="auto"/>
              <w:right w:val="single" w:sz="12" w:space="0" w:color="auto"/>
            </w:tcBorders>
          </w:tcPr>
          <w:p w14:paraId="1F0A86B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N</w:t>
            </w:r>
          </w:p>
        </w:tc>
        <w:tc>
          <w:tcPr>
            <w:tcW w:w="1080" w:type="dxa"/>
            <w:tcBorders>
              <w:top w:val="single" w:sz="4" w:space="0" w:color="auto"/>
              <w:left w:val="nil"/>
              <w:bottom w:val="single" w:sz="4" w:space="0" w:color="auto"/>
              <w:right w:val="single" w:sz="4" w:space="0" w:color="auto"/>
            </w:tcBorders>
          </w:tcPr>
          <w:p w14:paraId="08FDD708" w14:textId="454A6BFE" w:rsidR="00850A3D" w:rsidRPr="0029105C" w:rsidRDefault="00487F9F" w:rsidP="00C17069">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C17069">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tc>
        <w:tc>
          <w:tcPr>
            <w:tcW w:w="900" w:type="dxa"/>
            <w:tcBorders>
              <w:top w:val="single" w:sz="4" w:space="0" w:color="auto"/>
              <w:left w:val="single" w:sz="4" w:space="0" w:color="auto"/>
              <w:bottom w:val="single" w:sz="4" w:space="0" w:color="auto"/>
              <w:right w:val="single" w:sz="4" w:space="0" w:color="auto"/>
            </w:tcBorders>
          </w:tcPr>
          <w:p w14:paraId="465D3A8F"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 14h </w:t>
            </w:r>
          </w:p>
          <w:p w14:paraId="0A38DC21" w14:textId="11AD748F"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w:t>
            </w:r>
            <w:r w:rsidRPr="0029105C">
              <w:rPr>
                <w:rFonts w:ascii="Times New Roman" w:eastAsia="Times New Roman" w:hAnsi="Times New Roman" w:cs="Times New Roman"/>
                <w:color w:val="000000" w:themeColor="text1"/>
                <w:sz w:val="20"/>
                <w:szCs w:val="20"/>
                <w:lang w:eastAsia="sk-SK"/>
              </w:rPr>
              <w:t xml:space="preserve"> 17</w:t>
            </w:r>
          </w:p>
        </w:tc>
        <w:tc>
          <w:tcPr>
            <w:tcW w:w="4540" w:type="dxa"/>
            <w:tcBorders>
              <w:top w:val="single" w:sz="4" w:space="0" w:color="auto"/>
              <w:left w:val="single" w:sz="4" w:space="0" w:color="auto"/>
              <w:bottom w:val="single" w:sz="4" w:space="0" w:color="auto"/>
              <w:right w:val="single" w:sz="4" w:space="0" w:color="auto"/>
            </w:tcBorders>
          </w:tcPr>
          <w:p w14:paraId="4A0D4612" w14:textId="096A35AC" w:rsidR="00850A3D" w:rsidRPr="0029105C" w:rsidRDefault="00C17069"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 xml:space="preserve">(17) </w:t>
            </w:r>
            <w:r>
              <w:t xml:space="preserve"> </w:t>
            </w:r>
            <w:r w:rsidR="00E21087">
              <w:t xml:space="preserve"> </w:t>
            </w:r>
            <w:r w:rsidR="00E21087" w:rsidRPr="00E21087">
              <w:rPr>
                <w:rFonts w:ascii="Times New Roman" w:eastAsia="Times New Roman" w:hAnsi="Times New Roman" w:cs="Times New Roman"/>
                <w:bCs/>
                <w:color w:val="000000" w:themeColor="text1"/>
                <w:sz w:val="20"/>
                <w:szCs w:val="20"/>
                <w:lang w:eastAsia="sk-SK"/>
              </w:rPr>
              <w:t xml:space="preserve">Právnická osoba alebo fyzická osoba preukazuje splnenie kritérií trvalej udržateľnosti pre palivá z obnoviteľných zdrojov a palivá s obsahom recyklovaného uhlíka nezávislým a transparentným </w:t>
            </w:r>
            <w:r w:rsidR="00E21087" w:rsidRPr="00E21087">
              <w:rPr>
                <w:rFonts w:ascii="Times New Roman" w:eastAsia="Times New Roman" w:hAnsi="Times New Roman" w:cs="Times New Roman"/>
                <w:bCs/>
                <w:color w:val="000000" w:themeColor="text1"/>
                <w:sz w:val="20"/>
                <w:szCs w:val="20"/>
                <w:lang w:eastAsia="sk-SK"/>
              </w:rPr>
              <w:lastRenderedPageBreak/>
              <w:t>auditom v súlade s osobitným predpisom.17r) Na tento účel používajú systém hmotnostnej bilancie.</w:t>
            </w:r>
          </w:p>
          <w:p w14:paraId="4AE5B7AF"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41563A66"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17r) Vykonávacie nariadenie Komisie (EÚ) 2022/996 zo 14. júna 2022 o pravidlách overovania kritérií udržateľnosti a úspor emisií skleníkových plynov a kritérií nízkeho rizika nepriamej zmeny využívania pôdy (Text s významom pre EHP) (Ú. v. EÚ L 168, 27.6.2022, s. 1).</w:t>
            </w:r>
          </w:p>
        </w:tc>
        <w:tc>
          <w:tcPr>
            <w:tcW w:w="849" w:type="dxa"/>
            <w:tcBorders>
              <w:top w:val="single" w:sz="4" w:space="0" w:color="auto"/>
              <w:left w:val="single" w:sz="4" w:space="0" w:color="auto"/>
              <w:bottom w:val="single" w:sz="4" w:space="0" w:color="auto"/>
              <w:right w:val="single" w:sz="4" w:space="0" w:color="auto"/>
            </w:tcBorders>
          </w:tcPr>
          <w:p w14:paraId="5CA0009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Ú</w:t>
            </w:r>
          </w:p>
        </w:tc>
        <w:tc>
          <w:tcPr>
            <w:tcW w:w="1360" w:type="dxa"/>
            <w:tcBorders>
              <w:top w:val="single" w:sz="4" w:space="0" w:color="auto"/>
              <w:left w:val="single" w:sz="4" w:space="0" w:color="auto"/>
              <w:bottom w:val="single" w:sz="4" w:space="0" w:color="auto"/>
              <w:right w:val="single" w:sz="4" w:space="0" w:color="auto"/>
            </w:tcBorders>
          </w:tcPr>
          <w:p w14:paraId="3955E093"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7B424988"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12C42424"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23BC6E51" w14:textId="77777777" w:rsidTr="00402EF0">
        <w:tc>
          <w:tcPr>
            <w:tcW w:w="1005" w:type="dxa"/>
            <w:tcBorders>
              <w:top w:val="single" w:sz="4" w:space="0" w:color="auto"/>
              <w:left w:val="single" w:sz="12" w:space="0" w:color="auto"/>
              <w:bottom w:val="single" w:sz="4" w:space="0" w:color="auto"/>
              <w:right w:val="single" w:sz="4" w:space="0" w:color="auto"/>
            </w:tcBorders>
          </w:tcPr>
          <w:p w14:paraId="53EB388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32B5C4D4"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O:21</w:t>
            </w:r>
          </w:p>
          <w:p w14:paraId="28AEF0A4" w14:textId="26623BED" w:rsidR="000018E8" w:rsidRPr="0029105C" w:rsidRDefault="000018E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c</w:t>
            </w:r>
          </w:p>
        </w:tc>
        <w:tc>
          <w:tcPr>
            <w:tcW w:w="3421" w:type="dxa"/>
            <w:tcBorders>
              <w:top w:val="single" w:sz="4" w:space="0" w:color="auto"/>
              <w:left w:val="single" w:sz="4" w:space="0" w:color="auto"/>
              <w:bottom w:val="single" w:sz="4" w:space="0" w:color="auto"/>
              <w:right w:val="single" w:sz="4" w:space="0" w:color="auto"/>
            </w:tcBorders>
          </w:tcPr>
          <w:p w14:paraId="3704B226" w14:textId="6FC261E8" w:rsidR="000018E8" w:rsidRDefault="000018E8"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018E8">
              <w:rPr>
                <w:rFonts w:ascii="Times New Roman" w:eastAsia="Times New Roman" w:hAnsi="Times New Roman" w:cs="Times New Roman"/>
                <w:bCs/>
                <w:color w:val="000000" w:themeColor="text1"/>
                <w:sz w:val="20"/>
                <w:szCs w:val="20"/>
                <w:lang w:eastAsia="sk-SK"/>
              </w:rPr>
              <w:t>21. Článok 30 sa mení takto:</w:t>
            </w:r>
          </w:p>
          <w:p w14:paraId="0771DD02" w14:textId="4CDC35B1" w:rsidR="000018E8" w:rsidRDefault="000018E8"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018E8">
              <w:rPr>
                <w:rFonts w:ascii="Times New Roman" w:eastAsia="Times New Roman" w:hAnsi="Times New Roman" w:cs="Times New Roman"/>
                <w:bCs/>
                <w:color w:val="000000" w:themeColor="text1"/>
                <w:sz w:val="20"/>
                <w:szCs w:val="20"/>
                <w:lang w:eastAsia="sk-SK"/>
              </w:rPr>
              <w:t xml:space="preserve">c) V odseku 3 sa prvý a druhý </w:t>
            </w:r>
            <w:proofErr w:type="spellStart"/>
            <w:r w:rsidRPr="000018E8">
              <w:rPr>
                <w:rFonts w:ascii="Times New Roman" w:eastAsia="Times New Roman" w:hAnsi="Times New Roman" w:cs="Times New Roman"/>
                <w:bCs/>
                <w:color w:val="000000" w:themeColor="text1"/>
                <w:sz w:val="20"/>
                <w:szCs w:val="20"/>
                <w:lang w:eastAsia="sk-SK"/>
              </w:rPr>
              <w:t>pododsek</w:t>
            </w:r>
            <w:proofErr w:type="spellEnd"/>
            <w:r w:rsidRPr="000018E8">
              <w:rPr>
                <w:rFonts w:ascii="Times New Roman" w:eastAsia="Times New Roman" w:hAnsi="Times New Roman" w:cs="Times New Roman"/>
                <w:bCs/>
                <w:color w:val="000000" w:themeColor="text1"/>
                <w:sz w:val="20"/>
                <w:szCs w:val="20"/>
                <w:lang w:eastAsia="sk-SK"/>
              </w:rPr>
              <w:t xml:space="preserve"> nahrádzajú takto:</w:t>
            </w:r>
          </w:p>
          <w:p w14:paraId="1722D57C" w14:textId="47F119A6"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 xml:space="preserve">Členské štáty prijímajú opatrenia na zabezpečenie toho, aby hospodárske subjekty predkladali spoľahlivé informácie o dodržiavaní kritérií udržateľnosti a úspor emisií skleníkových plynov stanovených v článku 29 ods. 2 až 7 a 10 a v článku 29a ods. 1 a 2 a aby hospodárske subjekty príslušnému členskému štátu na žiadosť sprístupnili údaje použité na zostavenie daných informácií. Členské štáty vyžadujú od hospodárskych subjektov, aby vytvorili primeraný štandard nezávislého auditu predložených </w:t>
            </w:r>
            <w:r w:rsidRPr="0029105C">
              <w:rPr>
                <w:rFonts w:ascii="Times New Roman" w:eastAsia="Times New Roman" w:hAnsi="Times New Roman" w:cs="Times New Roman"/>
                <w:bCs/>
                <w:color w:val="000000" w:themeColor="text1"/>
                <w:sz w:val="20"/>
                <w:szCs w:val="20"/>
                <w:lang w:eastAsia="sk-SK"/>
              </w:rPr>
              <w:lastRenderedPageBreak/>
              <w:t>informácií, a aby poskytli dôkaz o tom, že táto požiadavka bola splnená.</w:t>
            </w:r>
          </w:p>
          <w:p w14:paraId="249BF8C6"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2EC84067"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S cieľom dodržať článok 29 ods. 3 písm. a), b), d) a e), článok 29 ods. 4 písm. a), článok 29 ods. 5, článok 29 ods. 6 písm. a) a článok 29 ods. 7 písm. a) sa audit prvej alebo druhej strany môže použiť, a to až do prvého bodu zhromažďovania lesnej biomasy.</w:t>
            </w:r>
          </w:p>
          <w:p w14:paraId="0EF46479"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7D35F632"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Auditom sa overuje, či sú systémy využívané hospodárskymi subjektmi presné, spoľahlivé a chránené pred podvodmi vrátane overenia zabezpečujúceho, že materiály nie sú zámerne pozmenené alebo vyradené s cieľom vytvoriť z dodávky alebo jej časti odpad alebo zvyšok. Auditom sa vyhodnotí aj frekvencia a metodika odberu vzoriek a spoľahlivosť údajov.</w:t>
            </w:r>
          </w:p>
          <w:p w14:paraId="3AB58C42"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3DABC88C"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 xml:space="preserve">Povinnosti stanovené v tomto odseku sa uplatňujú bez ohľadu na to, či sú palivá z obnoviteľných zdrojov a fosílne palivá vyrobené z odpadu vyrobené v Únii alebo sa do nej dovážajú. Informácie o geografickom pôvode a druhu surovín </w:t>
            </w:r>
            <w:proofErr w:type="spellStart"/>
            <w:r w:rsidRPr="0029105C">
              <w:rPr>
                <w:rFonts w:ascii="Times New Roman" w:eastAsia="Times New Roman" w:hAnsi="Times New Roman" w:cs="Times New Roman"/>
                <w:bCs/>
                <w:color w:val="000000" w:themeColor="text1"/>
                <w:sz w:val="20"/>
                <w:szCs w:val="20"/>
                <w:lang w:eastAsia="sk-SK"/>
              </w:rPr>
              <w:t>biopalív</w:t>
            </w:r>
            <w:proofErr w:type="spellEnd"/>
            <w:r w:rsidRPr="0029105C">
              <w:rPr>
                <w:rFonts w:ascii="Times New Roman" w:eastAsia="Times New Roman" w:hAnsi="Times New Roman" w:cs="Times New Roman"/>
                <w:bCs/>
                <w:color w:val="000000" w:themeColor="text1"/>
                <w:sz w:val="20"/>
                <w:szCs w:val="20"/>
                <w:lang w:eastAsia="sk-SK"/>
              </w:rPr>
              <w:t xml:space="preserve">, </w:t>
            </w:r>
            <w:proofErr w:type="spellStart"/>
            <w:r w:rsidRPr="0029105C">
              <w:rPr>
                <w:rFonts w:ascii="Times New Roman" w:eastAsia="Times New Roman" w:hAnsi="Times New Roman" w:cs="Times New Roman"/>
                <w:bCs/>
                <w:color w:val="000000" w:themeColor="text1"/>
                <w:sz w:val="20"/>
                <w:szCs w:val="20"/>
                <w:lang w:eastAsia="sk-SK"/>
              </w:rPr>
              <w:t>biokvapalín</w:t>
            </w:r>
            <w:proofErr w:type="spellEnd"/>
            <w:r w:rsidRPr="0029105C">
              <w:rPr>
                <w:rFonts w:ascii="Times New Roman" w:eastAsia="Times New Roman" w:hAnsi="Times New Roman" w:cs="Times New Roman"/>
                <w:bCs/>
                <w:color w:val="000000" w:themeColor="text1"/>
                <w:sz w:val="20"/>
                <w:szCs w:val="20"/>
                <w:lang w:eastAsia="sk-SK"/>
              </w:rPr>
              <w:t xml:space="preserve"> a palív z biomasy za každého dodávateľa paliva sa spotrebiteľom poskytujú aktualizovaným, ľahko prístupným a užívateľsky ústretovým spôsobom na webových sídlach prevádzkovateľov, dodávateľov alebo príslušných orgánov a každoročne sa aktualizujú.</w:t>
            </w:r>
          </w:p>
          <w:p w14:paraId="4EA9BA15"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tc>
        <w:tc>
          <w:tcPr>
            <w:tcW w:w="794" w:type="dxa"/>
            <w:tcBorders>
              <w:top w:val="single" w:sz="4" w:space="0" w:color="auto"/>
              <w:left w:val="single" w:sz="4" w:space="0" w:color="auto"/>
              <w:bottom w:val="single" w:sz="4" w:space="0" w:color="auto"/>
              <w:right w:val="single" w:sz="12" w:space="0" w:color="auto"/>
            </w:tcBorders>
          </w:tcPr>
          <w:p w14:paraId="46CC8E7F"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N</w:t>
            </w:r>
          </w:p>
          <w:p w14:paraId="419B2117"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D3396C"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60E44F"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A7389A"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91F680"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22606E"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CE1F01"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E5CF4C"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09824F"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62FC0E"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E00722"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1F60C1"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ADE156"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6DB104"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EB652A"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D2B230"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461A88"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EAE9C9"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F05F87"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7BDCA0"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BC8709"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777824"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F929A1"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6FDE50"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10CE79"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136682"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2ED244"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D8C0EF"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roofErr w:type="spellStart"/>
            <w:r>
              <w:rPr>
                <w:rFonts w:ascii="Times New Roman" w:eastAsia="Times New Roman" w:hAnsi="Times New Roman" w:cs="Times New Roman"/>
                <w:color w:val="000000" w:themeColor="text1"/>
                <w:sz w:val="20"/>
                <w:szCs w:val="20"/>
                <w:lang w:eastAsia="sk-SK"/>
              </w:rPr>
              <w:t>n.a</w:t>
            </w:r>
            <w:proofErr w:type="spellEnd"/>
            <w:r>
              <w:rPr>
                <w:rFonts w:ascii="Times New Roman" w:eastAsia="Times New Roman" w:hAnsi="Times New Roman" w:cs="Times New Roman"/>
                <w:color w:val="000000" w:themeColor="text1"/>
                <w:sz w:val="20"/>
                <w:szCs w:val="20"/>
                <w:lang w:eastAsia="sk-SK"/>
              </w:rPr>
              <w:t>.</w:t>
            </w:r>
          </w:p>
          <w:p w14:paraId="0CCE9DAC"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9A2528"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C2607E"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78B1F1"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FA1948"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EB4D0F"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08AA6C"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860F74"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2E53EF"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7AB4B2"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CEEC1F" w14:textId="5E72EC4D" w:rsidR="00A93168" w:rsidRPr="0029105C"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14DE3EDA" w14:textId="5FD78A70" w:rsidR="00850A3D" w:rsidRPr="0029105C"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Návrh zákona č.</w:t>
            </w:r>
            <w:r w:rsidR="00A93168">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p w14:paraId="7332107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98A3F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C86B8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EDCC5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BB881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B91B0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E797D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AF7EA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33CEB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1D477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BE1F1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FAB43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2C5D4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2E12B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180CE7" w14:textId="4F6E5ACA"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8F224F"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6D6F63"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96985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E634F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A1F98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00079F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9D861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1D276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5CD9E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F7FBD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0C982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C7803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7D639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01B52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8EC45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6DC10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A45279" w14:textId="0C0C7648"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A1180F" w14:textId="77777777" w:rsidR="00CD742F"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5882B2" w14:textId="77777777" w:rsidR="00CD742F"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9A58C2" w14:textId="77777777" w:rsidR="00CD742F"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A5E112" w14:textId="77777777" w:rsidR="00CD742F"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6FA0A8" w14:textId="77777777" w:rsidR="00CD742F"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159382" w14:textId="77777777" w:rsidR="00CD742F"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71318C" w14:textId="77777777" w:rsidR="00CD742F"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8501D6" w14:textId="77777777" w:rsidR="00CD742F"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C72440" w14:textId="77777777" w:rsidR="00CD742F"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662925" w14:textId="77777777" w:rsidR="00CD742F"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DA8B55" w14:textId="77777777" w:rsidR="00CD742F"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88BC01" w14:textId="77777777" w:rsidR="00CD742F"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1DF949" w14:textId="2CA46C7E" w:rsidR="00CD742F"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2.</w:t>
            </w:r>
          </w:p>
          <w:p w14:paraId="2B4D1551" w14:textId="77777777" w:rsidR="00CD742F"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732EEE" w14:textId="70558E2D" w:rsidR="00CD742F" w:rsidRPr="0029105C" w:rsidRDefault="00CD742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900" w:type="dxa"/>
            <w:tcBorders>
              <w:top w:val="single" w:sz="4" w:space="0" w:color="auto"/>
              <w:left w:val="single" w:sz="4" w:space="0" w:color="auto"/>
              <w:bottom w:val="single" w:sz="4" w:space="0" w:color="auto"/>
              <w:right w:val="single" w:sz="4" w:space="0" w:color="auto"/>
            </w:tcBorders>
          </w:tcPr>
          <w:p w14:paraId="0E28D886"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 14h</w:t>
            </w:r>
          </w:p>
          <w:p w14:paraId="0CA93C7F" w14:textId="6A89C808"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w:t>
            </w:r>
            <w:r w:rsidRPr="0029105C">
              <w:rPr>
                <w:rFonts w:ascii="Times New Roman" w:eastAsia="Times New Roman" w:hAnsi="Times New Roman" w:cs="Times New Roman"/>
                <w:color w:val="000000" w:themeColor="text1"/>
                <w:sz w:val="20"/>
                <w:szCs w:val="20"/>
                <w:lang w:eastAsia="sk-SK"/>
              </w:rPr>
              <w:t xml:space="preserve"> 17</w:t>
            </w:r>
          </w:p>
          <w:p w14:paraId="0A82154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FDCF4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EE236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CC088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990D2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3CC4D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AD342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7D08A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A3105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C8C08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77E57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D9042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80AF0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D40F43"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D7D0F2"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C78FB94"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B6093A"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8B317A" w14:textId="77777777"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62CAAE" w14:textId="338C970A"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 14b </w:t>
            </w:r>
          </w:p>
          <w:p w14:paraId="4CA2256D" w14:textId="414D8E8F"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O: </w:t>
            </w:r>
            <w:r w:rsidRPr="0029105C">
              <w:rPr>
                <w:rFonts w:ascii="Times New Roman" w:eastAsia="Times New Roman" w:hAnsi="Times New Roman" w:cs="Times New Roman"/>
                <w:color w:val="000000" w:themeColor="text1"/>
                <w:sz w:val="20"/>
                <w:szCs w:val="20"/>
                <w:lang w:eastAsia="sk-SK"/>
              </w:rPr>
              <w:t>8</w:t>
            </w:r>
          </w:p>
          <w:p w14:paraId="46FC4A0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C2ECC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796693"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297C6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8740F3"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371A7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2434A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28BB0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6AC6D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AA98D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5A140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049383"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16AC4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A4EA11" w14:textId="5AF81436"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2C4E1B" w14:textId="10BD67A2"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3D7536" w14:textId="49C67DC5"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D3D0A5" w14:textId="7EF84139" w:rsidR="00A93168" w:rsidRDefault="00A9316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C5585C"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14h</w:t>
            </w:r>
          </w:p>
          <w:p w14:paraId="421F677C" w14:textId="7E90F7F0"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O: </w:t>
            </w:r>
            <w:r w:rsidRPr="0029105C">
              <w:rPr>
                <w:rFonts w:ascii="Times New Roman" w:eastAsia="Times New Roman" w:hAnsi="Times New Roman" w:cs="Times New Roman"/>
                <w:color w:val="000000" w:themeColor="text1"/>
                <w:sz w:val="20"/>
                <w:szCs w:val="20"/>
                <w:lang w:eastAsia="sk-SK"/>
              </w:rPr>
              <w:t>18</w:t>
            </w:r>
          </w:p>
          <w:p w14:paraId="61DAA4D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EAF47F"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1B37B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500C7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4CD1D1F"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5BEDD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E78F4E"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14i</w:t>
            </w:r>
          </w:p>
          <w:p w14:paraId="3B2A1F67"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O: </w:t>
            </w:r>
            <w:r w:rsidRPr="0029105C">
              <w:rPr>
                <w:rFonts w:ascii="Times New Roman" w:eastAsia="Times New Roman" w:hAnsi="Times New Roman" w:cs="Times New Roman"/>
                <w:color w:val="000000" w:themeColor="text1"/>
                <w:sz w:val="20"/>
                <w:szCs w:val="20"/>
                <w:lang w:eastAsia="sk-SK"/>
              </w:rPr>
              <w:t>1</w:t>
            </w:r>
          </w:p>
          <w:p w14:paraId="3060B033" w14:textId="5010F4D9"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w:t>
            </w:r>
            <w:r w:rsidRPr="0029105C">
              <w:rPr>
                <w:rFonts w:ascii="Times New Roman" w:eastAsia="Times New Roman" w:hAnsi="Times New Roman" w:cs="Times New Roman"/>
                <w:color w:val="000000" w:themeColor="text1"/>
                <w:sz w:val="20"/>
                <w:szCs w:val="20"/>
                <w:lang w:eastAsia="sk-SK"/>
              </w:rPr>
              <w:t xml:space="preserve"> b</w:t>
            </w:r>
            <w:r>
              <w:rPr>
                <w:rFonts w:ascii="Times New Roman" w:eastAsia="Times New Roman" w:hAnsi="Times New Roman" w:cs="Times New Roman"/>
                <w:color w:val="000000" w:themeColor="text1"/>
                <w:sz w:val="20"/>
                <w:szCs w:val="20"/>
                <w:lang w:eastAsia="sk-SK"/>
              </w:rPr>
              <w:t>)</w:t>
            </w:r>
          </w:p>
          <w:p w14:paraId="0291548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B94F4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846F5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F015AF"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15DD1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68118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0165F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7AA997"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 14ea</w:t>
            </w:r>
          </w:p>
          <w:p w14:paraId="24339733" w14:textId="267A5524"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w:t>
            </w:r>
            <w:r w:rsidRPr="0029105C">
              <w:rPr>
                <w:rFonts w:ascii="Times New Roman" w:eastAsia="Times New Roman" w:hAnsi="Times New Roman" w:cs="Times New Roman"/>
                <w:color w:val="000000" w:themeColor="text1"/>
                <w:sz w:val="20"/>
                <w:szCs w:val="20"/>
                <w:lang w:eastAsia="sk-SK"/>
              </w:rPr>
              <w:t xml:space="preserve"> j</w:t>
            </w:r>
            <w:r>
              <w:rPr>
                <w:rFonts w:ascii="Times New Roman" w:eastAsia="Times New Roman" w:hAnsi="Times New Roman" w:cs="Times New Roman"/>
                <w:color w:val="000000" w:themeColor="text1"/>
                <w:sz w:val="20"/>
                <w:szCs w:val="20"/>
                <w:lang w:eastAsia="sk-SK"/>
              </w:rPr>
              <w:t>)</w:t>
            </w:r>
          </w:p>
        </w:tc>
        <w:tc>
          <w:tcPr>
            <w:tcW w:w="4540" w:type="dxa"/>
            <w:tcBorders>
              <w:top w:val="single" w:sz="4" w:space="0" w:color="auto"/>
              <w:left w:val="single" w:sz="4" w:space="0" w:color="auto"/>
              <w:bottom w:val="single" w:sz="4" w:space="0" w:color="auto"/>
              <w:right w:val="single" w:sz="4" w:space="0" w:color="auto"/>
            </w:tcBorders>
          </w:tcPr>
          <w:p w14:paraId="17414610" w14:textId="103FCD28" w:rsidR="00850A3D" w:rsidRDefault="00A93168"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lastRenderedPageBreak/>
              <w:t>(17</w:t>
            </w:r>
            <w:r w:rsidR="00E21087">
              <w:rPr>
                <w:rFonts w:ascii="Times New Roman" w:eastAsia="Times New Roman" w:hAnsi="Times New Roman" w:cs="Times New Roman"/>
                <w:bCs/>
                <w:color w:val="000000" w:themeColor="text1"/>
                <w:sz w:val="20"/>
                <w:szCs w:val="20"/>
                <w:lang w:eastAsia="sk-SK"/>
              </w:rPr>
              <w:t>)</w:t>
            </w:r>
            <w:r w:rsidR="00E21087">
              <w:t xml:space="preserve"> </w:t>
            </w:r>
            <w:r w:rsidR="00E21087" w:rsidRPr="00E21087">
              <w:rPr>
                <w:rFonts w:ascii="Times New Roman" w:eastAsia="Times New Roman" w:hAnsi="Times New Roman" w:cs="Times New Roman"/>
                <w:bCs/>
                <w:color w:val="000000" w:themeColor="text1"/>
                <w:sz w:val="20"/>
                <w:szCs w:val="20"/>
                <w:lang w:eastAsia="sk-SK"/>
              </w:rPr>
              <w:t>Právnická osoba alebo fyzická osoba preukazuje splnenie kritérií trvalej udržateľnosti pre palivá z obnoviteľných zdrojov a palivá s obsahom recyklovaného uhlíka nezávislým a transparentným auditom v súlade s osobitným predpisom.17r) Na tento účel používajú systém hmotnostnej bilancie.</w:t>
            </w:r>
          </w:p>
          <w:p w14:paraId="5F7014C0" w14:textId="77777777" w:rsidR="00A93168" w:rsidRPr="0029105C" w:rsidRDefault="00A93168"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282DF52C"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17r) Vykonávacie nariadenie Komisie (EÚ) 2022/996 zo 14. júna 2022 o pravidlách overovania kritérií udržateľnosti a úspor emisií skleníkových plynov a kritérií nízkeho rizika nepriamej zmeny využívania pôdy (Text s významom pre EHP) (Ú. v. EÚ L 168, 27.6.2022, s. 1).</w:t>
            </w:r>
          </w:p>
          <w:p w14:paraId="781DF2CB"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5C248940" w14:textId="77777777" w:rsidR="00A93168" w:rsidRDefault="00A93168"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51980D98" w14:textId="77777777" w:rsidR="00A93168" w:rsidRDefault="00A93168"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45F8CD8D" w14:textId="7AAE3CFD" w:rsidR="00A93168" w:rsidRDefault="00A93168"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09669E5D" w14:textId="77777777" w:rsidR="00E21087" w:rsidRDefault="00E21087"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13E580CA" w14:textId="77777777" w:rsidR="00A93168" w:rsidRDefault="00A93168"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6B900778" w14:textId="77777777" w:rsidR="00A93168" w:rsidRDefault="00A93168"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61D99FBB" w14:textId="188244C1" w:rsidR="00850A3D" w:rsidRPr="0029105C" w:rsidRDefault="00A93168"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 xml:space="preserve">(8) </w:t>
            </w:r>
            <w:r>
              <w:t xml:space="preserve"> </w:t>
            </w:r>
            <w:r w:rsidR="00E21087">
              <w:t xml:space="preserve"> </w:t>
            </w:r>
            <w:r w:rsidR="00E21087" w:rsidRPr="00E21087">
              <w:rPr>
                <w:rFonts w:ascii="Times New Roman" w:eastAsia="Times New Roman" w:hAnsi="Times New Roman" w:cs="Times New Roman"/>
                <w:bCs/>
                <w:color w:val="000000" w:themeColor="text1"/>
                <w:sz w:val="20"/>
                <w:szCs w:val="20"/>
                <w:lang w:eastAsia="sk-SK"/>
              </w:rPr>
              <w:t>Právnická osoba alebo fyzická osoba môže použiť audit prvej strany alebo audit druhej strany na splnenie vybraných kritérií udržateľnosti podľa osobitného predpisu,17r) a to až do prvého miesta zhromažďovania lesnej biomasy.</w:t>
            </w:r>
          </w:p>
          <w:p w14:paraId="7DF0CA62"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44BA3426"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175D53C2"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7DB1D1D4"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0841E4F5"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711A9A35"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4EE333D4"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0D6BC734"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34A104AC"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114B4F84"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1AABDC09" w14:textId="578006E2" w:rsidR="00850A3D"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6594FB98" w14:textId="77777777" w:rsidR="00A93168" w:rsidRPr="0029105C" w:rsidRDefault="00A93168"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3F82752B" w14:textId="2B7C8C0F" w:rsidR="00850A3D"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6415EE51" w14:textId="38649595" w:rsidR="00A93168" w:rsidRDefault="00A93168"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1B9290F3" w14:textId="51FBCAA5" w:rsidR="00850A3D" w:rsidRPr="0029105C" w:rsidRDefault="00A93168"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 xml:space="preserve">(18) </w:t>
            </w:r>
            <w:r>
              <w:t xml:space="preserve"> </w:t>
            </w:r>
            <w:r w:rsidR="00E21087">
              <w:t xml:space="preserve"> </w:t>
            </w:r>
            <w:r w:rsidR="00E21087" w:rsidRPr="00E21087">
              <w:rPr>
                <w:rFonts w:ascii="Times New Roman" w:eastAsia="Times New Roman" w:hAnsi="Times New Roman" w:cs="Times New Roman"/>
                <w:bCs/>
                <w:color w:val="000000" w:themeColor="text1"/>
                <w:sz w:val="20"/>
                <w:szCs w:val="20"/>
                <w:lang w:eastAsia="sk-SK"/>
              </w:rPr>
              <w:t>Právnická osoba alebo fyzická osoba preukazuje splnenie kritérií trvalej udržateľnosti pre palivá z obnoviteľných zdrojov energie a palivá s obsahom recyklovaného uhlíka bez ohľadu na to, či sú palivá z obnoviteľných zdrojov energie a palivá s obsahom recyklovaného uhlíka vyrobené v Európskej únii alebo sa do nej dovážajú.</w:t>
            </w:r>
          </w:p>
          <w:p w14:paraId="27EFE50A"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32473C55"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 xml:space="preserve">(1) Ak sa pre zariadenie podľa § 14h vyžaduje splnenie kritérií trvalej udržateľnosti pre </w:t>
            </w:r>
            <w:proofErr w:type="spellStart"/>
            <w:r w:rsidRPr="0029105C">
              <w:rPr>
                <w:rFonts w:ascii="Times New Roman" w:eastAsia="Times New Roman" w:hAnsi="Times New Roman" w:cs="Times New Roman"/>
                <w:bCs/>
                <w:color w:val="000000" w:themeColor="text1"/>
                <w:sz w:val="20"/>
                <w:szCs w:val="20"/>
                <w:lang w:eastAsia="sk-SK"/>
              </w:rPr>
              <w:t>biokvapalinu</w:t>
            </w:r>
            <w:proofErr w:type="spellEnd"/>
            <w:r w:rsidRPr="0029105C">
              <w:rPr>
                <w:rFonts w:ascii="Times New Roman" w:eastAsia="Times New Roman" w:hAnsi="Times New Roman" w:cs="Times New Roman"/>
                <w:bCs/>
                <w:color w:val="000000" w:themeColor="text1"/>
                <w:sz w:val="20"/>
                <w:szCs w:val="20"/>
                <w:lang w:eastAsia="sk-SK"/>
              </w:rPr>
              <w:t xml:space="preserve"> alebo palivo z biomasy, výrobca elektriny a výrobca tepla je povinný </w:t>
            </w:r>
          </w:p>
          <w:p w14:paraId="1722EBA8"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 xml:space="preserve">b) do 31. januára zverejniť na svojom webovom sídle informácie o geografickom pôvode a druhu biomasy použitej na výrobu </w:t>
            </w:r>
            <w:proofErr w:type="spellStart"/>
            <w:r w:rsidRPr="0029105C">
              <w:rPr>
                <w:rFonts w:ascii="Times New Roman" w:eastAsia="Times New Roman" w:hAnsi="Times New Roman" w:cs="Times New Roman"/>
                <w:bCs/>
                <w:color w:val="000000" w:themeColor="text1"/>
                <w:sz w:val="20"/>
                <w:szCs w:val="20"/>
                <w:lang w:eastAsia="sk-SK"/>
              </w:rPr>
              <w:t>biokvapalín</w:t>
            </w:r>
            <w:proofErr w:type="spellEnd"/>
            <w:r w:rsidRPr="0029105C">
              <w:rPr>
                <w:rFonts w:ascii="Times New Roman" w:eastAsia="Times New Roman" w:hAnsi="Times New Roman" w:cs="Times New Roman"/>
                <w:bCs/>
                <w:color w:val="000000" w:themeColor="text1"/>
                <w:sz w:val="20"/>
                <w:szCs w:val="20"/>
                <w:lang w:eastAsia="sk-SK"/>
              </w:rPr>
              <w:t xml:space="preserve"> alebo palív z biomasy za každého dodávateľa paliva a každoročne tieto údaje aktualizovať. </w:t>
            </w:r>
          </w:p>
          <w:p w14:paraId="44D1216F"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1F5E007C"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lastRenderedPageBreak/>
              <w:t xml:space="preserve">Slovenský hydrometeorologický ústav </w:t>
            </w:r>
          </w:p>
          <w:p w14:paraId="4E73A9F4"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j) zverejňuje na svojom webovom sídle informácie o geografickom pôvode a druhu surovín použitých na výrobu udržateľných pohonných látok za každú právnickú osobu alebo fyzickú osobu, ktorá uvádza na trh udržateľnú pohonnú látku, a každoročne tieto údaje aktualizuje,</w:t>
            </w:r>
          </w:p>
        </w:tc>
        <w:tc>
          <w:tcPr>
            <w:tcW w:w="849" w:type="dxa"/>
            <w:tcBorders>
              <w:top w:val="single" w:sz="4" w:space="0" w:color="auto"/>
              <w:left w:val="single" w:sz="4" w:space="0" w:color="auto"/>
              <w:bottom w:val="single" w:sz="4" w:space="0" w:color="auto"/>
              <w:right w:val="single" w:sz="4" w:space="0" w:color="auto"/>
            </w:tcBorders>
          </w:tcPr>
          <w:p w14:paraId="42AD418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Ú</w:t>
            </w:r>
          </w:p>
        </w:tc>
        <w:tc>
          <w:tcPr>
            <w:tcW w:w="1360" w:type="dxa"/>
            <w:tcBorders>
              <w:top w:val="single" w:sz="4" w:space="0" w:color="auto"/>
              <w:left w:val="single" w:sz="4" w:space="0" w:color="auto"/>
              <w:bottom w:val="single" w:sz="4" w:space="0" w:color="auto"/>
              <w:right w:val="single" w:sz="4" w:space="0" w:color="auto"/>
            </w:tcBorders>
          </w:tcPr>
          <w:p w14:paraId="3517F98F"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5B0748E7"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34223B45"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1468F121" w14:textId="77777777" w:rsidTr="00402EF0">
        <w:tc>
          <w:tcPr>
            <w:tcW w:w="1005" w:type="dxa"/>
            <w:tcBorders>
              <w:top w:val="single" w:sz="4" w:space="0" w:color="auto"/>
              <w:left w:val="single" w:sz="12" w:space="0" w:color="auto"/>
              <w:bottom w:val="single" w:sz="4" w:space="0" w:color="auto"/>
              <w:right w:val="single" w:sz="4" w:space="0" w:color="auto"/>
            </w:tcBorders>
          </w:tcPr>
          <w:p w14:paraId="5AC9AF93"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Č:1</w:t>
            </w:r>
          </w:p>
          <w:p w14:paraId="14AEA66F"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O:21</w:t>
            </w:r>
          </w:p>
          <w:p w14:paraId="1DC4C791" w14:textId="56673302" w:rsidR="000018E8" w:rsidRPr="0029105C" w:rsidRDefault="000018E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e</w:t>
            </w:r>
          </w:p>
        </w:tc>
        <w:tc>
          <w:tcPr>
            <w:tcW w:w="3421" w:type="dxa"/>
            <w:tcBorders>
              <w:top w:val="single" w:sz="4" w:space="0" w:color="auto"/>
              <w:left w:val="single" w:sz="4" w:space="0" w:color="auto"/>
              <w:bottom w:val="single" w:sz="4" w:space="0" w:color="auto"/>
              <w:right w:val="single" w:sz="4" w:space="0" w:color="auto"/>
            </w:tcBorders>
          </w:tcPr>
          <w:p w14:paraId="45A94CC5" w14:textId="6081A6DA" w:rsidR="000018E8" w:rsidRDefault="000018E8"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018E8">
              <w:rPr>
                <w:rFonts w:ascii="Times New Roman" w:eastAsia="Times New Roman" w:hAnsi="Times New Roman" w:cs="Times New Roman"/>
                <w:bCs/>
                <w:color w:val="000000" w:themeColor="text1"/>
                <w:sz w:val="20"/>
                <w:szCs w:val="20"/>
                <w:lang w:eastAsia="sk-SK"/>
              </w:rPr>
              <w:t>21. Článok 30 sa mení takto:</w:t>
            </w:r>
          </w:p>
          <w:p w14:paraId="519CE5C8" w14:textId="1D57A032" w:rsidR="000018E8" w:rsidRDefault="000018E8"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018E8">
              <w:rPr>
                <w:rFonts w:ascii="Times New Roman" w:eastAsia="Times New Roman" w:hAnsi="Times New Roman" w:cs="Times New Roman"/>
                <w:bCs/>
                <w:color w:val="000000" w:themeColor="text1"/>
                <w:sz w:val="20"/>
                <w:szCs w:val="20"/>
                <w:lang w:eastAsia="sk-SK"/>
              </w:rPr>
              <w:t>e) Odsek 6 nahrádza takto:</w:t>
            </w:r>
          </w:p>
          <w:p w14:paraId="4AFA56C0" w14:textId="21A1A753"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 xml:space="preserve">6. Členské štáty môžu zaviesť vnútroštátne schémy, v ktorých sa počas celého spracovateľského reťazca za účasti príslušných orgánov overuje súlad s kritériami udržateľnosti a úspor emisií skleníkových plynov stanovenými v článku 29 ods. 2 až 7 a 10 a článku 29a ods. 1 a 2 v súlade s metodikou vypracovanou podľa článku 29a ods. 3 Uvedené schémy možno využívať aj na overovanie presnosti a úplnosti informácií, ktoré do databázy Únie vkladajú hospodárske subjekty s cieľom preukázať dodržiavanie článku 27 ods. 6 a udeliť osvedčenie </w:t>
            </w:r>
            <w:proofErr w:type="spellStart"/>
            <w:r w:rsidRPr="0029105C">
              <w:rPr>
                <w:rFonts w:ascii="Times New Roman" w:eastAsia="Times New Roman" w:hAnsi="Times New Roman" w:cs="Times New Roman"/>
                <w:bCs/>
                <w:color w:val="000000" w:themeColor="text1"/>
                <w:sz w:val="20"/>
                <w:szCs w:val="20"/>
                <w:lang w:eastAsia="sk-SK"/>
              </w:rPr>
              <w:t>biopalivám</w:t>
            </w:r>
            <w:proofErr w:type="spellEnd"/>
            <w:r w:rsidRPr="0029105C">
              <w:rPr>
                <w:rFonts w:ascii="Times New Roman" w:eastAsia="Times New Roman" w:hAnsi="Times New Roman" w:cs="Times New Roman"/>
                <w:bCs/>
                <w:color w:val="000000" w:themeColor="text1"/>
                <w:sz w:val="20"/>
                <w:szCs w:val="20"/>
                <w:lang w:eastAsia="sk-SK"/>
              </w:rPr>
              <w:t xml:space="preserve">, </w:t>
            </w:r>
            <w:proofErr w:type="spellStart"/>
            <w:r w:rsidRPr="0029105C">
              <w:rPr>
                <w:rFonts w:ascii="Times New Roman" w:eastAsia="Times New Roman" w:hAnsi="Times New Roman" w:cs="Times New Roman"/>
                <w:bCs/>
                <w:color w:val="000000" w:themeColor="text1"/>
                <w:sz w:val="20"/>
                <w:szCs w:val="20"/>
                <w:lang w:eastAsia="sk-SK"/>
              </w:rPr>
              <w:t>biokvapalinám</w:t>
            </w:r>
            <w:proofErr w:type="spellEnd"/>
            <w:r w:rsidRPr="0029105C">
              <w:rPr>
                <w:rFonts w:ascii="Times New Roman" w:eastAsia="Times New Roman" w:hAnsi="Times New Roman" w:cs="Times New Roman"/>
                <w:bCs/>
                <w:color w:val="000000" w:themeColor="text1"/>
                <w:sz w:val="20"/>
                <w:szCs w:val="20"/>
                <w:lang w:eastAsia="sk-SK"/>
              </w:rPr>
              <w:t xml:space="preserve"> a palivám z biomasy, pri ktorých je nízke riziko nepriamej zmeny využívania pôdy.</w:t>
            </w:r>
          </w:p>
          <w:p w14:paraId="29F87F76"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 xml:space="preserve">Členský štát môže oznámiť takúto vnútroštátnu schému Komisii. Komisia považuje posúdenie takej schémy za prioritu v snahe uľahčiť vzájomné bilaterálne a multilaterálne uznanie daných schém. Komisia môže prostredníctvom vykonávacích aktov rozhodnúť, či je takáto oznámená vnútroštátna schéma v súlade s podmienkami stanovenými v tejto smernici. Uvedené vykonávacie akty sa </w:t>
            </w:r>
            <w:r w:rsidRPr="0029105C">
              <w:rPr>
                <w:rFonts w:ascii="Times New Roman" w:eastAsia="Times New Roman" w:hAnsi="Times New Roman" w:cs="Times New Roman"/>
                <w:bCs/>
                <w:color w:val="000000" w:themeColor="text1"/>
                <w:sz w:val="20"/>
                <w:szCs w:val="20"/>
                <w:lang w:eastAsia="sk-SK"/>
              </w:rPr>
              <w:lastRenderedPageBreak/>
              <w:t>prijmú v súlade s postupom preskúmania uvedeným v článku 34 ods. 3.</w:t>
            </w:r>
          </w:p>
          <w:p w14:paraId="156F2560"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Ak Komisia rozhodne, že vnútroštátny systém spĺňa podmienky stanovené v tejto smernici, iné schémy, ktoré Komisia uznala v súlade s týmto článkom, nesmú odmietnuť vzájomné uznanie s vnútroštátnou schémou daného členského štátu, pokiaľ ide o overovanie dodržiavania kritérií, vzhľadom na ktoré ju Komisia uznala.</w:t>
            </w:r>
          </w:p>
          <w:p w14:paraId="43DC0E62"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Členské štáty v prípade zariadení vyrábajúcich elektrinu, teplo a chlad s celkovým menovitým tepelným príkonom medzi 7,5 a 20 MW môžu zriadiť zjednodušené vnútroštátne schémy overovania s cieľom zabezpečiť plnenie kritérií udržateľnosti a úspor emisií skleníkových plynov stanovených v článku 29 ods. 2 až 7 a 10. V prípade týchto istých zariadení sa vo vykonávacích aktoch stanovených v odseku 8 tohto článku stanovia jednotné podmienky týkajúce sa zjednodušených dobrovoľných schém overovania s cieľom zabezpečiť plnenie kritérií udržateľnosti a úspor emisií skleníkových plynov stanovených v článku 29 ods. 2 až 7 a 10.“</w:t>
            </w:r>
          </w:p>
        </w:tc>
        <w:tc>
          <w:tcPr>
            <w:tcW w:w="794" w:type="dxa"/>
            <w:tcBorders>
              <w:top w:val="single" w:sz="4" w:space="0" w:color="auto"/>
              <w:left w:val="single" w:sz="4" w:space="0" w:color="auto"/>
              <w:bottom w:val="single" w:sz="4" w:space="0" w:color="auto"/>
              <w:right w:val="single" w:sz="12" w:space="0" w:color="auto"/>
            </w:tcBorders>
          </w:tcPr>
          <w:p w14:paraId="61740529" w14:textId="2295E84C" w:rsidR="00850A3D" w:rsidRPr="0029105C" w:rsidRDefault="00E90981"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D</w:t>
            </w:r>
          </w:p>
        </w:tc>
        <w:tc>
          <w:tcPr>
            <w:tcW w:w="1080" w:type="dxa"/>
            <w:tcBorders>
              <w:top w:val="single" w:sz="4" w:space="0" w:color="auto"/>
              <w:left w:val="nil"/>
              <w:bottom w:val="single" w:sz="4" w:space="0" w:color="auto"/>
              <w:right w:val="single" w:sz="4" w:space="0" w:color="auto"/>
            </w:tcBorders>
          </w:tcPr>
          <w:p w14:paraId="539CD7A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900" w:type="dxa"/>
            <w:tcBorders>
              <w:top w:val="single" w:sz="4" w:space="0" w:color="auto"/>
              <w:left w:val="single" w:sz="4" w:space="0" w:color="auto"/>
              <w:bottom w:val="single" w:sz="4" w:space="0" w:color="auto"/>
              <w:right w:val="single" w:sz="4" w:space="0" w:color="auto"/>
            </w:tcBorders>
          </w:tcPr>
          <w:p w14:paraId="6A9A260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3DD220FA"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lang w:eastAsia="sk-SK"/>
              </w:rPr>
            </w:pPr>
          </w:p>
        </w:tc>
        <w:tc>
          <w:tcPr>
            <w:tcW w:w="849" w:type="dxa"/>
            <w:tcBorders>
              <w:top w:val="single" w:sz="4" w:space="0" w:color="auto"/>
              <w:left w:val="single" w:sz="4" w:space="0" w:color="auto"/>
              <w:bottom w:val="single" w:sz="4" w:space="0" w:color="auto"/>
              <w:right w:val="single" w:sz="4" w:space="0" w:color="auto"/>
            </w:tcBorders>
          </w:tcPr>
          <w:p w14:paraId="7B186A81" w14:textId="640C9E22" w:rsidR="00850A3D" w:rsidRPr="0029105C"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roofErr w:type="spellStart"/>
            <w:r>
              <w:rPr>
                <w:rFonts w:ascii="Times New Roman" w:eastAsia="Times New Roman" w:hAnsi="Times New Roman" w:cs="Times New Roman"/>
                <w:color w:val="000000" w:themeColor="text1"/>
                <w:sz w:val="20"/>
                <w:szCs w:val="20"/>
                <w:lang w:eastAsia="sk-SK"/>
              </w:rPr>
              <w:t>n.a</w:t>
            </w:r>
            <w:proofErr w:type="spellEnd"/>
            <w:r>
              <w:rPr>
                <w:rFonts w:ascii="Times New Roman" w:eastAsia="Times New Roman" w:hAnsi="Times New Roman" w:cs="Times New Roman"/>
                <w:color w:val="000000" w:themeColor="text1"/>
                <w:sz w:val="20"/>
                <w:szCs w:val="20"/>
                <w:lang w:eastAsia="sk-SK"/>
              </w:rPr>
              <w:t>.</w:t>
            </w:r>
          </w:p>
        </w:tc>
        <w:tc>
          <w:tcPr>
            <w:tcW w:w="1360" w:type="dxa"/>
            <w:tcBorders>
              <w:top w:val="single" w:sz="4" w:space="0" w:color="auto"/>
              <w:left w:val="single" w:sz="4" w:space="0" w:color="auto"/>
              <w:bottom w:val="single" w:sz="4" w:space="0" w:color="auto"/>
              <w:right w:val="single" w:sz="4" w:space="0" w:color="auto"/>
            </w:tcBorders>
          </w:tcPr>
          <w:p w14:paraId="4F24943C" w14:textId="3FE5444C" w:rsidR="00850A3D" w:rsidRPr="0029105C" w:rsidRDefault="00663C28"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Vnútroštátnu schému v zmysle chápania Komisie SR nevytvorila, systém aktuálne tvorí sústava legislatívnych opatrení, ktoré vykonávajú ustanovenia smernice, preto SR neplánuje oznámiť samostatnú vnútroštátnu schému Komisii.</w:t>
            </w:r>
          </w:p>
        </w:tc>
        <w:tc>
          <w:tcPr>
            <w:tcW w:w="1360" w:type="dxa"/>
            <w:tcBorders>
              <w:top w:val="single" w:sz="4" w:space="0" w:color="auto"/>
              <w:left w:val="single" w:sz="4" w:space="0" w:color="auto"/>
              <w:bottom w:val="single" w:sz="4" w:space="0" w:color="auto"/>
              <w:right w:val="single" w:sz="4" w:space="0" w:color="auto"/>
            </w:tcBorders>
          </w:tcPr>
          <w:p w14:paraId="126B8EA1"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30D2D7C3" w14:textId="1B30F2F4"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67743071" w14:textId="77777777" w:rsidTr="00402EF0">
        <w:tc>
          <w:tcPr>
            <w:tcW w:w="1005" w:type="dxa"/>
            <w:tcBorders>
              <w:top w:val="single" w:sz="4" w:space="0" w:color="auto"/>
              <w:left w:val="single" w:sz="12" w:space="0" w:color="auto"/>
              <w:bottom w:val="single" w:sz="4" w:space="0" w:color="auto"/>
              <w:right w:val="single" w:sz="4" w:space="0" w:color="auto"/>
            </w:tcBorders>
          </w:tcPr>
          <w:p w14:paraId="5EFEBB2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7B763241"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O:21</w:t>
            </w:r>
          </w:p>
          <w:p w14:paraId="5C85C2E7" w14:textId="6A77BDCB" w:rsidR="000018E8" w:rsidRPr="0029105C" w:rsidRDefault="000018E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f</w:t>
            </w:r>
          </w:p>
        </w:tc>
        <w:tc>
          <w:tcPr>
            <w:tcW w:w="3421" w:type="dxa"/>
            <w:tcBorders>
              <w:top w:val="single" w:sz="4" w:space="0" w:color="auto"/>
              <w:left w:val="single" w:sz="4" w:space="0" w:color="auto"/>
              <w:bottom w:val="single" w:sz="4" w:space="0" w:color="auto"/>
              <w:right w:val="single" w:sz="4" w:space="0" w:color="auto"/>
            </w:tcBorders>
          </w:tcPr>
          <w:p w14:paraId="29F1B36F" w14:textId="16B53300" w:rsidR="000018E8" w:rsidRDefault="000018E8" w:rsidP="00850A3D">
            <w:pPr>
              <w:keepNext/>
              <w:tabs>
                <w:tab w:val="left" w:pos="1141"/>
              </w:tabs>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018E8">
              <w:rPr>
                <w:rFonts w:ascii="Times New Roman" w:eastAsia="Times New Roman" w:hAnsi="Times New Roman" w:cs="Times New Roman"/>
                <w:bCs/>
                <w:color w:val="000000" w:themeColor="text1"/>
                <w:sz w:val="20"/>
                <w:szCs w:val="20"/>
                <w:lang w:eastAsia="sk-SK"/>
              </w:rPr>
              <w:t>21. Článok 30 sa mení takto:</w:t>
            </w:r>
          </w:p>
          <w:p w14:paraId="7A46624C" w14:textId="78171E48" w:rsidR="000018E8" w:rsidRDefault="000018E8" w:rsidP="00850A3D">
            <w:pPr>
              <w:keepNext/>
              <w:tabs>
                <w:tab w:val="left" w:pos="1141"/>
              </w:tabs>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018E8">
              <w:rPr>
                <w:rFonts w:ascii="Times New Roman" w:eastAsia="Times New Roman" w:hAnsi="Times New Roman" w:cs="Times New Roman"/>
                <w:bCs/>
                <w:color w:val="000000" w:themeColor="text1"/>
                <w:sz w:val="20"/>
                <w:szCs w:val="20"/>
                <w:lang w:eastAsia="sk-SK"/>
              </w:rPr>
              <w:t xml:space="preserve">f) V odseku 9 sa prvý </w:t>
            </w:r>
            <w:proofErr w:type="spellStart"/>
            <w:r w:rsidRPr="000018E8">
              <w:rPr>
                <w:rFonts w:ascii="Times New Roman" w:eastAsia="Times New Roman" w:hAnsi="Times New Roman" w:cs="Times New Roman"/>
                <w:bCs/>
                <w:color w:val="000000" w:themeColor="text1"/>
                <w:sz w:val="20"/>
                <w:szCs w:val="20"/>
                <w:lang w:eastAsia="sk-SK"/>
              </w:rPr>
              <w:t>pododsek</w:t>
            </w:r>
            <w:proofErr w:type="spellEnd"/>
            <w:r w:rsidRPr="000018E8">
              <w:rPr>
                <w:rFonts w:ascii="Times New Roman" w:eastAsia="Times New Roman" w:hAnsi="Times New Roman" w:cs="Times New Roman"/>
                <w:bCs/>
                <w:color w:val="000000" w:themeColor="text1"/>
                <w:sz w:val="20"/>
                <w:szCs w:val="20"/>
                <w:lang w:eastAsia="sk-SK"/>
              </w:rPr>
              <w:t xml:space="preserve"> nahrádza takto:</w:t>
            </w:r>
          </w:p>
          <w:p w14:paraId="3338D1BA" w14:textId="501CC1DF" w:rsidR="00850A3D" w:rsidRPr="0029105C" w:rsidRDefault="00850A3D" w:rsidP="00850A3D">
            <w:pPr>
              <w:keepNext/>
              <w:tabs>
                <w:tab w:val="left" w:pos="1141"/>
              </w:tabs>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 xml:space="preserve">9. Ak hospodársky subjekt poskytne dôkaz alebo údaje získané v súlade so schémou, ktorá bola predmetom rozhodnutia podľa odseku 4 alebo 6, členský štát nebude od dodávateľa požadovať poskytnutie ďalších dôkazov o splnení prvkov, na ktoré sa schéma </w:t>
            </w:r>
            <w:r w:rsidRPr="0029105C">
              <w:rPr>
                <w:rFonts w:ascii="Times New Roman" w:eastAsia="Times New Roman" w:hAnsi="Times New Roman" w:cs="Times New Roman"/>
                <w:bCs/>
                <w:color w:val="000000" w:themeColor="text1"/>
                <w:sz w:val="20"/>
                <w:szCs w:val="20"/>
                <w:lang w:eastAsia="sk-SK"/>
              </w:rPr>
              <w:lastRenderedPageBreak/>
              <w:t>vzťahuje, vzhľadom na ktoré Komisia schému uznala.</w:t>
            </w:r>
          </w:p>
        </w:tc>
        <w:tc>
          <w:tcPr>
            <w:tcW w:w="794" w:type="dxa"/>
            <w:tcBorders>
              <w:top w:val="single" w:sz="4" w:space="0" w:color="auto"/>
              <w:left w:val="single" w:sz="4" w:space="0" w:color="auto"/>
              <w:bottom w:val="single" w:sz="4" w:space="0" w:color="auto"/>
              <w:right w:val="single" w:sz="12" w:space="0" w:color="auto"/>
            </w:tcBorders>
          </w:tcPr>
          <w:p w14:paraId="500A5AE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N</w:t>
            </w:r>
          </w:p>
        </w:tc>
        <w:tc>
          <w:tcPr>
            <w:tcW w:w="1080" w:type="dxa"/>
            <w:tcBorders>
              <w:top w:val="single" w:sz="4" w:space="0" w:color="auto"/>
              <w:left w:val="nil"/>
              <w:bottom w:val="single" w:sz="4" w:space="0" w:color="auto"/>
              <w:right w:val="single" w:sz="4" w:space="0" w:color="auto"/>
            </w:tcBorders>
          </w:tcPr>
          <w:p w14:paraId="0A7582CF" w14:textId="64C11EEA" w:rsidR="00850A3D" w:rsidRPr="0029105C" w:rsidRDefault="00CD466D" w:rsidP="00CD466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309/2009</w:t>
            </w:r>
          </w:p>
        </w:tc>
        <w:tc>
          <w:tcPr>
            <w:tcW w:w="900" w:type="dxa"/>
            <w:tcBorders>
              <w:top w:val="single" w:sz="4" w:space="0" w:color="auto"/>
              <w:left w:val="single" w:sz="4" w:space="0" w:color="auto"/>
              <w:bottom w:val="single" w:sz="4" w:space="0" w:color="auto"/>
              <w:right w:val="single" w:sz="4" w:space="0" w:color="auto"/>
            </w:tcBorders>
          </w:tcPr>
          <w:p w14:paraId="77A013E5"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14b</w:t>
            </w:r>
          </w:p>
          <w:p w14:paraId="6FA24BE7" w14:textId="58101645"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w:t>
            </w:r>
            <w:r w:rsidRPr="0029105C">
              <w:rPr>
                <w:rFonts w:ascii="Times New Roman" w:eastAsia="Times New Roman" w:hAnsi="Times New Roman" w:cs="Times New Roman"/>
                <w:color w:val="000000" w:themeColor="text1"/>
                <w:sz w:val="20"/>
                <w:szCs w:val="20"/>
                <w:lang w:eastAsia="sk-SK"/>
              </w:rPr>
              <w:t xml:space="preserve"> 7</w:t>
            </w:r>
          </w:p>
        </w:tc>
        <w:tc>
          <w:tcPr>
            <w:tcW w:w="4540" w:type="dxa"/>
            <w:tcBorders>
              <w:top w:val="single" w:sz="4" w:space="0" w:color="auto"/>
              <w:left w:val="single" w:sz="4" w:space="0" w:color="auto"/>
              <w:bottom w:val="single" w:sz="4" w:space="0" w:color="auto"/>
              <w:right w:val="single" w:sz="4" w:space="0" w:color="auto"/>
            </w:tcBorders>
          </w:tcPr>
          <w:p w14:paraId="390BE58D" w14:textId="47C17575" w:rsidR="00850A3D" w:rsidRPr="0029105C" w:rsidRDefault="00CD466D" w:rsidP="00E21087">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sidRPr="00CD466D">
              <w:rPr>
                <w:rFonts w:ascii="Times New Roman" w:eastAsia="Times New Roman" w:hAnsi="Times New Roman" w:cs="Times New Roman"/>
                <w:bCs/>
                <w:color w:val="000000" w:themeColor="text1"/>
                <w:sz w:val="20"/>
                <w:szCs w:val="20"/>
                <w:lang w:eastAsia="sk-SK"/>
              </w:rPr>
              <w:t xml:space="preserve">(7) </w:t>
            </w:r>
            <w:r w:rsidR="00E21087" w:rsidRPr="00E21087">
              <w:rPr>
                <w:rFonts w:ascii="Times New Roman" w:eastAsia="Times New Roman" w:hAnsi="Times New Roman" w:cs="Times New Roman"/>
                <w:bCs/>
                <w:color w:val="000000" w:themeColor="text1"/>
                <w:sz w:val="20"/>
                <w:szCs w:val="20"/>
                <w:lang w:eastAsia="sk-SK"/>
              </w:rPr>
              <w:t>Na účely tohto zákona sa uznávajú potvrdenia o udržateľnosti overené právnickými osobami alebo fyzickými osobami uznanými na tieto účely v iných členských štátoch alebo vydané pod dohľadom dobrovoľného certifikačného systému. a nevyžaduje sa poskytnutie ďalších dôkazov o splnení prvkov, na ktoré sa dobrovoľný certifikačný systém vzťahuje a ktorý Európska komisia  uznala.</w:t>
            </w:r>
          </w:p>
        </w:tc>
        <w:tc>
          <w:tcPr>
            <w:tcW w:w="849" w:type="dxa"/>
            <w:tcBorders>
              <w:top w:val="single" w:sz="4" w:space="0" w:color="auto"/>
              <w:left w:val="single" w:sz="4" w:space="0" w:color="auto"/>
              <w:bottom w:val="single" w:sz="4" w:space="0" w:color="auto"/>
              <w:right w:val="single" w:sz="4" w:space="0" w:color="auto"/>
            </w:tcBorders>
          </w:tcPr>
          <w:p w14:paraId="55A5738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6AD9664E"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70A457EC"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6BF7610E"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5BC27C53" w14:textId="77777777" w:rsidTr="00402EF0">
        <w:tc>
          <w:tcPr>
            <w:tcW w:w="1005" w:type="dxa"/>
            <w:tcBorders>
              <w:top w:val="single" w:sz="4" w:space="0" w:color="auto"/>
              <w:left w:val="single" w:sz="12" w:space="0" w:color="auto"/>
              <w:bottom w:val="single" w:sz="4" w:space="0" w:color="auto"/>
              <w:right w:val="single" w:sz="4" w:space="0" w:color="auto"/>
            </w:tcBorders>
          </w:tcPr>
          <w:p w14:paraId="25AFCBB3"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Č:1</w:t>
            </w:r>
          </w:p>
          <w:p w14:paraId="57F614E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O:22</w:t>
            </w:r>
          </w:p>
        </w:tc>
        <w:tc>
          <w:tcPr>
            <w:tcW w:w="3421" w:type="dxa"/>
            <w:tcBorders>
              <w:top w:val="single" w:sz="4" w:space="0" w:color="auto"/>
              <w:left w:val="single" w:sz="4" w:space="0" w:color="auto"/>
              <w:bottom w:val="single" w:sz="4" w:space="0" w:color="auto"/>
              <w:right w:val="single" w:sz="4" w:space="0" w:color="auto"/>
            </w:tcBorders>
          </w:tcPr>
          <w:p w14:paraId="6B9F5461" w14:textId="54164975" w:rsidR="000018E8" w:rsidRDefault="000018E8"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018E8">
              <w:rPr>
                <w:rFonts w:ascii="Times New Roman" w:eastAsia="Times New Roman" w:hAnsi="Times New Roman" w:cs="Times New Roman"/>
                <w:bCs/>
                <w:color w:val="000000" w:themeColor="text1"/>
                <w:sz w:val="20"/>
                <w:szCs w:val="20"/>
                <w:lang w:eastAsia="sk-SK"/>
              </w:rPr>
              <w:t>22. Vkladá sa tento článok:</w:t>
            </w:r>
          </w:p>
          <w:p w14:paraId="760CE923" w14:textId="63D18E39" w:rsidR="000018E8" w:rsidRPr="000018E8" w:rsidRDefault="000018E8"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018E8">
              <w:rPr>
                <w:rFonts w:ascii="Times New Roman" w:eastAsia="Times New Roman" w:hAnsi="Times New Roman" w:cs="Times New Roman"/>
                <w:bCs/>
                <w:color w:val="000000" w:themeColor="text1"/>
                <w:sz w:val="20"/>
                <w:szCs w:val="20"/>
                <w:lang w:eastAsia="sk-SK"/>
              </w:rPr>
              <w:t>Článok 31a</w:t>
            </w:r>
          </w:p>
          <w:p w14:paraId="020C6C24" w14:textId="0EB9091D" w:rsidR="00850A3D" w:rsidRPr="000018E8"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018E8">
              <w:rPr>
                <w:rFonts w:ascii="Times New Roman" w:eastAsia="Times New Roman" w:hAnsi="Times New Roman" w:cs="Times New Roman"/>
                <w:bCs/>
                <w:color w:val="000000" w:themeColor="text1"/>
                <w:sz w:val="20"/>
                <w:szCs w:val="20"/>
                <w:lang w:eastAsia="sk-SK"/>
              </w:rPr>
              <w:t>Databáza Únie</w:t>
            </w:r>
          </w:p>
          <w:p w14:paraId="1791BB37"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1. Do 21. novembra 2024 Komisia zabezpečí zriadenie databázy Únie, ktorá umožní sledovanie kvapalných </w:t>
            </w:r>
          </w:p>
          <w:p w14:paraId="6FA56999" w14:textId="28D928EC" w:rsidR="00850A3D"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a plynných palív z obnoviteľných zdrojov a fosílnych palív vyrobených z odpadu (ďalej len „databáza Únie“).</w:t>
            </w:r>
          </w:p>
          <w:p w14:paraId="2E039CCF" w14:textId="77777777" w:rsidR="00FF0F38" w:rsidRPr="0029105C" w:rsidRDefault="00FF0F38"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F7CEA7E"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2. Členské štáty od hospodárskych subjektov vyžadujú, aby do databázy Únie včas zadávali presné údaje </w:t>
            </w:r>
          </w:p>
          <w:p w14:paraId="333508DF"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o vykonaných transakciách a vlastnostiach udržateľnosti palív, ktoré sú predmetom transakcií, vrátane emisií </w:t>
            </w:r>
          </w:p>
          <w:p w14:paraId="211AA8FF"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skleníkových plynov počas ich životného cyklu, od ich miesta výroby až do momentu, keď sa v Únii uvedú na trh. </w:t>
            </w:r>
          </w:p>
          <w:p w14:paraId="25DC539F" w14:textId="50A35C9C" w:rsidR="00850A3D"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624C04A" w14:textId="568D4503" w:rsidR="00850A3D"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49D6354" w14:textId="77777777" w:rsidR="00CD466D" w:rsidRDefault="00CD466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BB03222" w14:textId="77777777" w:rsidR="00CD466D" w:rsidRPr="0029105C" w:rsidRDefault="00CD466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42807E7" w14:textId="77777777" w:rsidR="00850A3D" w:rsidRPr="002F314A"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F314A">
              <w:rPr>
                <w:rFonts w:ascii="Times New Roman" w:eastAsia="Times New Roman" w:hAnsi="Times New Roman" w:cs="Times New Roman"/>
                <w:color w:val="000000" w:themeColor="text1"/>
                <w:sz w:val="20"/>
                <w:szCs w:val="20"/>
                <w:lang w:eastAsia="sk-SK"/>
              </w:rPr>
              <w:t xml:space="preserve">Na účely zadávania údajov do databázy Únie sa prepojená plynárenská sústava považuje za jeden systém hmotnostnej </w:t>
            </w:r>
          </w:p>
          <w:p w14:paraId="21348A4D" w14:textId="77777777" w:rsidR="00850A3D" w:rsidRPr="002F314A"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F314A">
              <w:rPr>
                <w:rFonts w:ascii="Times New Roman" w:eastAsia="Times New Roman" w:hAnsi="Times New Roman" w:cs="Times New Roman"/>
                <w:color w:val="000000" w:themeColor="text1"/>
                <w:sz w:val="20"/>
                <w:szCs w:val="20"/>
                <w:lang w:eastAsia="sk-SK"/>
              </w:rPr>
              <w:t xml:space="preserve">bilancie. Údaje o dodávaní a odobratí plynných palív z obnoviteľných zdrojov sa uvádzajú v databáze Únie. Do </w:t>
            </w:r>
          </w:p>
          <w:p w14:paraId="5C3E0DEC" w14:textId="77777777" w:rsidR="00850A3D" w:rsidRPr="002F314A"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F314A">
              <w:rPr>
                <w:rFonts w:ascii="Times New Roman" w:eastAsia="Times New Roman" w:hAnsi="Times New Roman" w:cs="Times New Roman"/>
                <w:color w:val="000000" w:themeColor="text1"/>
                <w:sz w:val="20"/>
                <w:szCs w:val="20"/>
                <w:lang w:eastAsia="sk-SK"/>
              </w:rPr>
              <w:t xml:space="preserve">databázy Únie sa tiež zadajú údaje, či sa na výrobu paliva v konkrétnej dodávke poskytla podpora, a ak áno, o aký </w:t>
            </w:r>
          </w:p>
          <w:p w14:paraId="101DAD9B" w14:textId="77777777" w:rsidR="00FF0F38"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F314A">
              <w:rPr>
                <w:rFonts w:ascii="Times New Roman" w:eastAsia="Times New Roman" w:hAnsi="Times New Roman" w:cs="Times New Roman"/>
                <w:color w:val="000000" w:themeColor="text1"/>
                <w:sz w:val="20"/>
                <w:szCs w:val="20"/>
                <w:lang w:eastAsia="sk-SK"/>
              </w:rPr>
              <w:t xml:space="preserve">druh systému podpory išlo. </w:t>
            </w:r>
          </w:p>
          <w:p w14:paraId="6E636A96" w14:textId="77777777" w:rsidR="00FF0F38" w:rsidRDefault="00FF0F38"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D471E50" w14:textId="5D99BFE4"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F314A">
              <w:rPr>
                <w:rFonts w:ascii="Times New Roman" w:eastAsia="Times New Roman" w:hAnsi="Times New Roman" w:cs="Times New Roman"/>
                <w:color w:val="000000" w:themeColor="text1"/>
                <w:sz w:val="20"/>
                <w:szCs w:val="20"/>
                <w:lang w:eastAsia="sk-SK"/>
              </w:rPr>
              <w:t>Uvedené údaje možno zadať do databázy Únie prostredníctvom vnútroštátnych databáz.</w:t>
            </w:r>
          </w:p>
          <w:p w14:paraId="5CF3BAD9" w14:textId="77777777" w:rsidR="00CD466D" w:rsidRDefault="00CD466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984D9A3" w14:textId="48115B98"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Ak je to vhodné na účely zlepšenia </w:t>
            </w:r>
            <w:proofErr w:type="spellStart"/>
            <w:r w:rsidRPr="0029105C">
              <w:rPr>
                <w:rFonts w:ascii="Times New Roman" w:eastAsia="Times New Roman" w:hAnsi="Times New Roman" w:cs="Times New Roman"/>
                <w:color w:val="000000" w:themeColor="text1"/>
                <w:sz w:val="20"/>
                <w:szCs w:val="20"/>
                <w:lang w:eastAsia="sk-SK"/>
              </w:rPr>
              <w:t>vysledovateľnosti</w:t>
            </w:r>
            <w:proofErr w:type="spellEnd"/>
            <w:r w:rsidRPr="0029105C">
              <w:rPr>
                <w:rFonts w:ascii="Times New Roman" w:eastAsia="Times New Roman" w:hAnsi="Times New Roman" w:cs="Times New Roman"/>
                <w:color w:val="000000" w:themeColor="text1"/>
                <w:sz w:val="20"/>
                <w:szCs w:val="20"/>
                <w:lang w:eastAsia="sk-SK"/>
              </w:rPr>
              <w:t xml:space="preserve"> údajov za celý dodávateľský reťazec, Komisia je splnomocnená prijať delegované akty v súlade s článkom 35 s cieľom doplniť túto smernicu na ďalšie rozšírenie rozsahu údajov, ktoré treba zadať do databázy Únie, aby sa zahrnuli relevantné údaje od miesta výroby alebo získania suroviny použitej na výrobu paliva.</w:t>
            </w:r>
          </w:p>
          <w:p w14:paraId="6FBAD364"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2959765F"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Členské štáty od dodávateľov paliva požadujú, aby do databázy Únie zadávali údaje potrebné na overenie dodržiavania požiadaviek stanovených v článku 25 ods. 1 prvom </w:t>
            </w:r>
            <w:proofErr w:type="spellStart"/>
            <w:r w:rsidRPr="0029105C">
              <w:rPr>
                <w:rFonts w:ascii="Times New Roman" w:eastAsia="Times New Roman" w:hAnsi="Times New Roman" w:cs="Times New Roman"/>
                <w:color w:val="000000" w:themeColor="text1"/>
                <w:sz w:val="20"/>
                <w:szCs w:val="20"/>
                <w:lang w:eastAsia="sk-SK"/>
              </w:rPr>
              <w:t>pododseku</w:t>
            </w:r>
            <w:proofErr w:type="spellEnd"/>
            <w:r w:rsidRPr="0029105C">
              <w:rPr>
                <w:rFonts w:ascii="Times New Roman" w:eastAsia="Times New Roman" w:hAnsi="Times New Roman" w:cs="Times New Roman"/>
                <w:color w:val="000000" w:themeColor="text1"/>
                <w:sz w:val="20"/>
                <w:szCs w:val="20"/>
                <w:lang w:eastAsia="sk-SK"/>
              </w:rPr>
              <w:t>.</w:t>
            </w:r>
          </w:p>
          <w:p w14:paraId="5DC4596E"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036CDE2C"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3. Členské štáty majú prístup k databáze Únie na účely monitorovania a overovania údajov.</w:t>
            </w:r>
          </w:p>
          <w:p w14:paraId="71E9947C" w14:textId="1892259F" w:rsidR="00850A3D"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39BA0C2B" w14:textId="77777777" w:rsidR="000F60BF" w:rsidRPr="0029105C" w:rsidRDefault="000F60BF"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86E4643"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5. Členské štáty vo svojom vnútroštátnom právnom rámci zabezpečia overovanie presnosti a úplnosti údajov, ktoré do databázy zadávajú hospodárske subjekty, napríklad pomocou certifikačných orgánov v rámci dobrovoľnej alebo vnútroštátnej schémy uznanej Komisiou podľa článku 30 ods. 4, 5f a 6, ktorú môže doplniť systém potvrdení o pôvode.</w:t>
            </w:r>
          </w:p>
          <w:p w14:paraId="1413D853" w14:textId="44610AA3" w:rsidR="00850A3D"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9E1E322" w14:textId="49D379F9" w:rsidR="000F60BF" w:rsidRDefault="000F60BF"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0FB3181" w14:textId="4FA6F8DB" w:rsidR="000F60BF" w:rsidRDefault="000F60BF"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3A5BEFA" w14:textId="189C595C" w:rsidR="000F60BF" w:rsidRDefault="000F60BF"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11CDE69" w14:textId="0B8D40A2" w:rsidR="000F60BF" w:rsidRDefault="000F60BF"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44F53C33" w14:textId="0F1356F5" w:rsidR="000F60BF" w:rsidRDefault="000F60BF"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73FBB417" w14:textId="1A38D450" w:rsidR="000F60BF" w:rsidRDefault="000F60BF"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1135C194" w14:textId="77777777" w:rsidR="000F60BF" w:rsidRPr="0029105C" w:rsidRDefault="000F60BF"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p>
          <w:p w14:paraId="58B8E968"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Overovanie kvality údajov zadaných do databázy Únie prostredníctvom vnútroštátnych databáz, vlastností udržateľnosti palív súvisiacich s uvedenými údajmi a konečné schválenie transakcií sa vykonáva výlučne cez databázu Únie. Presnosť a úplnosť uvedených údajov sa overuje v súlade s vykonávacím nariadením Komisie (EÚ) 2022/996 (*21). Môžu ich kontrolovať certifikačné orgány.</w:t>
            </w:r>
          </w:p>
        </w:tc>
        <w:tc>
          <w:tcPr>
            <w:tcW w:w="794" w:type="dxa"/>
            <w:tcBorders>
              <w:top w:val="single" w:sz="4" w:space="0" w:color="auto"/>
              <w:left w:val="single" w:sz="4" w:space="0" w:color="auto"/>
              <w:bottom w:val="single" w:sz="4" w:space="0" w:color="auto"/>
              <w:right w:val="single" w:sz="12" w:space="0" w:color="auto"/>
            </w:tcBorders>
          </w:tcPr>
          <w:p w14:paraId="667430AD"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C07ECC"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248766"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6B5E6B"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roofErr w:type="spellStart"/>
            <w:r>
              <w:rPr>
                <w:rFonts w:ascii="Times New Roman" w:eastAsia="Times New Roman" w:hAnsi="Times New Roman" w:cs="Times New Roman"/>
                <w:color w:val="000000" w:themeColor="text1"/>
                <w:sz w:val="20"/>
                <w:szCs w:val="20"/>
                <w:lang w:eastAsia="sk-SK"/>
              </w:rPr>
              <w:t>n.a</w:t>
            </w:r>
            <w:proofErr w:type="spellEnd"/>
            <w:r>
              <w:rPr>
                <w:rFonts w:ascii="Times New Roman" w:eastAsia="Times New Roman" w:hAnsi="Times New Roman" w:cs="Times New Roman"/>
                <w:color w:val="000000" w:themeColor="text1"/>
                <w:sz w:val="20"/>
                <w:szCs w:val="20"/>
                <w:lang w:eastAsia="sk-SK"/>
              </w:rPr>
              <w:t>.</w:t>
            </w:r>
          </w:p>
          <w:p w14:paraId="6EF69608"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11B45B"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9B9237A"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33B6EE"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D203EE"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03E5AC0"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35FE2A"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6B5BD982"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AFBE0A"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F2D4F3"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E2B399"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5299D0"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DC2155"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CB2CF0"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CB6BF6"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B5F661"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28BC59"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9DE8B9"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4B5CBD"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9D0234" w14:textId="77777777" w:rsidR="0075031A" w:rsidRDefault="0075031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8F5C61" w14:textId="600CD6E5"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79517D66" w14:textId="76FCF7BF"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B952F2" w14:textId="1DAFF1CC"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DBD776" w14:textId="69E56DC1"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B0858B" w14:textId="0BFFFCB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8EBC70" w14:textId="5CE00B39"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1B7156" w14:textId="29D7ABBD"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E42DAD" w14:textId="39B932A5"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D8B3E5" w14:textId="647A0466"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079D57" w14:textId="172BD5BE"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B3AA47" w14:textId="12980784"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64FC63" w14:textId="20E45095"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D</w:t>
            </w:r>
          </w:p>
          <w:p w14:paraId="091C61E5"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0122BD" w14:textId="0D53EE80"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F16BE8" w14:textId="77777777" w:rsidR="00CD466D" w:rsidRDefault="00CD466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70D7AC" w14:textId="6F786B5A"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roofErr w:type="spellStart"/>
            <w:r>
              <w:rPr>
                <w:rFonts w:ascii="Times New Roman" w:eastAsia="Times New Roman" w:hAnsi="Times New Roman" w:cs="Times New Roman"/>
                <w:color w:val="000000" w:themeColor="text1"/>
                <w:sz w:val="20"/>
                <w:szCs w:val="20"/>
                <w:lang w:eastAsia="sk-SK"/>
              </w:rPr>
              <w:t>n.a</w:t>
            </w:r>
            <w:proofErr w:type="spellEnd"/>
            <w:r>
              <w:rPr>
                <w:rFonts w:ascii="Times New Roman" w:eastAsia="Times New Roman" w:hAnsi="Times New Roman" w:cs="Times New Roman"/>
                <w:color w:val="000000" w:themeColor="text1"/>
                <w:sz w:val="20"/>
                <w:szCs w:val="20"/>
                <w:lang w:eastAsia="sk-SK"/>
              </w:rPr>
              <w:t>.</w:t>
            </w:r>
          </w:p>
          <w:p w14:paraId="79BB3F46" w14:textId="1F7749B5"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53602C" w14:textId="1F9D5366"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953A9B" w14:textId="04F64240"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584120" w14:textId="32C76B73"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71FA50" w14:textId="5A9C993D"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AFB29E" w14:textId="23644219"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4885BC" w14:textId="713F502A"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F3576A" w14:textId="266D5699"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A0044C" w14:textId="54D1B3D8"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ED5650" w14:textId="2B1503AB"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3A9155" w14:textId="41E65E65"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C00D7A" w14:textId="70B6F75E"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p w14:paraId="363CB52E" w14:textId="51FF6C11"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E1B785" w14:textId="444A4002"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866CA2" w14:textId="13026FE0"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8AA2F0" w14:textId="6499C4BA"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1CF0DA" w14:textId="4350E0DE"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CF804A" w14:textId="2C763C70"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437B20"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A8F1C6"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182ACE"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8AB242" w14:textId="4EF95892"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45A030"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7BEF1A"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B5024C"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3DBCE7"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CFCCBD"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15C28E"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28BCBD"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B5C297"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5DD397"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DCCA45"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7B6B05"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4BD44C" w14:textId="4EC7C89B" w:rsidR="00FF0F38" w:rsidRPr="0029105C"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080" w:type="dxa"/>
            <w:tcBorders>
              <w:top w:val="single" w:sz="4" w:space="0" w:color="auto"/>
              <w:left w:val="nil"/>
              <w:bottom w:val="single" w:sz="4" w:space="0" w:color="auto"/>
              <w:right w:val="single" w:sz="4" w:space="0" w:color="auto"/>
            </w:tcBorders>
          </w:tcPr>
          <w:p w14:paraId="2A7A983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CE7A2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7DA92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904CC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0360B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55251A" w14:textId="5BA37814"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429107" w14:textId="79C27362"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3D17F7F" w14:textId="0714FF96"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9DC5CE" w14:textId="77777777" w:rsidR="00FF0F38" w:rsidRPr="0029105C"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7519F72"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6D2C48" w14:textId="739B0DDB" w:rsidR="00850A3D" w:rsidRPr="0029105C" w:rsidRDefault="004B490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CD466D">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p w14:paraId="63A0829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5B2275" w14:textId="790318FC" w:rsidR="00850A3D" w:rsidRPr="0029105C" w:rsidRDefault="00CC28BE"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4.</w:t>
            </w:r>
          </w:p>
          <w:p w14:paraId="39CA8924"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F7AC8C" w14:textId="4DEC0703"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D5DAA0" w14:textId="1131127B" w:rsidR="00CD466D" w:rsidRDefault="00CD466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9EB0F5" w14:textId="11802EED" w:rsidR="00CD466D" w:rsidRDefault="00CD466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94F523" w14:textId="77777777" w:rsidR="00CD466D" w:rsidRDefault="00CD466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B57710" w14:textId="6621701A" w:rsidR="00CD466D" w:rsidRDefault="00CD466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BD688C3" w14:textId="77777777" w:rsidR="00E21087" w:rsidRDefault="00E21087"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1BCADE" w14:textId="77777777" w:rsidR="00CD466D" w:rsidRDefault="00CD466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F932C9" w14:textId="77777777" w:rsidR="00CD466D" w:rsidRDefault="00CD466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552B8A" w14:textId="5767E6E2" w:rsidR="00850A3D" w:rsidRPr="0029105C" w:rsidRDefault="004B490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w:t>
            </w:r>
            <w:r w:rsidR="00CD466D">
              <w:rPr>
                <w:rFonts w:ascii="Times New Roman" w:eastAsia="Times New Roman" w:hAnsi="Times New Roman" w:cs="Times New Roman"/>
                <w:color w:val="000000" w:themeColor="text1"/>
                <w:sz w:val="20"/>
                <w:szCs w:val="20"/>
                <w:lang w:eastAsia="sk-SK"/>
              </w:rPr>
              <w:t> </w:t>
            </w:r>
            <w:r>
              <w:rPr>
                <w:rFonts w:ascii="Times New Roman" w:eastAsia="Times New Roman" w:hAnsi="Times New Roman" w:cs="Times New Roman"/>
                <w:color w:val="000000" w:themeColor="text1"/>
                <w:sz w:val="20"/>
                <w:szCs w:val="20"/>
                <w:lang w:eastAsia="sk-SK"/>
              </w:rPr>
              <w:t>309/2009</w:t>
            </w:r>
          </w:p>
          <w:p w14:paraId="1BB6F15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33887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CB938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6B98D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4BE60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E3B4B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D63EA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E608EF"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4E47F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852BA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99FC03"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50833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B26D9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C8F9A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D160C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AC30F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B1A37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1FC6E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635555" w14:textId="0B5BD662"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3C1F47" w14:textId="6688D10A"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9C85C34" w14:textId="77777777" w:rsidR="00FF0F38" w:rsidRPr="0029105C"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A53FC6" w14:textId="33C58118"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F63914" w14:textId="77777777" w:rsidR="00CD466D" w:rsidRPr="0029105C" w:rsidRDefault="00CD466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DEAE0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F0706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A8BD11" w14:textId="530726C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F85D32" w14:textId="6167CDE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5310D3" w14:textId="1BB95CCD"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29D866" w14:textId="2D5F962D"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10FD03" w14:textId="71C72C8F"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056D4D" w14:textId="77777777" w:rsidR="000F60BF" w:rsidRPr="0029105C"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E954643" w14:textId="5FFE1365"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3AE0E9" w14:textId="77777777" w:rsidR="00FF0F38" w:rsidRPr="0029105C"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AE58319" w14:textId="546791CF" w:rsidR="00FF0F38" w:rsidRDefault="00FF0F38" w:rsidP="006A05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519329" w14:textId="68874104" w:rsidR="00CD466D" w:rsidRDefault="00CD466D" w:rsidP="006A05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7D62E57" w14:textId="77777777" w:rsidR="00CD466D" w:rsidRDefault="00CD466D" w:rsidP="006A05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AEA2D3" w14:textId="77777777" w:rsidR="006A05F4" w:rsidRPr="0029105C" w:rsidRDefault="006A05F4"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7AF15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686FEF"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1A726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2F30A4" w14:textId="69875E8C"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430B69" w14:textId="6C1979DB"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64C809" w14:textId="3D5AD650"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DC9B1E" w14:textId="0A37C8DC"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21562C" w14:textId="2EF39CF1"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D8A3EA" w14:textId="56500D4D"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1B2833" w14:textId="24E21594"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629B92" w14:textId="31F6EA7C"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8E6498" w14:textId="39B61B59"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43F00A" w14:textId="3B5C66C8"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DFD481" w14:textId="77777777"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168FA0" w14:textId="2690BDF9"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D4D2ED" w14:textId="77777777" w:rsidR="000F60BF" w:rsidRPr="0029105C"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93568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855B3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2CC4F3" w14:textId="37E09B73" w:rsidR="00850A3D" w:rsidRPr="0029105C" w:rsidRDefault="00CC28BE"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4.</w:t>
            </w:r>
          </w:p>
          <w:p w14:paraId="2E78072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18DC7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76FC1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703ED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86F94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46BE5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C34A1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051CA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6953D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900" w:type="dxa"/>
            <w:tcBorders>
              <w:top w:val="single" w:sz="4" w:space="0" w:color="auto"/>
              <w:left w:val="single" w:sz="4" w:space="0" w:color="auto"/>
              <w:bottom w:val="single" w:sz="4" w:space="0" w:color="auto"/>
              <w:right w:val="single" w:sz="4" w:space="0" w:color="auto"/>
            </w:tcBorders>
          </w:tcPr>
          <w:p w14:paraId="1E5BF58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3A08E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74D195"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72A83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9A139D" w14:textId="7EBA3F08"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1115E2" w14:textId="0C81623C"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A2572F" w14:textId="20F7998A"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CA1973" w14:textId="77777777" w:rsidR="00FF0F38" w:rsidRPr="0029105C"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A0AEA0"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1505EB"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85C287" w14:textId="3B582876"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14ga</w:t>
            </w:r>
          </w:p>
          <w:p w14:paraId="5ADFEDEE" w14:textId="62C004D1"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320646E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ED777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2070F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9B60E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190F5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B76C7C"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EE7A80"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600B52"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5CAAC9" w14:textId="5F428FD9"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955293" w14:textId="77777777" w:rsidR="00CD466D" w:rsidRDefault="00CD466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1FC002"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7E22E0" w14:textId="77777777" w:rsidR="0075031A" w:rsidRDefault="0075031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E12EC1" w14:textId="239A6E1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14ga</w:t>
            </w:r>
          </w:p>
          <w:p w14:paraId="4BAB834F" w14:textId="40F3F142"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5</w:t>
            </w:r>
          </w:p>
          <w:p w14:paraId="6A2BC47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CC6F4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5E47D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D6C40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E7D592"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C8AA0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87D0D6"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5BFF5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CDD9E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98AF0D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3F3B9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E5E00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D2860B"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050CB3"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0CC4CD"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5BFDB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E78751"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A75F9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CAA31B" w14:textId="0685FC21"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262B2B" w14:textId="1C52FEC5"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7047F7E" w14:textId="77777777" w:rsidR="00FF0F38" w:rsidRPr="0029105C"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2BAADD" w14:textId="12F8996C"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227FF3" w14:textId="77777777" w:rsidR="00CD466D" w:rsidRPr="0029105C" w:rsidRDefault="00CD466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4B6A3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F37AA3"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8E9F2E"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14ga</w:t>
            </w:r>
          </w:p>
          <w:p w14:paraId="56946B25" w14:textId="44C8852F"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w:t>
            </w:r>
            <w:r w:rsidRPr="0029105C">
              <w:rPr>
                <w:rFonts w:ascii="Times New Roman" w:eastAsia="Times New Roman" w:hAnsi="Times New Roman" w:cs="Times New Roman"/>
                <w:color w:val="000000" w:themeColor="text1"/>
                <w:sz w:val="20"/>
                <w:szCs w:val="20"/>
                <w:lang w:eastAsia="sk-SK"/>
              </w:rPr>
              <w:t xml:space="preserve"> 2</w:t>
            </w:r>
          </w:p>
          <w:p w14:paraId="6000547E"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F798A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75108B" w14:textId="3AD30E9B"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E4207B" w14:textId="77777777" w:rsidR="00FF0F38" w:rsidRPr="0029105C"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57FF7F" w14:textId="3C5ECB01"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14ea</w:t>
            </w:r>
          </w:p>
          <w:p w14:paraId="47214C70" w14:textId="3E20FB94"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k)</w:t>
            </w:r>
          </w:p>
          <w:p w14:paraId="0189D5D8"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1F3920" w14:textId="256FFD40"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533E84" w14:textId="1651790B" w:rsidR="000F60BF" w:rsidRDefault="000F60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9D622D" w14:textId="77777777" w:rsidR="0075031A" w:rsidRDefault="0075031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1DFE48" w14:textId="1FDD76B1"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14ga</w:t>
            </w:r>
          </w:p>
          <w:p w14:paraId="0B8BEFA5" w14:textId="42DC8D1A"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tc>
        <w:tc>
          <w:tcPr>
            <w:tcW w:w="4540" w:type="dxa"/>
            <w:tcBorders>
              <w:top w:val="single" w:sz="4" w:space="0" w:color="auto"/>
              <w:left w:val="single" w:sz="4" w:space="0" w:color="auto"/>
              <w:bottom w:val="single" w:sz="4" w:space="0" w:color="auto"/>
              <w:right w:val="single" w:sz="4" w:space="0" w:color="auto"/>
            </w:tcBorders>
          </w:tcPr>
          <w:p w14:paraId="50040504"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lang w:eastAsia="sk-SK"/>
              </w:rPr>
            </w:pPr>
          </w:p>
          <w:p w14:paraId="1F28F27C"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A87C363"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DF9E10C"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A6959E7" w14:textId="453F3435" w:rsidR="00850A3D"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 </w:t>
            </w:r>
          </w:p>
          <w:p w14:paraId="24C2B085" w14:textId="5BFA9AEF" w:rsidR="00FF0F38" w:rsidRDefault="00FF0F38"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8169AA4" w14:textId="56375AEC" w:rsidR="00FF0F38" w:rsidRDefault="00FF0F38"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4A7E54E" w14:textId="77777777" w:rsidR="00FF0F38" w:rsidRPr="0029105C" w:rsidRDefault="00FF0F38"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3D98CF8"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A2CD84A" w14:textId="77777777" w:rsidR="00850A3D"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284A6BF9" w14:textId="16DE3845" w:rsidR="00850A3D" w:rsidRPr="0029105C" w:rsidRDefault="00CD466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 </w:t>
            </w:r>
            <w:r w:rsidR="00E21087" w:rsidRPr="00E21087">
              <w:rPr>
                <w:rFonts w:ascii="Times New Roman" w:eastAsia="Times New Roman" w:hAnsi="Times New Roman" w:cs="Times New Roman"/>
                <w:color w:val="000000" w:themeColor="text1"/>
                <w:sz w:val="20"/>
                <w:szCs w:val="20"/>
                <w:lang w:eastAsia="sk-SK"/>
              </w:rPr>
              <w:t>Právnická osoba alebo fyzická osoba zapojená do životného cyklu kvapalných a plynných palív z obnoviteľných zdrojov energie a palív s obsahom recyklovaného uhlíka je povinná vkladať do databázy únie presné údaje o vykonaných transakciách a vlastnostiach udržateľnosti suroviny a palív,17ka) ktoré sú predmetom transakcií, vrátane emisií skleníkových plynov počas ich životného cyklu, od okamihu zhromažďovania suroviny používanej na výrobu týchto palív až do momentu, keď sa tieto palivá uvedú na trh v Európskej únii.</w:t>
            </w:r>
          </w:p>
          <w:p w14:paraId="672FDA15" w14:textId="60496938" w:rsidR="00850A3D"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B567503" w14:textId="3ED3F4F8" w:rsidR="00E21087" w:rsidRDefault="00E21087"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46991C1" w14:textId="77777777" w:rsidR="00E21087" w:rsidRDefault="00E21087"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5C32BFB" w14:textId="370B6C5E" w:rsidR="00850A3D" w:rsidRPr="0029105C" w:rsidRDefault="00CD466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(5) </w:t>
            </w:r>
            <w:r w:rsidR="00E21087" w:rsidRPr="00E21087">
              <w:rPr>
                <w:rFonts w:ascii="Times New Roman" w:eastAsia="Times New Roman" w:hAnsi="Times New Roman" w:cs="Times New Roman"/>
                <w:color w:val="000000" w:themeColor="text1"/>
                <w:sz w:val="20"/>
                <w:szCs w:val="20"/>
                <w:lang w:eastAsia="sk-SK"/>
              </w:rPr>
              <w:t>Prevádzkovateľ registra obnoviteľných plynov je povinný zabezpečiť prepojenie evidencie záruk pôvodu s databázou únie.</w:t>
            </w:r>
          </w:p>
          <w:p w14:paraId="0662AD45"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D72DC9D"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77AB001"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69B25BB"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DACA320"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3DBAC7D"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6A1B5C7B"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D35CF86"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B09DA9F"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8CEC12B"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ADD416C"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8C0D4CB"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5482F3C"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75937F9"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0FAE3EA"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1282F13"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7AF947F"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8ECD459"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69D64D9"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002E6DA" w14:textId="3A5F3008" w:rsidR="00FF0F38" w:rsidRDefault="00FF0F38"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70C2800A" w14:textId="54938490" w:rsidR="00FF0F38" w:rsidRDefault="00FF0F38"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A5168BF" w14:textId="77777777" w:rsidR="00CD466D" w:rsidRPr="0029105C" w:rsidRDefault="00CD466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0BB1A27E"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41C60458" w14:textId="77777777" w:rsidR="00850A3D" w:rsidRPr="0029105C" w:rsidRDefault="00850A3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55B3B78" w14:textId="34C8528B" w:rsidR="00850A3D" w:rsidRPr="0029105C" w:rsidRDefault="00CD466D"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(2) </w:t>
            </w:r>
            <w:r>
              <w:t xml:space="preserve"> </w:t>
            </w:r>
            <w:r w:rsidR="00E21087">
              <w:t xml:space="preserve"> </w:t>
            </w:r>
            <w:r w:rsidR="00E21087" w:rsidRPr="00E21087">
              <w:rPr>
                <w:rFonts w:ascii="Times New Roman" w:eastAsia="Times New Roman" w:hAnsi="Times New Roman" w:cs="Times New Roman"/>
                <w:color w:val="000000" w:themeColor="text1"/>
                <w:sz w:val="20"/>
                <w:szCs w:val="20"/>
                <w:lang w:eastAsia="sk-SK"/>
              </w:rPr>
              <w:t>Právnická osoba lebo fyzická osoba podľa odseku 1 je povinná pri vkladaní údajov do databázy únie postupovať v súlade s osobitným predpisom upravujúcim rozsah údajov vkladaných do databázy únie.</w:t>
            </w:r>
          </w:p>
          <w:p w14:paraId="0FF656D1" w14:textId="77777777" w:rsidR="00FF0F38" w:rsidRPr="0029105C" w:rsidRDefault="00FF0F38"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53AE0519" w14:textId="7A22D5C6" w:rsidR="000F60BF" w:rsidRDefault="000F60BF"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F60BF">
              <w:rPr>
                <w:rFonts w:ascii="Times New Roman" w:eastAsia="Times New Roman" w:hAnsi="Times New Roman" w:cs="Times New Roman"/>
                <w:color w:val="000000" w:themeColor="text1"/>
                <w:sz w:val="20"/>
                <w:szCs w:val="20"/>
                <w:lang w:eastAsia="sk-SK"/>
              </w:rPr>
              <w:t>Slovenský hydrometeorologický ústav</w:t>
            </w:r>
          </w:p>
          <w:p w14:paraId="521EF367" w14:textId="02FB2214" w:rsidR="00850A3D" w:rsidRPr="0029105C" w:rsidRDefault="000F60BF" w:rsidP="00850A3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k) </w:t>
            </w:r>
            <w:r w:rsidR="00E21087">
              <w:t xml:space="preserve"> </w:t>
            </w:r>
            <w:r w:rsidR="00E21087" w:rsidRPr="00E21087">
              <w:rPr>
                <w:rFonts w:ascii="Times New Roman" w:eastAsia="Times New Roman" w:hAnsi="Times New Roman" w:cs="Times New Roman"/>
                <w:color w:val="000000" w:themeColor="text1"/>
                <w:sz w:val="20"/>
                <w:szCs w:val="20"/>
                <w:lang w:eastAsia="sk-SK"/>
              </w:rPr>
              <w:t>využíva a zabezpečuje iným užívateľom prístup do databázy zriadenej Európskou komisiou (ďalej len „databáza únie“) podľa § 14ga na účely vkladania, monitorovania a overovania údajov,</w:t>
            </w:r>
          </w:p>
          <w:p w14:paraId="43E07E13" w14:textId="77777777" w:rsidR="0075031A" w:rsidRDefault="0075031A" w:rsidP="000F60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19C08BDD" w14:textId="23497AF1" w:rsidR="00850A3D" w:rsidRDefault="0075031A" w:rsidP="000F60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(1) </w:t>
            </w:r>
            <w:r w:rsidR="00E21087">
              <w:t xml:space="preserve"> </w:t>
            </w:r>
            <w:r w:rsidR="00E21087" w:rsidRPr="00E21087">
              <w:rPr>
                <w:rFonts w:ascii="Times New Roman" w:eastAsia="Times New Roman" w:hAnsi="Times New Roman" w:cs="Times New Roman"/>
                <w:color w:val="000000" w:themeColor="text1"/>
                <w:sz w:val="20"/>
                <w:szCs w:val="20"/>
                <w:lang w:eastAsia="sk-SK"/>
              </w:rPr>
              <w:t>Právnická osoba alebo fyzická osoba zapojená do životného cyklu kvapalných a plynných palív z obnoviteľných zdrojov energie a palív s obsahom recyklovaného uhlíka je povinná vkladať do databázy únie presné údaje o vykonaných transakciách a vlastnostiach udržateľnosti suroviny a palív,17ka) ktoré sú predmetom transakcií, vrátane emisií skleníkových plynov počas ich životného cyklu, od okamihu zhromažďovania suroviny používanej na výrobu týchto palív až do momentu, keď sa tieto palivá uvedú na trh v Európskej únii.</w:t>
            </w:r>
          </w:p>
          <w:p w14:paraId="5EF9B3F9" w14:textId="77777777" w:rsidR="000F60BF" w:rsidRDefault="000F60BF" w:rsidP="000F60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p>
          <w:p w14:paraId="38DF8FF4" w14:textId="18EAB5A4" w:rsidR="000F60BF" w:rsidRPr="0029105C" w:rsidRDefault="000F60BF" w:rsidP="000F60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0F60BF">
              <w:rPr>
                <w:rFonts w:ascii="Times New Roman" w:eastAsia="Times New Roman" w:hAnsi="Times New Roman" w:cs="Times New Roman"/>
                <w:color w:val="000000" w:themeColor="text1"/>
                <w:sz w:val="20"/>
                <w:szCs w:val="20"/>
                <w:lang w:eastAsia="sk-SK"/>
              </w:rPr>
              <w:lastRenderedPageBreak/>
              <w:t>17ka) Vyhláška Ministerstva životného prostredia Slovenskej republiky č. 271/2011 Z. z., ktorou sa ustanovujú kritériá trvalej udržateľnosti a ciele na zníženie emisií skleníko</w:t>
            </w:r>
            <w:r>
              <w:rPr>
                <w:rFonts w:ascii="Times New Roman" w:eastAsia="Times New Roman" w:hAnsi="Times New Roman" w:cs="Times New Roman"/>
                <w:color w:val="000000" w:themeColor="text1"/>
                <w:sz w:val="20"/>
                <w:szCs w:val="20"/>
                <w:lang w:eastAsia="sk-SK"/>
              </w:rPr>
              <w:t>vých plynov z pohonných látok.</w:t>
            </w:r>
          </w:p>
        </w:tc>
        <w:tc>
          <w:tcPr>
            <w:tcW w:w="849" w:type="dxa"/>
            <w:tcBorders>
              <w:top w:val="single" w:sz="4" w:space="0" w:color="auto"/>
              <w:left w:val="single" w:sz="4" w:space="0" w:color="auto"/>
              <w:bottom w:val="single" w:sz="4" w:space="0" w:color="auto"/>
              <w:right w:val="single" w:sz="4" w:space="0" w:color="auto"/>
            </w:tcBorders>
          </w:tcPr>
          <w:p w14:paraId="16CC5745" w14:textId="77777777" w:rsidR="00BE60A7" w:rsidRDefault="00BE60A7"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4BAECF" w14:textId="10A06A1C" w:rsidR="00850A3D" w:rsidRPr="0029105C" w:rsidRDefault="00E90981"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w:t>
            </w:r>
          </w:p>
        </w:tc>
        <w:tc>
          <w:tcPr>
            <w:tcW w:w="1360" w:type="dxa"/>
            <w:tcBorders>
              <w:top w:val="single" w:sz="4" w:space="0" w:color="auto"/>
              <w:left w:val="single" w:sz="4" w:space="0" w:color="auto"/>
              <w:bottom w:val="single" w:sz="4" w:space="0" w:color="auto"/>
              <w:right w:val="single" w:sz="4" w:space="0" w:color="auto"/>
            </w:tcBorders>
          </w:tcPr>
          <w:p w14:paraId="168F65D8"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7A8D162B" w14:textId="77777777" w:rsidR="00BE60A7" w:rsidRDefault="00BE60A7"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29A58B3" w14:textId="457670D2" w:rsidR="00850A3D" w:rsidRPr="0029105C" w:rsidRDefault="00BE60A7" w:rsidP="00BE60A7">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w:t>
            </w:r>
            <w:r w:rsidR="00850A3D" w:rsidRPr="0029105C">
              <w:rPr>
                <w:rFonts w:ascii="Times New Roman" w:eastAsia="Times New Roman" w:hAnsi="Times New Roman" w:cs="Times New Roman"/>
                <w:color w:val="000000" w:themeColor="text1"/>
                <w:sz w:val="20"/>
                <w:szCs w:val="20"/>
                <w:lang w:eastAsia="sk-SK"/>
              </w:rPr>
              <w:t>P-N</w:t>
            </w:r>
          </w:p>
        </w:tc>
        <w:tc>
          <w:tcPr>
            <w:tcW w:w="1360" w:type="dxa"/>
            <w:tcBorders>
              <w:top w:val="single" w:sz="4" w:space="0" w:color="auto"/>
              <w:left w:val="single" w:sz="4" w:space="0" w:color="auto"/>
              <w:bottom w:val="single" w:sz="4" w:space="0" w:color="auto"/>
              <w:right w:val="single" w:sz="4" w:space="0" w:color="auto"/>
            </w:tcBorders>
          </w:tcPr>
          <w:p w14:paraId="565D6B4A" w14:textId="77777777" w:rsidR="00850A3D"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0D7CF95"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B39FACE"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A1CAFC8"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1A4210E"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9B18C34"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9303BC0"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858ECF2"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78BC14A"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50F194B"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7D2A478"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F8A74C9"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16EBB8B"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AC24291"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8D3370F"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EAAC6E2"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9582599"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B5D36B6"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F9B0927"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ACCF267"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91E7DD5"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8CDE5B3"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C842843"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3154E94"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ECDFC4C"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0B5E9FC"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5BEFDF2"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947173E"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402E13E"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DDB211D"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9A85427"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B164311"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A592D2A"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E8D1B9C"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A16F04E"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BBE91CF"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D0EB960"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0E91B65"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B3C908B"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E4C2353"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AEC061A"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7F895B3"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51BAC76"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EFDA9C4"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0C9C93C"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0F73231"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7F6B983"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8C4133A"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05CE42A"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B3FF0E4"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1839B48"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390F461"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FF92F57"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9660093"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358DFE8E"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99C9B94"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D73DA21"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411EFA7"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5C1A9E1"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1960ABE"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07F6984E"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A07DB4B"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5798D139"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A863150"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2518A266"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A236B63"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283752E"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6EC3F0CB"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18097742"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718243C2" w14:textId="77777777" w:rsidR="000F60BF"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p w14:paraId="460FA7C8" w14:textId="3E30CF02" w:rsidR="000F60BF" w:rsidRPr="0029105C" w:rsidRDefault="000F60B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615D3632" w14:textId="77777777" w:rsidTr="00402EF0">
        <w:tc>
          <w:tcPr>
            <w:tcW w:w="1005" w:type="dxa"/>
            <w:tcBorders>
              <w:top w:val="single" w:sz="4" w:space="0" w:color="auto"/>
              <w:left w:val="single" w:sz="12" w:space="0" w:color="auto"/>
              <w:bottom w:val="single" w:sz="4" w:space="0" w:color="auto"/>
              <w:right w:val="single" w:sz="4" w:space="0" w:color="auto"/>
            </w:tcBorders>
          </w:tcPr>
          <w:p w14:paraId="2458DA88"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Č:3</w:t>
            </w:r>
          </w:p>
          <w:p w14:paraId="6ACE6D38" w14:textId="18DA1752"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O:1</w:t>
            </w:r>
          </w:p>
        </w:tc>
        <w:tc>
          <w:tcPr>
            <w:tcW w:w="3421" w:type="dxa"/>
            <w:tcBorders>
              <w:top w:val="single" w:sz="4" w:space="0" w:color="auto"/>
              <w:left w:val="single" w:sz="4" w:space="0" w:color="auto"/>
              <w:bottom w:val="single" w:sz="4" w:space="0" w:color="auto"/>
              <w:right w:val="single" w:sz="4" w:space="0" w:color="auto"/>
            </w:tcBorders>
          </w:tcPr>
          <w:p w14:paraId="71335720" w14:textId="77777777" w:rsidR="000F193F" w:rsidRPr="000F193F"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Článok 3</w:t>
            </w:r>
          </w:p>
          <w:p w14:paraId="59A254C5" w14:textId="77777777" w:rsidR="000F193F" w:rsidRPr="000F193F"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Zmeny smernice 98/70/ES</w:t>
            </w:r>
          </w:p>
          <w:p w14:paraId="2CCF3119" w14:textId="439AE401" w:rsidR="000F193F"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Smernica 98/70/ES sa mení takto:</w:t>
            </w:r>
          </w:p>
          <w:p w14:paraId="705E5D0C" w14:textId="01797D79" w:rsidR="000018E8" w:rsidRDefault="000018E8"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Článok 1 sa nahrádza takto:</w:t>
            </w:r>
          </w:p>
          <w:p w14:paraId="621219D9" w14:textId="3DB8A9FE"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Článok 1</w:t>
            </w:r>
          </w:p>
          <w:p w14:paraId="6B768D4B"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Rozsah pôsobnosti</w:t>
            </w:r>
          </w:p>
          <w:p w14:paraId="0C40F89B" w14:textId="0D2F1F5A"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V tejto smernici sa vzhľadom na cestné vozidlá a necestné pojazdné stroje, vrátane plavidiel vnútrozemskej vodnej dopravy, ak sa neplavia po mori, poľnohospodárske a lesné traktory a rekreačné plavidlá, ak sa neplavia po mori, stanovujú technické špecifikácie, ktoré sú odôvodnené ochranou zdravia a životného prostredia a ktoré sa vzťahujú na palivá, ktoré sa majú používať v prípade zážihových a vznetových motorov pri zohľadnení technických požiadaviek daných motorov.“</w:t>
            </w:r>
          </w:p>
        </w:tc>
        <w:tc>
          <w:tcPr>
            <w:tcW w:w="794" w:type="dxa"/>
            <w:tcBorders>
              <w:top w:val="single" w:sz="4" w:space="0" w:color="auto"/>
              <w:left w:val="single" w:sz="4" w:space="0" w:color="auto"/>
              <w:bottom w:val="single" w:sz="4" w:space="0" w:color="auto"/>
              <w:right w:val="single" w:sz="12" w:space="0" w:color="auto"/>
            </w:tcBorders>
          </w:tcPr>
          <w:p w14:paraId="338DFE25" w14:textId="63D270FF"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695B8EE1" w14:textId="49A98648" w:rsidR="00850A3D" w:rsidRPr="0029105C" w:rsidRDefault="00CC28BE"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5.</w:t>
            </w:r>
          </w:p>
        </w:tc>
        <w:tc>
          <w:tcPr>
            <w:tcW w:w="900" w:type="dxa"/>
            <w:tcBorders>
              <w:top w:val="single" w:sz="4" w:space="0" w:color="auto"/>
              <w:left w:val="single" w:sz="4" w:space="0" w:color="auto"/>
              <w:bottom w:val="single" w:sz="4" w:space="0" w:color="auto"/>
              <w:right w:val="single" w:sz="4" w:space="0" w:color="auto"/>
            </w:tcBorders>
          </w:tcPr>
          <w:p w14:paraId="6FE9CD19"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1</w:t>
            </w:r>
          </w:p>
          <w:p w14:paraId="59D3AA6A" w14:textId="41885A61"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 1</w:t>
            </w:r>
          </w:p>
          <w:p w14:paraId="7B1FE93A"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P: a</w:t>
            </w:r>
          </w:p>
          <w:p w14:paraId="78854BD7" w14:textId="2439A02C"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B: 3</w:t>
            </w:r>
          </w:p>
        </w:tc>
        <w:tc>
          <w:tcPr>
            <w:tcW w:w="4540" w:type="dxa"/>
            <w:tcBorders>
              <w:top w:val="single" w:sz="4" w:space="0" w:color="auto"/>
              <w:left w:val="single" w:sz="4" w:space="0" w:color="auto"/>
              <w:bottom w:val="single" w:sz="4" w:space="0" w:color="auto"/>
              <w:right w:val="single" w:sz="4" w:space="0" w:color="auto"/>
            </w:tcBorders>
          </w:tcPr>
          <w:p w14:paraId="37B61A51" w14:textId="46CB7D41" w:rsidR="00FF0F38" w:rsidRDefault="00FF0F38" w:rsidP="00FF0F38">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sidRPr="00FF0F38">
              <w:rPr>
                <w:rFonts w:ascii="Times New Roman" w:eastAsia="Times New Roman" w:hAnsi="Times New Roman" w:cs="Times New Roman"/>
                <w:bCs/>
                <w:color w:val="000000" w:themeColor="text1"/>
                <w:sz w:val="20"/>
                <w:szCs w:val="20"/>
                <w:lang w:eastAsia="sk-SK"/>
              </w:rPr>
              <w:t>§ 1</w:t>
            </w:r>
            <w:r w:rsidR="00592D3B">
              <w:rPr>
                <w:rFonts w:ascii="Times New Roman" w:eastAsia="Times New Roman" w:hAnsi="Times New Roman" w:cs="Times New Roman"/>
                <w:bCs/>
                <w:color w:val="000000" w:themeColor="text1"/>
                <w:sz w:val="20"/>
                <w:szCs w:val="20"/>
                <w:lang w:eastAsia="sk-SK"/>
              </w:rPr>
              <w:t xml:space="preserve"> </w:t>
            </w:r>
            <w:r w:rsidRPr="00FF0F38">
              <w:rPr>
                <w:rFonts w:ascii="Times New Roman" w:eastAsia="Times New Roman" w:hAnsi="Times New Roman" w:cs="Times New Roman"/>
                <w:bCs/>
                <w:color w:val="000000" w:themeColor="text1"/>
                <w:sz w:val="20"/>
                <w:szCs w:val="20"/>
                <w:lang w:eastAsia="sk-SK"/>
              </w:rPr>
              <w:t>Predmet vyhlášky</w:t>
            </w:r>
          </w:p>
          <w:p w14:paraId="601C59AF" w14:textId="66AEB44C" w:rsidR="00FF0F38" w:rsidRPr="00FF0F38" w:rsidRDefault="00FF0F38" w:rsidP="00FF0F38">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sidRPr="00FF0F38">
              <w:rPr>
                <w:rFonts w:ascii="Times New Roman" w:eastAsia="Times New Roman" w:hAnsi="Times New Roman" w:cs="Times New Roman"/>
                <w:bCs/>
                <w:color w:val="000000" w:themeColor="text1"/>
                <w:sz w:val="20"/>
                <w:szCs w:val="20"/>
                <w:lang w:eastAsia="sk-SK"/>
              </w:rPr>
              <w:t>(1) Táto vyhláška ustanovuje požiadavky na</w:t>
            </w:r>
          </w:p>
          <w:p w14:paraId="3AA97A9F" w14:textId="76A88B0B" w:rsidR="00FF0F38" w:rsidRPr="00FF0F38" w:rsidRDefault="00FF0F38" w:rsidP="00FF0F38">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 xml:space="preserve">a) </w:t>
            </w:r>
            <w:r w:rsidRPr="00FF0F38">
              <w:rPr>
                <w:rFonts w:ascii="Times New Roman" w:eastAsia="Times New Roman" w:hAnsi="Times New Roman" w:cs="Times New Roman"/>
                <w:bCs/>
                <w:color w:val="000000" w:themeColor="text1"/>
                <w:sz w:val="20"/>
                <w:szCs w:val="20"/>
                <w:lang w:eastAsia="sk-SK"/>
              </w:rPr>
              <w:t>kvalitu</w:t>
            </w:r>
          </w:p>
          <w:p w14:paraId="12D1FCC2" w14:textId="05628289" w:rsidR="00FF0F38" w:rsidRPr="00FF0F38" w:rsidRDefault="00FF0F38" w:rsidP="00FF0F38">
            <w:pPr>
              <w:autoSpaceDE w:val="0"/>
              <w:autoSpaceDN w:val="0"/>
              <w:adjustRightInd w:val="0"/>
              <w:spacing w:after="0" w:line="240" w:lineRule="auto"/>
              <w:ind w:left="395" w:hanging="395"/>
              <w:jc w:val="both"/>
              <w:rPr>
                <w:rFonts w:ascii="Times New Roman" w:eastAsia="Times New Roman" w:hAnsi="Times New Roman" w:cs="Times New Roman"/>
                <w:bCs/>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 xml:space="preserve">       </w:t>
            </w:r>
            <w:r w:rsidRPr="00FF0F38">
              <w:rPr>
                <w:rFonts w:ascii="Times New Roman" w:eastAsia="Times New Roman" w:hAnsi="Times New Roman" w:cs="Times New Roman"/>
                <w:bCs/>
                <w:color w:val="000000" w:themeColor="text1"/>
                <w:sz w:val="20"/>
                <w:szCs w:val="20"/>
                <w:lang w:eastAsia="sk-SK"/>
              </w:rPr>
              <w:t xml:space="preserve">3. kvapalných a plynných palív uvedených v § 2 </w:t>
            </w:r>
            <w:r>
              <w:rPr>
                <w:rFonts w:ascii="Times New Roman" w:eastAsia="Times New Roman" w:hAnsi="Times New Roman" w:cs="Times New Roman"/>
                <w:bCs/>
                <w:color w:val="000000" w:themeColor="text1"/>
                <w:sz w:val="20"/>
                <w:szCs w:val="20"/>
                <w:lang w:eastAsia="sk-SK"/>
              </w:rPr>
              <w:t xml:space="preserve">    </w:t>
            </w:r>
            <w:r w:rsidRPr="00FF0F38">
              <w:rPr>
                <w:rFonts w:ascii="Times New Roman" w:eastAsia="Times New Roman" w:hAnsi="Times New Roman" w:cs="Times New Roman"/>
                <w:bCs/>
                <w:color w:val="000000" w:themeColor="text1"/>
                <w:sz w:val="20"/>
                <w:szCs w:val="20"/>
                <w:lang w:eastAsia="sk-SK"/>
              </w:rPr>
              <w:t>písm. c) až q) (ďalej len „motorové palivo“), ktoré sú určené na spaľovanie v spaľovacích motoroch stacionárnych zdrojov2) alebo v spaľovacích motoroch, alebo iných hnacích motoroch mobilných zdrojov znečisťovania ovzdušia,</w:t>
            </w:r>
          </w:p>
          <w:p w14:paraId="4E09BD07" w14:textId="77777777" w:rsidR="00FF0F38" w:rsidRPr="00FF0F38" w:rsidRDefault="00FF0F38" w:rsidP="00FF0F38">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p>
          <w:p w14:paraId="2CBB6BD8" w14:textId="7DDD36F0" w:rsidR="00850A3D" w:rsidRPr="00FF0F38" w:rsidRDefault="00FF0F38" w:rsidP="00FF0F38">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lang w:eastAsia="sk-SK"/>
              </w:rPr>
            </w:pPr>
            <w:r w:rsidRPr="00FF0F38">
              <w:rPr>
                <w:rFonts w:ascii="Times New Roman" w:eastAsia="Times New Roman" w:hAnsi="Times New Roman" w:cs="Times New Roman"/>
                <w:bCs/>
                <w:color w:val="000000" w:themeColor="text1"/>
                <w:sz w:val="20"/>
                <w:szCs w:val="20"/>
                <w:lang w:eastAsia="sk-SK"/>
              </w:rPr>
              <w:t>2) § 8 ods. 5 písm. c) a d) vyhlášky Ministerstva životného prostredia Slovenskej republiky č. 248/2023 Z. z.</w:t>
            </w:r>
          </w:p>
        </w:tc>
        <w:tc>
          <w:tcPr>
            <w:tcW w:w="849" w:type="dxa"/>
            <w:tcBorders>
              <w:top w:val="single" w:sz="4" w:space="0" w:color="auto"/>
              <w:left w:val="single" w:sz="4" w:space="0" w:color="auto"/>
              <w:bottom w:val="single" w:sz="4" w:space="0" w:color="auto"/>
              <w:right w:val="single" w:sz="4" w:space="0" w:color="auto"/>
            </w:tcBorders>
          </w:tcPr>
          <w:p w14:paraId="2D25174F" w14:textId="51C26BD6"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02FC0360"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191A2CE7" w14:textId="62D5279D"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GP - N</w:t>
            </w:r>
          </w:p>
        </w:tc>
        <w:tc>
          <w:tcPr>
            <w:tcW w:w="1360" w:type="dxa"/>
            <w:tcBorders>
              <w:top w:val="single" w:sz="4" w:space="0" w:color="auto"/>
              <w:left w:val="single" w:sz="4" w:space="0" w:color="auto"/>
              <w:bottom w:val="single" w:sz="4" w:space="0" w:color="auto"/>
              <w:right w:val="single" w:sz="4" w:space="0" w:color="auto"/>
            </w:tcBorders>
          </w:tcPr>
          <w:p w14:paraId="1C396826"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850A3D" w:rsidRPr="0029105C" w14:paraId="498B2EA5" w14:textId="77777777" w:rsidTr="00402EF0">
        <w:tc>
          <w:tcPr>
            <w:tcW w:w="1005" w:type="dxa"/>
            <w:tcBorders>
              <w:top w:val="single" w:sz="4" w:space="0" w:color="auto"/>
              <w:left w:val="single" w:sz="12" w:space="0" w:color="auto"/>
              <w:bottom w:val="single" w:sz="4" w:space="0" w:color="auto"/>
              <w:right w:val="single" w:sz="4" w:space="0" w:color="auto"/>
            </w:tcBorders>
          </w:tcPr>
          <w:p w14:paraId="49A6BBF7" w14:textId="77777777"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Č: 3</w:t>
            </w:r>
          </w:p>
          <w:p w14:paraId="7BEE4B90" w14:textId="6DF85299" w:rsidR="00850A3D" w:rsidRPr="0029105C"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O: 3</w:t>
            </w:r>
          </w:p>
        </w:tc>
        <w:tc>
          <w:tcPr>
            <w:tcW w:w="3421" w:type="dxa"/>
            <w:tcBorders>
              <w:top w:val="single" w:sz="4" w:space="0" w:color="auto"/>
              <w:left w:val="single" w:sz="4" w:space="0" w:color="auto"/>
              <w:bottom w:val="single" w:sz="4" w:space="0" w:color="auto"/>
              <w:right w:val="single" w:sz="4" w:space="0" w:color="auto"/>
            </w:tcBorders>
          </w:tcPr>
          <w:p w14:paraId="5047DB31"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Článok 4 sa mení takto:</w:t>
            </w:r>
          </w:p>
          <w:p w14:paraId="29A6E203" w14:textId="73B5E96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 xml:space="preserve">a) V odseku 1 sa druhý </w:t>
            </w:r>
            <w:proofErr w:type="spellStart"/>
            <w:r w:rsidRPr="0029105C">
              <w:rPr>
                <w:rFonts w:ascii="Times New Roman" w:eastAsia="Times New Roman" w:hAnsi="Times New Roman" w:cs="Times New Roman"/>
                <w:bCs/>
                <w:color w:val="000000" w:themeColor="text1"/>
                <w:sz w:val="20"/>
                <w:szCs w:val="20"/>
                <w:lang w:eastAsia="sk-SK"/>
              </w:rPr>
              <w:t>pododsek</w:t>
            </w:r>
            <w:proofErr w:type="spellEnd"/>
            <w:r w:rsidRPr="0029105C">
              <w:rPr>
                <w:rFonts w:ascii="Times New Roman" w:eastAsia="Times New Roman" w:hAnsi="Times New Roman" w:cs="Times New Roman"/>
                <w:bCs/>
                <w:color w:val="000000" w:themeColor="text1"/>
                <w:sz w:val="20"/>
                <w:szCs w:val="20"/>
                <w:lang w:eastAsia="sk-SK"/>
              </w:rPr>
              <w:t xml:space="preserve"> nahrádza takto:</w:t>
            </w:r>
          </w:p>
          <w:p w14:paraId="6EE0ED9F" w14:textId="77777777"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lastRenderedPageBreak/>
              <w:t xml:space="preserve">„Členské štáty dodávateľom uložia povinnosť zabezpečiť, aby sa na trh uvádzala nafta s obsahom </w:t>
            </w:r>
            <w:proofErr w:type="spellStart"/>
            <w:r w:rsidRPr="0029105C">
              <w:rPr>
                <w:rFonts w:ascii="Times New Roman" w:eastAsia="Times New Roman" w:hAnsi="Times New Roman" w:cs="Times New Roman"/>
                <w:bCs/>
                <w:color w:val="000000" w:themeColor="text1"/>
                <w:sz w:val="20"/>
                <w:szCs w:val="20"/>
                <w:lang w:eastAsia="sk-SK"/>
              </w:rPr>
              <w:t>metylesterov</w:t>
            </w:r>
            <w:proofErr w:type="spellEnd"/>
            <w:r w:rsidRPr="0029105C">
              <w:rPr>
                <w:rFonts w:ascii="Times New Roman" w:eastAsia="Times New Roman" w:hAnsi="Times New Roman" w:cs="Times New Roman"/>
                <w:bCs/>
                <w:color w:val="000000" w:themeColor="text1"/>
                <w:sz w:val="20"/>
                <w:szCs w:val="20"/>
                <w:lang w:eastAsia="sk-SK"/>
              </w:rPr>
              <w:t xml:space="preserve"> mastných kyselín (FAME) až do 7 %.“</w:t>
            </w:r>
          </w:p>
          <w:p w14:paraId="4608E8B2" w14:textId="2462FAD4" w:rsidR="00850A3D"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48CD7892" w14:textId="0D975F2B" w:rsidR="00FF0F38" w:rsidRDefault="00FF0F38"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032ABE34" w14:textId="77777777" w:rsidR="00FF0F38" w:rsidRPr="0029105C" w:rsidRDefault="00FF0F38"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01C95F32" w14:textId="556C4DE1"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b) Odsek 2 sa nahrádza takto:</w:t>
            </w:r>
          </w:p>
          <w:p w14:paraId="7FD5BCE2" w14:textId="6D73543F" w:rsidR="00850A3D" w:rsidRPr="0029105C" w:rsidRDefault="00850A3D" w:rsidP="00850A3D">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29105C">
              <w:rPr>
                <w:rFonts w:ascii="Times New Roman" w:eastAsia="Times New Roman" w:hAnsi="Times New Roman" w:cs="Times New Roman"/>
                <w:bCs/>
                <w:color w:val="000000" w:themeColor="text1"/>
                <w:sz w:val="20"/>
                <w:szCs w:val="20"/>
                <w:lang w:eastAsia="sk-SK"/>
              </w:rPr>
              <w:t>„2. Členské štáty zabezpečia, aby maximálny povolený obsah síry v plynových olejoch určených na použitie pre necestné pojazdné stroje, vrátane plavidiel vnútrozemskej vodnej dopravy, poľnohospodárske a lesné traktory a rekreačné plavidlá bol 10 mg/kg. Členské štáty zabezpečia, aby sa kvapalné palivá iné ako dané plynové oleje mohli používať v plavidlách vnútrozemskej vodnej dopravy a v rekreačných plavidlách len v prípade, že obsah síry v týchto kvapalných palivách neprekračuje maximálny povolený obsah v predmetných plynových olejoch.“</w:t>
            </w:r>
          </w:p>
        </w:tc>
        <w:tc>
          <w:tcPr>
            <w:tcW w:w="794" w:type="dxa"/>
            <w:tcBorders>
              <w:top w:val="single" w:sz="4" w:space="0" w:color="auto"/>
              <w:left w:val="single" w:sz="4" w:space="0" w:color="auto"/>
              <w:bottom w:val="single" w:sz="4" w:space="0" w:color="auto"/>
              <w:right w:val="single" w:sz="12" w:space="0" w:color="auto"/>
            </w:tcBorders>
          </w:tcPr>
          <w:p w14:paraId="4B380340"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N</w:t>
            </w:r>
          </w:p>
          <w:p w14:paraId="6E344042"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FC5E81"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139EC9"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81E84D"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6A1F2C"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6C6B8D"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36D524"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D58B74C" w14:textId="0F5B4E51"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F865CA6"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BC27C2" w14:textId="07910CF8" w:rsidR="00FF0F38" w:rsidRPr="0029105C"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080" w:type="dxa"/>
            <w:tcBorders>
              <w:top w:val="single" w:sz="4" w:space="0" w:color="auto"/>
              <w:left w:val="nil"/>
              <w:bottom w:val="single" w:sz="4" w:space="0" w:color="auto"/>
              <w:right w:val="single" w:sz="4" w:space="0" w:color="auto"/>
            </w:tcBorders>
          </w:tcPr>
          <w:p w14:paraId="4D002E16" w14:textId="77777777" w:rsidR="00850A3D" w:rsidRDefault="00CC28BE" w:rsidP="00592D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5.</w:t>
            </w:r>
          </w:p>
          <w:p w14:paraId="3FB35FC4" w14:textId="77777777" w:rsidR="00FF0F38" w:rsidRDefault="00FF0F38" w:rsidP="00592D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94B207" w14:textId="77777777" w:rsidR="00FF0F38" w:rsidRDefault="00FF0F38" w:rsidP="00592D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34B950" w14:textId="77777777" w:rsidR="00FF0F38" w:rsidRDefault="00FF0F38" w:rsidP="00592D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30FC73" w14:textId="77777777" w:rsidR="00FF0F38" w:rsidRDefault="00FF0F38" w:rsidP="00592D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B02143" w14:textId="77777777" w:rsidR="00FF0F38" w:rsidRDefault="00FF0F38" w:rsidP="00592D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39AF81" w14:textId="77777777" w:rsidR="00FF0F38" w:rsidRDefault="00FF0F38" w:rsidP="00592D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D0F794" w14:textId="77777777" w:rsidR="00FF0F38" w:rsidRDefault="00FF0F38" w:rsidP="00592D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620BDC" w14:textId="77777777" w:rsidR="00FF0F38" w:rsidRDefault="00FF0F38" w:rsidP="00592D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84F395" w14:textId="77777777" w:rsidR="00FF0F38" w:rsidRDefault="00FF0F38" w:rsidP="00592D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349727" w14:textId="77777777" w:rsidR="00FF0F38" w:rsidRDefault="00FF0F38" w:rsidP="00592D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4E087A" w14:textId="6BD56FF2" w:rsidR="00FF0F38" w:rsidRPr="0029105C" w:rsidRDefault="00FF0F38" w:rsidP="00592D3B">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900" w:type="dxa"/>
            <w:tcBorders>
              <w:top w:val="single" w:sz="4" w:space="0" w:color="auto"/>
              <w:left w:val="single" w:sz="4" w:space="0" w:color="auto"/>
              <w:bottom w:val="single" w:sz="4" w:space="0" w:color="auto"/>
              <w:right w:val="single" w:sz="4" w:space="0" w:color="auto"/>
            </w:tcBorders>
          </w:tcPr>
          <w:p w14:paraId="369FE1AE" w14:textId="77777777" w:rsidR="00850A3D" w:rsidRPr="00592D3B" w:rsidRDefault="00850A3D" w:rsidP="00592D3B">
            <w:pPr>
              <w:spacing w:after="0" w:line="240" w:lineRule="auto"/>
              <w:jc w:val="center"/>
              <w:rPr>
                <w:rFonts w:ascii="Times New Roman" w:eastAsia="Times New Roman" w:hAnsi="Times New Roman" w:cs="Times New Roman"/>
                <w:sz w:val="20"/>
                <w:szCs w:val="20"/>
                <w:lang w:eastAsia="sk-SK"/>
              </w:rPr>
            </w:pPr>
            <w:r w:rsidRPr="00592D3B">
              <w:rPr>
                <w:rFonts w:ascii="Times New Roman" w:eastAsia="Times New Roman" w:hAnsi="Times New Roman" w:cs="Times New Roman"/>
                <w:sz w:val="20"/>
                <w:szCs w:val="20"/>
                <w:lang w:eastAsia="sk-SK"/>
              </w:rPr>
              <w:lastRenderedPageBreak/>
              <w:t>§ 5</w:t>
            </w:r>
          </w:p>
          <w:p w14:paraId="16495E39" w14:textId="63F15835" w:rsidR="00850A3D" w:rsidRPr="00592D3B" w:rsidRDefault="00FF0F38" w:rsidP="00592D3B">
            <w:pPr>
              <w:spacing w:after="0" w:line="240" w:lineRule="auto"/>
              <w:jc w:val="center"/>
              <w:rPr>
                <w:rFonts w:ascii="Times New Roman" w:eastAsia="Times New Roman" w:hAnsi="Times New Roman" w:cs="Times New Roman"/>
                <w:sz w:val="20"/>
                <w:szCs w:val="20"/>
                <w:lang w:eastAsia="sk-SK"/>
              </w:rPr>
            </w:pPr>
            <w:r w:rsidRPr="00592D3B">
              <w:rPr>
                <w:rFonts w:ascii="Times New Roman" w:eastAsia="Times New Roman" w:hAnsi="Times New Roman" w:cs="Times New Roman"/>
                <w:sz w:val="20"/>
                <w:szCs w:val="20"/>
                <w:lang w:eastAsia="sk-SK"/>
              </w:rPr>
              <w:t>O: 4</w:t>
            </w:r>
          </w:p>
          <w:p w14:paraId="667E7F8B" w14:textId="77777777" w:rsidR="00850A3D" w:rsidRPr="00592D3B" w:rsidRDefault="00850A3D" w:rsidP="00592D3B">
            <w:pPr>
              <w:spacing w:after="0" w:line="240" w:lineRule="auto"/>
              <w:jc w:val="center"/>
              <w:rPr>
                <w:rFonts w:ascii="Times New Roman" w:eastAsia="Times New Roman" w:hAnsi="Times New Roman" w:cs="Times New Roman"/>
                <w:sz w:val="20"/>
                <w:szCs w:val="20"/>
                <w:lang w:eastAsia="sk-SK"/>
              </w:rPr>
            </w:pPr>
          </w:p>
          <w:p w14:paraId="1846937D" w14:textId="77777777" w:rsidR="00850A3D" w:rsidRPr="00592D3B" w:rsidRDefault="00850A3D" w:rsidP="00592D3B">
            <w:pPr>
              <w:spacing w:after="0" w:line="240" w:lineRule="auto"/>
              <w:jc w:val="center"/>
              <w:rPr>
                <w:rFonts w:ascii="Times New Roman" w:eastAsia="Times New Roman" w:hAnsi="Times New Roman" w:cs="Times New Roman"/>
                <w:sz w:val="20"/>
                <w:szCs w:val="20"/>
                <w:lang w:eastAsia="sk-SK"/>
              </w:rPr>
            </w:pPr>
          </w:p>
          <w:p w14:paraId="794DFB12" w14:textId="77777777" w:rsidR="00850A3D" w:rsidRPr="00592D3B" w:rsidRDefault="00850A3D" w:rsidP="00592D3B">
            <w:pPr>
              <w:spacing w:after="0" w:line="240" w:lineRule="auto"/>
              <w:jc w:val="center"/>
              <w:rPr>
                <w:rFonts w:ascii="Times New Roman" w:eastAsia="Times New Roman" w:hAnsi="Times New Roman" w:cs="Times New Roman"/>
                <w:sz w:val="20"/>
                <w:szCs w:val="20"/>
                <w:lang w:eastAsia="sk-SK"/>
              </w:rPr>
            </w:pPr>
          </w:p>
          <w:p w14:paraId="57F7BD2F" w14:textId="4DE7CAD5" w:rsidR="00850A3D" w:rsidRPr="00592D3B" w:rsidRDefault="00850A3D" w:rsidP="00592D3B">
            <w:pPr>
              <w:spacing w:after="0" w:line="240" w:lineRule="auto"/>
              <w:jc w:val="center"/>
              <w:rPr>
                <w:rFonts w:ascii="Times New Roman" w:eastAsia="Times New Roman" w:hAnsi="Times New Roman" w:cs="Times New Roman"/>
                <w:sz w:val="20"/>
                <w:szCs w:val="20"/>
                <w:lang w:eastAsia="sk-SK"/>
              </w:rPr>
            </w:pPr>
          </w:p>
          <w:p w14:paraId="505D31B5" w14:textId="2248CEE9" w:rsidR="00FF0F38" w:rsidRPr="00592D3B" w:rsidRDefault="00FF0F38" w:rsidP="00592D3B">
            <w:pPr>
              <w:spacing w:after="0" w:line="240" w:lineRule="auto"/>
              <w:jc w:val="center"/>
              <w:rPr>
                <w:rFonts w:ascii="Times New Roman" w:eastAsia="Times New Roman" w:hAnsi="Times New Roman" w:cs="Times New Roman"/>
                <w:sz w:val="20"/>
                <w:szCs w:val="20"/>
                <w:lang w:eastAsia="sk-SK"/>
              </w:rPr>
            </w:pPr>
          </w:p>
          <w:p w14:paraId="5E369889" w14:textId="0C8ED0DD" w:rsidR="00FF0F38" w:rsidRPr="00592D3B" w:rsidRDefault="00FF0F38" w:rsidP="00592D3B">
            <w:pPr>
              <w:spacing w:after="0" w:line="240" w:lineRule="auto"/>
              <w:jc w:val="center"/>
              <w:rPr>
                <w:rFonts w:ascii="Times New Roman" w:eastAsia="Times New Roman" w:hAnsi="Times New Roman" w:cs="Times New Roman"/>
                <w:sz w:val="20"/>
                <w:szCs w:val="20"/>
                <w:lang w:eastAsia="sk-SK"/>
              </w:rPr>
            </w:pPr>
          </w:p>
          <w:p w14:paraId="5DEF662E" w14:textId="77777777" w:rsidR="00592D3B" w:rsidRPr="00592D3B" w:rsidRDefault="00592D3B" w:rsidP="00592D3B">
            <w:pPr>
              <w:spacing w:after="0" w:line="240" w:lineRule="auto"/>
              <w:jc w:val="center"/>
              <w:rPr>
                <w:rFonts w:ascii="Times New Roman" w:eastAsia="Times New Roman" w:hAnsi="Times New Roman" w:cs="Times New Roman"/>
                <w:sz w:val="20"/>
                <w:szCs w:val="20"/>
                <w:lang w:eastAsia="sk-SK"/>
              </w:rPr>
            </w:pPr>
          </w:p>
          <w:p w14:paraId="1A1EA314" w14:textId="77777777" w:rsidR="00FF0F38" w:rsidRPr="00592D3B" w:rsidRDefault="00FF0F38" w:rsidP="00592D3B">
            <w:pPr>
              <w:spacing w:after="0" w:line="240" w:lineRule="auto"/>
              <w:jc w:val="center"/>
              <w:rPr>
                <w:rFonts w:ascii="Times New Roman" w:eastAsia="Times New Roman" w:hAnsi="Times New Roman" w:cs="Times New Roman"/>
                <w:sz w:val="20"/>
                <w:szCs w:val="20"/>
                <w:lang w:eastAsia="sk-SK"/>
              </w:rPr>
            </w:pPr>
          </w:p>
          <w:p w14:paraId="272BAFCF" w14:textId="16CA5373" w:rsidR="00850A3D" w:rsidRPr="00592D3B" w:rsidRDefault="00850A3D" w:rsidP="00592D3B">
            <w:pPr>
              <w:spacing w:after="0" w:line="240" w:lineRule="auto"/>
              <w:jc w:val="center"/>
              <w:rPr>
                <w:rFonts w:ascii="Times New Roman" w:eastAsia="Times New Roman" w:hAnsi="Times New Roman" w:cs="Times New Roman"/>
                <w:sz w:val="20"/>
                <w:szCs w:val="20"/>
                <w:lang w:eastAsia="sk-SK"/>
              </w:rPr>
            </w:pPr>
            <w:r w:rsidRPr="00592D3B">
              <w:rPr>
                <w:rFonts w:ascii="Times New Roman" w:eastAsia="Times New Roman" w:hAnsi="Times New Roman" w:cs="Times New Roman"/>
                <w:sz w:val="20"/>
                <w:szCs w:val="20"/>
                <w:lang w:eastAsia="sk-SK"/>
              </w:rPr>
              <w:t>§ 5</w:t>
            </w:r>
          </w:p>
          <w:p w14:paraId="5C55C68D" w14:textId="634F6538" w:rsidR="00850A3D" w:rsidRPr="00592D3B" w:rsidRDefault="00FF0F38" w:rsidP="00592D3B">
            <w:pPr>
              <w:spacing w:after="0" w:line="240" w:lineRule="auto"/>
              <w:jc w:val="center"/>
              <w:rPr>
                <w:rFonts w:ascii="Times New Roman" w:eastAsia="Times New Roman" w:hAnsi="Times New Roman" w:cs="Times New Roman"/>
                <w:sz w:val="20"/>
                <w:szCs w:val="20"/>
                <w:lang w:eastAsia="sk-SK"/>
              </w:rPr>
            </w:pPr>
            <w:r w:rsidRPr="00592D3B">
              <w:rPr>
                <w:rFonts w:ascii="Times New Roman" w:eastAsia="Times New Roman" w:hAnsi="Times New Roman" w:cs="Times New Roman"/>
                <w:sz w:val="20"/>
                <w:szCs w:val="20"/>
                <w:lang w:eastAsia="sk-SK"/>
              </w:rPr>
              <w:t>O: 8</w:t>
            </w:r>
          </w:p>
          <w:p w14:paraId="3B5FE57F" w14:textId="25287F12" w:rsidR="00850A3D" w:rsidRPr="00592D3B" w:rsidRDefault="00FF0F38" w:rsidP="00592D3B">
            <w:pPr>
              <w:spacing w:after="0" w:line="240" w:lineRule="auto"/>
              <w:jc w:val="center"/>
              <w:rPr>
                <w:rFonts w:ascii="Times New Roman" w:eastAsia="Times New Roman" w:hAnsi="Times New Roman" w:cs="Times New Roman"/>
                <w:sz w:val="20"/>
                <w:szCs w:val="20"/>
                <w:lang w:eastAsia="sk-SK"/>
              </w:rPr>
            </w:pPr>
            <w:r w:rsidRPr="00592D3B">
              <w:rPr>
                <w:rFonts w:ascii="Times New Roman" w:eastAsia="Times New Roman" w:hAnsi="Times New Roman" w:cs="Times New Roman"/>
                <w:sz w:val="20"/>
                <w:szCs w:val="20"/>
                <w:lang w:eastAsia="sk-SK"/>
              </w:rPr>
              <w:t>O: 13</w:t>
            </w:r>
          </w:p>
          <w:p w14:paraId="73ABD378" w14:textId="77777777" w:rsidR="00850A3D" w:rsidRPr="00592D3B" w:rsidRDefault="00850A3D" w:rsidP="00592D3B">
            <w:pPr>
              <w:spacing w:after="0" w:line="240" w:lineRule="auto"/>
              <w:jc w:val="center"/>
              <w:rPr>
                <w:rFonts w:ascii="Times New Roman" w:eastAsia="Times New Roman" w:hAnsi="Times New Roman" w:cs="Times New Roman"/>
                <w:sz w:val="20"/>
                <w:szCs w:val="20"/>
                <w:lang w:eastAsia="sk-SK"/>
              </w:rPr>
            </w:pPr>
          </w:p>
          <w:p w14:paraId="0A33F962" w14:textId="77777777" w:rsidR="00850A3D" w:rsidRPr="00592D3B" w:rsidRDefault="00850A3D" w:rsidP="00592D3B">
            <w:pPr>
              <w:spacing w:after="0" w:line="240" w:lineRule="auto"/>
              <w:jc w:val="center"/>
              <w:rPr>
                <w:rFonts w:ascii="Times New Roman" w:eastAsia="Times New Roman" w:hAnsi="Times New Roman" w:cs="Times New Roman"/>
                <w:sz w:val="20"/>
                <w:szCs w:val="20"/>
                <w:lang w:eastAsia="sk-SK"/>
              </w:rPr>
            </w:pPr>
          </w:p>
          <w:p w14:paraId="3082E478" w14:textId="77777777" w:rsidR="00850A3D" w:rsidRPr="00592D3B" w:rsidRDefault="00850A3D" w:rsidP="00592D3B">
            <w:pPr>
              <w:spacing w:after="0" w:line="240" w:lineRule="auto"/>
              <w:jc w:val="center"/>
              <w:rPr>
                <w:rFonts w:ascii="Times New Roman" w:eastAsia="Times New Roman" w:hAnsi="Times New Roman" w:cs="Times New Roman"/>
                <w:sz w:val="20"/>
                <w:szCs w:val="20"/>
                <w:lang w:eastAsia="sk-SK"/>
              </w:rPr>
            </w:pPr>
          </w:p>
          <w:p w14:paraId="5C476D2B" w14:textId="77777777" w:rsidR="00850A3D" w:rsidRPr="00592D3B" w:rsidRDefault="00850A3D" w:rsidP="00592D3B">
            <w:pPr>
              <w:spacing w:after="0" w:line="240" w:lineRule="auto"/>
              <w:jc w:val="center"/>
              <w:rPr>
                <w:rFonts w:ascii="Times New Roman" w:eastAsia="Times New Roman" w:hAnsi="Times New Roman" w:cs="Times New Roman"/>
                <w:sz w:val="20"/>
                <w:szCs w:val="20"/>
                <w:lang w:eastAsia="sk-SK"/>
              </w:rPr>
            </w:pPr>
          </w:p>
          <w:p w14:paraId="551A6323" w14:textId="77777777" w:rsidR="00850A3D" w:rsidRPr="00592D3B" w:rsidRDefault="00850A3D" w:rsidP="00592D3B">
            <w:pPr>
              <w:spacing w:after="0" w:line="240" w:lineRule="auto"/>
              <w:jc w:val="center"/>
              <w:rPr>
                <w:rFonts w:ascii="Times New Roman" w:eastAsia="Times New Roman" w:hAnsi="Times New Roman" w:cs="Times New Roman"/>
                <w:sz w:val="20"/>
                <w:szCs w:val="20"/>
                <w:lang w:eastAsia="sk-SK"/>
              </w:rPr>
            </w:pPr>
          </w:p>
          <w:p w14:paraId="72A829B4" w14:textId="3B340115" w:rsidR="00850A3D" w:rsidRPr="00592D3B" w:rsidRDefault="00850A3D" w:rsidP="00592D3B">
            <w:pPr>
              <w:spacing w:after="0" w:line="240" w:lineRule="auto"/>
              <w:jc w:val="center"/>
              <w:rPr>
                <w:rFonts w:ascii="Times New Roman" w:eastAsia="Times New Roman" w:hAnsi="Times New Roman" w:cs="Times New Roman"/>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69245316" w14:textId="0862F892" w:rsidR="00FF0F38" w:rsidRPr="00FF0F38" w:rsidRDefault="00FF0F38" w:rsidP="00592D3B">
            <w:pPr>
              <w:spacing w:after="0" w:line="240" w:lineRule="auto"/>
              <w:rPr>
                <w:rFonts w:ascii="Times New Roman" w:eastAsia="Times New Roman" w:hAnsi="Times New Roman" w:cs="Times New Roman"/>
                <w:sz w:val="20"/>
                <w:szCs w:val="20"/>
                <w:lang w:eastAsia="sk-SK"/>
              </w:rPr>
            </w:pPr>
            <w:r w:rsidRPr="00FF0F38">
              <w:rPr>
                <w:rFonts w:ascii="Times New Roman" w:eastAsia="Times New Roman" w:hAnsi="Times New Roman" w:cs="Times New Roman"/>
                <w:sz w:val="20"/>
                <w:szCs w:val="20"/>
                <w:lang w:eastAsia="sk-SK"/>
              </w:rPr>
              <w:lastRenderedPageBreak/>
              <w:t>§ 5</w:t>
            </w:r>
            <w:r w:rsidR="00592D3B">
              <w:rPr>
                <w:rFonts w:ascii="Times New Roman" w:eastAsia="Times New Roman" w:hAnsi="Times New Roman" w:cs="Times New Roman"/>
                <w:sz w:val="20"/>
                <w:szCs w:val="20"/>
                <w:lang w:eastAsia="sk-SK"/>
              </w:rPr>
              <w:t xml:space="preserve"> </w:t>
            </w:r>
            <w:r w:rsidRPr="00FF0F38">
              <w:rPr>
                <w:rFonts w:ascii="Times New Roman" w:eastAsia="Times New Roman" w:hAnsi="Times New Roman" w:cs="Times New Roman"/>
                <w:sz w:val="20"/>
                <w:szCs w:val="20"/>
                <w:lang w:eastAsia="sk-SK"/>
              </w:rPr>
              <w:t xml:space="preserve">Motorové palivá </w:t>
            </w:r>
          </w:p>
          <w:p w14:paraId="3194731F" w14:textId="5CE71EFF" w:rsidR="00FF0F38" w:rsidRPr="00FF0F38" w:rsidRDefault="00FF0F38" w:rsidP="00592D3B">
            <w:pPr>
              <w:keepNext/>
              <w:spacing w:after="0" w:line="240" w:lineRule="auto"/>
              <w:jc w:val="both"/>
              <w:rPr>
                <w:rFonts w:ascii="Times New Roman" w:eastAsia="Times New Roman" w:hAnsi="Times New Roman" w:cs="Times New Roman"/>
                <w:sz w:val="20"/>
                <w:szCs w:val="20"/>
                <w:lang w:eastAsia="sk-SK"/>
              </w:rPr>
            </w:pPr>
            <w:r w:rsidRPr="00FF0F38">
              <w:rPr>
                <w:rFonts w:ascii="Times New Roman" w:eastAsia="Times New Roman" w:hAnsi="Times New Roman" w:cs="Times New Roman"/>
                <w:sz w:val="20"/>
                <w:szCs w:val="20"/>
                <w:lang w:eastAsia="sk-SK"/>
              </w:rPr>
              <w:t xml:space="preserve">(4) Motorová nafta s obsahom </w:t>
            </w:r>
            <w:proofErr w:type="spellStart"/>
            <w:r w:rsidRPr="00FF0F38">
              <w:rPr>
                <w:rFonts w:ascii="Times New Roman" w:eastAsia="Times New Roman" w:hAnsi="Times New Roman" w:cs="Times New Roman"/>
                <w:sz w:val="20"/>
                <w:szCs w:val="20"/>
                <w:lang w:eastAsia="sk-SK"/>
              </w:rPr>
              <w:t>metylesterov</w:t>
            </w:r>
            <w:proofErr w:type="spellEnd"/>
            <w:r w:rsidRPr="00FF0F38">
              <w:rPr>
                <w:rFonts w:ascii="Times New Roman" w:eastAsia="Times New Roman" w:hAnsi="Times New Roman" w:cs="Times New Roman"/>
                <w:sz w:val="20"/>
                <w:szCs w:val="20"/>
                <w:lang w:eastAsia="sk-SK"/>
              </w:rPr>
              <w:t xml:space="preserve"> mastných kyselín (B7) musí spĺňať požiadavky uvedené v prílohe č. 2a a požiadavky podľa technickej normy</w:t>
            </w:r>
            <w:r w:rsidR="00592D3B">
              <w:rPr>
                <w:rFonts w:ascii="Times New Roman" w:eastAsia="Times New Roman" w:hAnsi="Times New Roman" w:cs="Times New Roman"/>
                <w:sz w:val="20"/>
                <w:szCs w:val="20"/>
                <w:lang w:eastAsia="sk-SK"/>
              </w:rPr>
              <w:t>21a)</w:t>
            </w:r>
            <w:r w:rsidRPr="00FF0F38">
              <w:rPr>
                <w:rFonts w:ascii="Times New Roman" w:eastAsia="Times New Roman" w:hAnsi="Times New Roman" w:cs="Times New Roman"/>
                <w:sz w:val="20"/>
                <w:szCs w:val="20"/>
                <w:lang w:eastAsia="sk-SK"/>
              </w:rPr>
              <w:t xml:space="preserve"> alebo </w:t>
            </w:r>
            <w:r w:rsidRPr="00FF0F38">
              <w:rPr>
                <w:rFonts w:ascii="Times New Roman" w:eastAsia="Times New Roman" w:hAnsi="Times New Roman" w:cs="Times New Roman"/>
                <w:sz w:val="20"/>
                <w:szCs w:val="20"/>
                <w:lang w:eastAsia="sk-SK"/>
              </w:rPr>
              <w:lastRenderedPageBreak/>
              <w:t>inej obdobnej technickej špecifikácie s porovnateľnými alebo prísnejšími požiadavkami.</w:t>
            </w:r>
          </w:p>
          <w:p w14:paraId="39E89581" w14:textId="77777777" w:rsidR="00592D3B" w:rsidRDefault="00592D3B" w:rsidP="00592D3B">
            <w:pPr>
              <w:spacing w:after="0" w:line="240" w:lineRule="auto"/>
              <w:rPr>
                <w:rFonts w:ascii="Times New Roman" w:eastAsia="Times New Roman" w:hAnsi="Times New Roman" w:cs="Times New Roman"/>
                <w:sz w:val="20"/>
                <w:szCs w:val="20"/>
                <w:lang w:eastAsia="sk-SK"/>
              </w:rPr>
            </w:pPr>
          </w:p>
          <w:p w14:paraId="5A767F3D" w14:textId="5A278A11" w:rsidR="00FF0F38" w:rsidRPr="00592D3B" w:rsidRDefault="00592D3B" w:rsidP="00592D3B">
            <w:pPr>
              <w:spacing w:after="0" w:line="240" w:lineRule="auto"/>
              <w:rPr>
                <w:rFonts w:ascii="Times New Roman" w:eastAsia="Times New Roman" w:hAnsi="Times New Roman" w:cs="Times New Roman"/>
                <w:sz w:val="20"/>
                <w:szCs w:val="20"/>
                <w:lang w:eastAsia="sk-SK"/>
              </w:rPr>
            </w:pPr>
            <w:r w:rsidRPr="00592D3B">
              <w:rPr>
                <w:rFonts w:ascii="Times New Roman" w:eastAsia="Times New Roman" w:hAnsi="Times New Roman" w:cs="Times New Roman"/>
                <w:sz w:val="20"/>
                <w:szCs w:val="20"/>
                <w:lang w:eastAsia="sk-SK"/>
              </w:rPr>
              <w:t>21a)</w:t>
            </w:r>
            <w:r w:rsidR="00FF0F38" w:rsidRPr="00592D3B">
              <w:rPr>
                <w:rFonts w:ascii="Times New Roman" w:eastAsia="Times New Roman" w:hAnsi="Times New Roman" w:cs="Times New Roman"/>
                <w:sz w:val="20"/>
                <w:szCs w:val="20"/>
                <w:lang w:eastAsia="sk-SK"/>
              </w:rPr>
              <w:t xml:space="preserve"> STN EN 590 Automobilové palivá. Motorová nafta. Požiadavky a skúšobné metódy (65 6506).</w:t>
            </w:r>
          </w:p>
          <w:p w14:paraId="6048AF35" w14:textId="77777777" w:rsidR="00FF0F38" w:rsidRPr="00592D3B" w:rsidRDefault="00FF0F38" w:rsidP="00592D3B">
            <w:pPr>
              <w:autoSpaceDE w:val="0"/>
              <w:autoSpaceDN w:val="0"/>
              <w:adjustRightInd w:val="0"/>
              <w:spacing w:after="0" w:line="240" w:lineRule="auto"/>
              <w:jc w:val="both"/>
              <w:rPr>
                <w:rFonts w:ascii="Times New Roman" w:eastAsia="Times New Roman" w:hAnsi="Times New Roman" w:cs="Times New Roman"/>
                <w:sz w:val="20"/>
                <w:szCs w:val="20"/>
                <w:lang w:eastAsia="sk-SK"/>
              </w:rPr>
            </w:pPr>
          </w:p>
          <w:p w14:paraId="2309E2C7" w14:textId="77777777" w:rsidR="00FF0F38" w:rsidRPr="00FF0F38" w:rsidRDefault="00FF0F38" w:rsidP="00592D3B">
            <w:pPr>
              <w:spacing w:after="0" w:line="240" w:lineRule="auto"/>
              <w:rPr>
                <w:rFonts w:ascii="Times New Roman" w:eastAsia="Times New Roman" w:hAnsi="Times New Roman" w:cs="Times New Roman"/>
                <w:sz w:val="20"/>
                <w:szCs w:val="20"/>
                <w:lang w:eastAsia="sk-SK"/>
              </w:rPr>
            </w:pPr>
            <w:r w:rsidRPr="00FF0F38">
              <w:rPr>
                <w:rFonts w:ascii="Times New Roman" w:eastAsia="Times New Roman" w:hAnsi="Times New Roman" w:cs="Times New Roman"/>
                <w:sz w:val="20"/>
                <w:szCs w:val="20"/>
                <w:lang w:eastAsia="sk-SK"/>
              </w:rPr>
              <w:t>§ 5</w:t>
            </w:r>
          </w:p>
          <w:p w14:paraId="4D4D9F78" w14:textId="77777777" w:rsidR="00FF0F38" w:rsidRPr="00FF0F38" w:rsidRDefault="00FF0F38" w:rsidP="00592D3B">
            <w:pPr>
              <w:spacing w:after="0" w:line="240" w:lineRule="auto"/>
              <w:rPr>
                <w:rFonts w:ascii="Times New Roman" w:eastAsia="Times New Roman" w:hAnsi="Times New Roman" w:cs="Times New Roman"/>
                <w:sz w:val="20"/>
                <w:szCs w:val="20"/>
                <w:lang w:eastAsia="sk-SK"/>
              </w:rPr>
            </w:pPr>
            <w:r w:rsidRPr="00FF0F38">
              <w:rPr>
                <w:rFonts w:ascii="Times New Roman" w:eastAsia="Times New Roman" w:hAnsi="Times New Roman" w:cs="Times New Roman"/>
                <w:sz w:val="20"/>
                <w:szCs w:val="20"/>
                <w:lang w:eastAsia="sk-SK"/>
              </w:rPr>
              <w:t xml:space="preserve">Motorové palivá </w:t>
            </w:r>
          </w:p>
          <w:p w14:paraId="35EB9AC2" w14:textId="77777777" w:rsidR="00FF0F38" w:rsidRPr="00FF0F38" w:rsidRDefault="00FF0F38" w:rsidP="00592D3B">
            <w:pPr>
              <w:keepNext/>
              <w:spacing w:after="0" w:line="240" w:lineRule="auto"/>
              <w:jc w:val="both"/>
              <w:rPr>
                <w:rFonts w:ascii="Times New Roman" w:eastAsia="Times New Roman" w:hAnsi="Times New Roman" w:cs="Times New Roman"/>
                <w:sz w:val="20"/>
                <w:szCs w:val="20"/>
                <w:lang w:eastAsia="sk-SK"/>
              </w:rPr>
            </w:pPr>
            <w:r w:rsidRPr="00FF0F38">
              <w:rPr>
                <w:rFonts w:ascii="Times New Roman" w:eastAsia="Times New Roman" w:hAnsi="Times New Roman" w:cs="Times New Roman"/>
                <w:sz w:val="20"/>
                <w:szCs w:val="20"/>
                <w:lang w:eastAsia="sk-SK"/>
              </w:rPr>
              <w:t>(8) Motorový plynový olej nesmie obsahovať viac síry ako 10 mg/kg.</w:t>
            </w:r>
          </w:p>
          <w:p w14:paraId="5BB101A3" w14:textId="77777777" w:rsidR="00FF0F38" w:rsidRPr="00FF0F38" w:rsidRDefault="00FF0F38" w:rsidP="00592D3B">
            <w:pPr>
              <w:keepNext/>
              <w:spacing w:after="0" w:line="240" w:lineRule="auto"/>
              <w:jc w:val="both"/>
              <w:rPr>
                <w:rFonts w:ascii="Times New Roman" w:eastAsia="Times New Roman" w:hAnsi="Times New Roman" w:cs="Times New Roman"/>
                <w:sz w:val="20"/>
                <w:szCs w:val="20"/>
                <w:lang w:eastAsia="sk-SK"/>
              </w:rPr>
            </w:pPr>
            <w:r w:rsidRPr="00FF0F38">
              <w:rPr>
                <w:rFonts w:ascii="Times New Roman" w:eastAsia="Times New Roman" w:hAnsi="Times New Roman" w:cs="Times New Roman"/>
                <w:sz w:val="20"/>
                <w:szCs w:val="20"/>
                <w:lang w:eastAsia="sk-SK"/>
              </w:rPr>
              <w:t>(13) Motorové palivo, iné ako palivo uvedené v odseku 8, ktoré je určené pre plavidlá vnútrozemskej vodnej dopravy</w:t>
            </w:r>
            <w:r w:rsidRPr="00592D3B">
              <w:rPr>
                <w:rFonts w:ascii="Times New Roman" w:eastAsia="Times New Roman" w:hAnsi="Times New Roman" w:cs="Times New Roman"/>
                <w:sz w:val="20"/>
                <w:szCs w:val="20"/>
                <w:lang w:eastAsia="sk-SK"/>
              </w:rPr>
              <w:t>6</w:t>
            </w:r>
            <w:r w:rsidRPr="00FF0F38">
              <w:rPr>
                <w:rFonts w:ascii="Times New Roman" w:eastAsia="Times New Roman" w:hAnsi="Times New Roman" w:cs="Times New Roman"/>
                <w:sz w:val="20"/>
                <w:szCs w:val="20"/>
                <w:lang w:eastAsia="sk-SK"/>
              </w:rPr>
              <w:t>) a rekreačné plavidlá</w:t>
            </w:r>
            <w:r w:rsidRPr="00592D3B">
              <w:rPr>
                <w:rFonts w:ascii="Times New Roman" w:eastAsia="Times New Roman" w:hAnsi="Times New Roman" w:cs="Times New Roman"/>
                <w:sz w:val="20"/>
                <w:szCs w:val="20"/>
                <w:lang w:eastAsia="sk-SK"/>
              </w:rPr>
              <w:t>8</w:t>
            </w:r>
            <w:r w:rsidRPr="00FF0F38">
              <w:rPr>
                <w:rFonts w:ascii="Times New Roman" w:eastAsia="Times New Roman" w:hAnsi="Times New Roman" w:cs="Times New Roman"/>
                <w:sz w:val="20"/>
                <w:szCs w:val="20"/>
                <w:lang w:eastAsia="sk-SK"/>
              </w:rPr>
              <w:t>), nesmie obsahovať viac síry ako 10 mg/kg.</w:t>
            </w:r>
          </w:p>
          <w:p w14:paraId="3098A40E" w14:textId="218BD59E" w:rsidR="00FF0F38" w:rsidRPr="00592D3B" w:rsidRDefault="00FF0F38" w:rsidP="00592D3B">
            <w:pPr>
              <w:spacing w:after="0" w:line="240" w:lineRule="atLeast"/>
              <w:ind w:left="-44" w:firstLine="44"/>
              <w:jc w:val="both"/>
              <w:rPr>
                <w:rFonts w:ascii="Times New Roman" w:eastAsia="Times New Roman" w:hAnsi="Times New Roman" w:cs="Times New Roman"/>
                <w:sz w:val="20"/>
                <w:szCs w:val="20"/>
                <w:lang w:eastAsia="sk-SK"/>
              </w:rPr>
            </w:pPr>
          </w:p>
          <w:p w14:paraId="6ADA7EC1" w14:textId="77777777" w:rsidR="00FF0F38" w:rsidRPr="00592D3B" w:rsidRDefault="00FF0F38" w:rsidP="00592D3B">
            <w:pPr>
              <w:spacing w:after="0" w:line="240" w:lineRule="auto"/>
              <w:rPr>
                <w:rFonts w:ascii="Times New Roman" w:eastAsia="Times New Roman" w:hAnsi="Times New Roman" w:cs="Times New Roman"/>
                <w:sz w:val="20"/>
                <w:szCs w:val="20"/>
                <w:lang w:eastAsia="sk-SK"/>
              </w:rPr>
            </w:pPr>
            <w:r w:rsidRPr="00592D3B">
              <w:rPr>
                <w:rFonts w:ascii="Times New Roman" w:eastAsia="Times New Roman" w:hAnsi="Times New Roman" w:cs="Times New Roman"/>
                <w:sz w:val="20"/>
                <w:szCs w:val="20"/>
                <w:lang w:eastAsia="sk-SK"/>
              </w:rPr>
              <w:t xml:space="preserve">6) Čl. 3 bod 34 nariadenia (EÚ) 2016/1628 v platnom znení.  </w:t>
            </w:r>
          </w:p>
          <w:p w14:paraId="3854C21F" w14:textId="5B3DB1DD" w:rsidR="00FF0F38" w:rsidRPr="00592D3B" w:rsidRDefault="00FF0F38" w:rsidP="00592D3B">
            <w:pPr>
              <w:autoSpaceDE w:val="0"/>
              <w:autoSpaceDN w:val="0"/>
              <w:adjustRightInd w:val="0"/>
              <w:spacing w:after="0" w:line="240" w:lineRule="auto"/>
              <w:jc w:val="both"/>
              <w:rPr>
                <w:rFonts w:ascii="Times New Roman" w:eastAsia="Times New Roman" w:hAnsi="Times New Roman" w:cs="Times New Roman"/>
                <w:sz w:val="20"/>
                <w:szCs w:val="20"/>
                <w:lang w:eastAsia="sk-SK"/>
              </w:rPr>
            </w:pPr>
            <w:r w:rsidRPr="00592D3B">
              <w:rPr>
                <w:rFonts w:ascii="Times New Roman" w:eastAsia="Times New Roman" w:hAnsi="Times New Roman" w:cs="Times New Roman"/>
                <w:sz w:val="20"/>
                <w:szCs w:val="20"/>
                <w:lang w:eastAsia="sk-SK"/>
              </w:rPr>
              <w:t>8) § 2 ods. 1 písm. b) nariadenia vlády Slovenskej republiky č. 77/2016 Z. z. o sprístupňovaní rekreačných plavidiel a vodných skútrov na trhu.</w:t>
            </w:r>
          </w:p>
        </w:tc>
        <w:tc>
          <w:tcPr>
            <w:tcW w:w="849" w:type="dxa"/>
            <w:tcBorders>
              <w:top w:val="single" w:sz="4" w:space="0" w:color="auto"/>
              <w:left w:val="single" w:sz="4" w:space="0" w:color="auto"/>
              <w:bottom w:val="single" w:sz="4" w:space="0" w:color="auto"/>
              <w:right w:val="single" w:sz="4" w:space="0" w:color="auto"/>
            </w:tcBorders>
          </w:tcPr>
          <w:p w14:paraId="4F930995" w14:textId="77777777" w:rsidR="00850A3D" w:rsidRDefault="00850A3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lastRenderedPageBreak/>
              <w:t>Ú</w:t>
            </w:r>
          </w:p>
          <w:p w14:paraId="6EC70560"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BD2B0E"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1E4D51"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422A85"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5AC1D31"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BC0D26"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8484FE"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83CF03A"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B625CC"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39A6308"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904C0E"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06E46B" w14:textId="77777777"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68F56B" w14:textId="3EDCFCA5" w:rsidR="00FF0F38"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A7F01C" w14:textId="217591D9" w:rsidR="00FF0F38" w:rsidRPr="0029105C" w:rsidRDefault="00FF0F38"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13B33BA4"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5293C9BD" w14:textId="7D727406" w:rsidR="00850A3D" w:rsidRDefault="00850A3D"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sidRPr="0029105C">
              <w:rPr>
                <w:rFonts w:ascii="Times New Roman" w:eastAsia="Times New Roman" w:hAnsi="Times New Roman" w:cs="Times New Roman"/>
                <w:color w:val="000000" w:themeColor="text1"/>
                <w:sz w:val="20"/>
                <w:szCs w:val="20"/>
                <w:lang w:eastAsia="sk-SK"/>
              </w:rPr>
              <w:t xml:space="preserve">GP </w:t>
            </w:r>
            <w:r w:rsidR="00FF0F38">
              <w:rPr>
                <w:rFonts w:ascii="Times New Roman" w:eastAsia="Times New Roman" w:hAnsi="Times New Roman" w:cs="Times New Roman"/>
                <w:color w:val="000000" w:themeColor="text1"/>
                <w:sz w:val="20"/>
                <w:szCs w:val="20"/>
                <w:lang w:eastAsia="sk-SK"/>
              </w:rPr>
              <w:t>–</w:t>
            </w:r>
            <w:r w:rsidRPr="0029105C">
              <w:rPr>
                <w:rFonts w:ascii="Times New Roman" w:eastAsia="Times New Roman" w:hAnsi="Times New Roman" w:cs="Times New Roman"/>
                <w:color w:val="000000" w:themeColor="text1"/>
                <w:sz w:val="20"/>
                <w:szCs w:val="20"/>
                <w:lang w:eastAsia="sk-SK"/>
              </w:rPr>
              <w:t xml:space="preserve"> N</w:t>
            </w:r>
          </w:p>
          <w:p w14:paraId="07F8985B" w14:textId="77777777" w:rsidR="00FF0F38" w:rsidRDefault="00FF0F38"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BAEE77" w14:textId="77777777" w:rsidR="00FF0F38" w:rsidRDefault="00FF0F38"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56EFFC" w14:textId="77777777" w:rsidR="00FF0F38" w:rsidRDefault="00FF0F38"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F0C2AFB" w14:textId="77777777" w:rsidR="00FF0F38" w:rsidRDefault="00FF0F38"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AA4C34" w14:textId="77777777" w:rsidR="00FF0F38" w:rsidRDefault="00FF0F38"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6A19BB" w14:textId="77777777" w:rsidR="00FF0F38" w:rsidRDefault="00FF0F38"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CDFF617" w14:textId="77777777" w:rsidR="00FF0F38" w:rsidRDefault="00FF0F38"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339584" w14:textId="77777777" w:rsidR="00FF0F38" w:rsidRDefault="00FF0F38"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563AFC" w14:textId="77777777" w:rsidR="00FF0F38" w:rsidRDefault="00FF0F38"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9D90CF" w14:textId="77777777" w:rsidR="00FF0F38" w:rsidRDefault="00FF0F38"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00D7C1B" w14:textId="77777777" w:rsidR="00FF0F38" w:rsidRDefault="00FF0F38"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3F517C" w14:textId="77777777" w:rsidR="00FF0F38" w:rsidRDefault="00FF0F38"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03B168" w14:textId="56AB3E19" w:rsidR="00FF0F38" w:rsidRPr="0029105C" w:rsidRDefault="00FF0F38"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4EB9D0C7" w14:textId="77777777" w:rsidR="00850A3D" w:rsidRPr="0029105C" w:rsidRDefault="00850A3D"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A74321" w:rsidRPr="0029105C" w14:paraId="353DCF55" w14:textId="77777777" w:rsidTr="00402EF0">
        <w:tc>
          <w:tcPr>
            <w:tcW w:w="1005" w:type="dxa"/>
            <w:tcBorders>
              <w:top w:val="single" w:sz="4" w:space="0" w:color="auto"/>
              <w:left w:val="single" w:sz="12" w:space="0" w:color="auto"/>
              <w:bottom w:val="single" w:sz="4" w:space="0" w:color="auto"/>
              <w:right w:val="single" w:sz="4" w:space="0" w:color="auto"/>
            </w:tcBorders>
          </w:tcPr>
          <w:p w14:paraId="5EC0B702" w14:textId="77777777" w:rsidR="00A74321" w:rsidRDefault="00A74321"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 3</w:t>
            </w:r>
          </w:p>
          <w:p w14:paraId="536F2AA8" w14:textId="1E395CE4" w:rsidR="00A74321" w:rsidRDefault="00A74321"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5</w:t>
            </w:r>
          </w:p>
        </w:tc>
        <w:tc>
          <w:tcPr>
            <w:tcW w:w="3421" w:type="dxa"/>
            <w:tcBorders>
              <w:top w:val="single" w:sz="4" w:space="0" w:color="auto"/>
              <w:left w:val="single" w:sz="4" w:space="0" w:color="auto"/>
              <w:bottom w:val="single" w:sz="4" w:space="0" w:color="auto"/>
              <w:right w:val="single" w:sz="4" w:space="0" w:color="auto"/>
            </w:tcBorders>
          </w:tcPr>
          <w:p w14:paraId="58048F9B" w14:textId="77777777" w:rsidR="00A74321" w:rsidRPr="00A74321" w:rsidRDefault="00A74321" w:rsidP="00A74321">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A74321">
              <w:rPr>
                <w:rFonts w:ascii="Times New Roman" w:eastAsia="Times New Roman" w:hAnsi="Times New Roman" w:cs="Times New Roman"/>
                <w:bCs/>
                <w:color w:val="000000" w:themeColor="text1"/>
                <w:sz w:val="20"/>
                <w:szCs w:val="20"/>
                <w:lang w:eastAsia="sk-SK"/>
              </w:rPr>
              <w:t>Článok 9 sa mení takto:</w:t>
            </w:r>
          </w:p>
          <w:p w14:paraId="420618E8" w14:textId="77777777" w:rsidR="00A74321" w:rsidRPr="00A74321" w:rsidRDefault="00A74321" w:rsidP="00A74321">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A74321">
              <w:rPr>
                <w:rFonts w:ascii="Times New Roman" w:eastAsia="Times New Roman" w:hAnsi="Times New Roman" w:cs="Times New Roman"/>
                <w:bCs/>
                <w:color w:val="000000" w:themeColor="text1"/>
                <w:sz w:val="20"/>
                <w:szCs w:val="20"/>
                <w:lang w:eastAsia="sk-SK"/>
              </w:rPr>
              <w:t>a) V odseku 1 sa vypúšťajú písmená g), h), i) a k).</w:t>
            </w:r>
          </w:p>
          <w:p w14:paraId="0FD94F8D" w14:textId="77777777" w:rsidR="00A74321" w:rsidRDefault="00A74321" w:rsidP="00A74321">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A74321">
              <w:rPr>
                <w:rFonts w:ascii="Times New Roman" w:eastAsia="Times New Roman" w:hAnsi="Times New Roman" w:cs="Times New Roman"/>
                <w:bCs/>
                <w:color w:val="000000" w:themeColor="text1"/>
                <w:sz w:val="20"/>
                <w:szCs w:val="20"/>
                <w:lang w:eastAsia="sk-SK"/>
              </w:rPr>
              <w:t>b) Odsek 2 sa vypúšťa.</w:t>
            </w:r>
          </w:p>
          <w:p w14:paraId="6AC44379" w14:textId="4A613FCC" w:rsidR="00A74321" w:rsidRPr="00A74321" w:rsidRDefault="00A74321" w:rsidP="00A74321">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tc>
        <w:tc>
          <w:tcPr>
            <w:tcW w:w="794" w:type="dxa"/>
            <w:tcBorders>
              <w:top w:val="single" w:sz="4" w:space="0" w:color="auto"/>
              <w:left w:val="single" w:sz="4" w:space="0" w:color="auto"/>
              <w:bottom w:val="single" w:sz="4" w:space="0" w:color="auto"/>
              <w:right w:val="single" w:sz="12" w:space="0" w:color="auto"/>
            </w:tcBorders>
          </w:tcPr>
          <w:p w14:paraId="065D6E00" w14:textId="54720FEE" w:rsidR="00A74321" w:rsidRPr="0029105C" w:rsidRDefault="00A74321"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roofErr w:type="spellStart"/>
            <w:r>
              <w:rPr>
                <w:rFonts w:ascii="Times New Roman" w:eastAsia="Times New Roman" w:hAnsi="Times New Roman" w:cs="Times New Roman"/>
                <w:color w:val="000000" w:themeColor="text1"/>
                <w:sz w:val="20"/>
                <w:szCs w:val="20"/>
                <w:lang w:eastAsia="sk-SK"/>
              </w:rPr>
              <w:t>n.a</w:t>
            </w:r>
            <w:proofErr w:type="spellEnd"/>
            <w:r>
              <w:rPr>
                <w:rFonts w:ascii="Times New Roman" w:eastAsia="Times New Roman" w:hAnsi="Times New Roman" w:cs="Times New Roman"/>
                <w:color w:val="000000" w:themeColor="text1"/>
                <w:sz w:val="20"/>
                <w:szCs w:val="20"/>
                <w:lang w:eastAsia="sk-SK"/>
              </w:rPr>
              <w:t>.</w:t>
            </w:r>
          </w:p>
        </w:tc>
        <w:tc>
          <w:tcPr>
            <w:tcW w:w="1080" w:type="dxa"/>
            <w:tcBorders>
              <w:top w:val="single" w:sz="4" w:space="0" w:color="auto"/>
              <w:left w:val="nil"/>
              <w:bottom w:val="single" w:sz="4" w:space="0" w:color="auto"/>
              <w:right w:val="single" w:sz="4" w:space="0" w:color="auto"/>
            </w:tcBorders>
          </w:tcPr>
          <w:p w14:paraId="49519ED6" w14:textId="77777777" w:rsidR="00A74321" w:rsidRDefault="00A74321"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900" w:type="dxa"/>
            <w:tcBorders>
              <w:top w:val="single" w:sz="4" w:space="0" w:color="auto"/>
              <w:left w:val="single" w:sz="4" w:space="0" w:color="auto"/>
              <w:bottom w:val="single" w:sz="4" w:space="0" w:color="auto"/>
              <w:right w:val="single" w:sz="4" w:space="0" w:color="auto"/>
            </w:tcBorders>
          </w:tcPr>
          <w:p w14:paraId="5B47515B" w14:textId="77777777" w:rsidR="00A74321" w:rsidRPr="0029105C" w:rsidRDefault="00A74321"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5A08F330" w14:textId="77777777" w:rsidR="00A74321" w:rsidRPr="00FF0F38" w:rsidRDefault="00A74321" w:rsidP="00FF0F38">
            <w:pPr>
              <w:spacing w:after="0" w:line="240" w:lineRule="auto"/>
              <w:rPr>
                <w:rFonts w:ascii="Times New Roman" w:eastAsia="Times New Roman" w:hAnsi="Times New Roman" w:cs="Times New Roman"/>
                <w:sz w:val="20"/>
                <w:szCs w:val="20"/>
                <w:lang w:eastAsia="sk-SK"/>
              </w:rPr>
            </w:pPr>
          </w:p>
        </w:tc>
        <w:tc>
          <w:tcPr>
            <w:tcW w:w="849" w:type="dxa"/>
            <w:tcBorders>
              <w:top w:val="single" w:sz="4" w:space="0" w:color="auto"/>
              <w:left w:val="single" w:sz="4" w:space="0" w:color="auto"/>
              <w:bottom w:val="single" w:sz="4" w:space="0" w:color="auto"/>
              <w:right w:val="single" w:sz="4" w:space="0" w:color="auto"/>
            </w:tcBorders>
          </w:tcPr>
          <w:p w14:paraId="24665E31" w14:textId="77777777" w:rsidR="00A74321" w:rsidRPr="0029105C" w:rsidRDefault="00A74321"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06384AE8" w14:textId="77777777" w:rsidR="00A74321" w:rsidRPr="00A74321" w:rsidRDefault="00A74321"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389E563C" w14:textId="77777777" w:rsidR="00A74321" w:rsidRPr="0029105C" w:rsidRDefault="00A74321"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2D5F1F3A" w14:textId="77777777" w:rsidR="00A74321" w:rsidRPr="0029105C" w:rsidRDefault="00A74321"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A74321" w:rsidRPr="0029105C" w14:paraId="1E7B4922" w14:textId="77777777" w:rsidTr="00402EF0">
        <w:tc>
          <w:tcPr>
            <w:tcW w:w="1005" w:type="dxa"/>
            <w:tcBorders>
              <w:top w:val="single" w:sz="4" w:space="0" w:color="auto"/>
              <w:left w:val="single" w:sz="12" w:space="0" w:color="auto"/>
              <w:bottom w:val="single" w:sz="4" w:space="0" w:color="auto"/>
              <w:right w:val="single" w:sz="4" w:space="0" w:color="auto"/>
            </w:tcBorders>
          </w:tcPr>
          <w:p w14:paraId="3C86B587" w14:textId="77777777" w:rsidR="00A74321" w:rsidRDefault="00A74321"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 3</w:t>
            </w:r>
          </w:p>
          <w:p w14:paraId="4DD7A031" w14:textId="77A9DD13" w:rsidR="00A74321" w:rsidRDefault="00A74321"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6</w:t>
            </w:r>
          </w:p>
        </w:tc>
        <w:tc>
          <w:tcPr>
            <w:tcW w:w="3421" w:type="dxa"/>
            <w:tcBorders>
              <w:top w:val="single" w:sz="4" w:space="0" w:color="auto"/>
              <w:left w:val="single" w:sz="4" w:space="0" w:color="auto"/>
              <w:bottom w:val="single" w:sz="4" w:space="0" w:color="auto"/>
              <w:right w:val="single" w:sz="4" w:space="0" w:color="auto"/>
            </w:tcBorders>
          </w:tcPr>
          <w:p w14:paraId="64295695" w14:textId="759013B2" w:rsidR="00A74321" w:rsidRPr="00A74321" w:rsidRDefault="00A74321" w:rsidP="00A74321">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A74321">
              <w:rPr>
                <w:rFonts w:ascii="Times New Roman" w:eastAsia="Times New Roman" w:hAnsi="Times New Roman" w:cs="Times New Roman"/>
                <w:bCs/>
                <w:color w:val="000000" w:themeColor="text1"/>
                <w:sz w:val="20"/>
                <w:szCs w:val="20"/>
                <w:lang w:eastAsia="sk-SK"/>
              </w:rPr>
              <w:t>Prílohy I, II, IV a V sa menia v súlade s prílohou II k tejto smernici</w:t>
            </w:r>
          </w:p>
        </w:tc>
        <w:tc>
          <w:tcPr>
            <w:tcW w:w="794" w:type="dxa"/>
            <w:tcBorders>
              <w:top w:val="single" w:sz="4" w:space="0" w:color="auto"/>
              <w:left w:val="single" w:sz="4" w:space="0" w:color="auto"/>
              <w:bottom w:val="single" w:sz="4" w:space="0" w:color="auto"/>
              <w:right w:val="single" w:sz="12" w:space="0" w:color="auto"/>
            </w:tcBorders>
          </w:tcPr>
          <w:p w14:paraId="20EB89B7" w14:textId="22BD1FF4" w:rsidR="00A74321" w:rsidRDefault="00A74321"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roofErr w:type="spellStart"/>
            <w:r>
              <w:rPr>
                <w:rFonts w:ascii="Times New Roman" w:eastAsia="Times New Roman" w:hAnsi="Times New Roman" w:cs="Times New Roman"/>
                <w:color w:val="000000" w:themeColor="text1"/>
                <w:sz w:val="20"/>
                <w:szCs w:val="20"/>
                <w:lang w:eastAsia="sk-SK"/>
              </w:rPr>
              <w:t>n.a</w:t>
            </w:r>
            <w:proofErr w:type="spellEnd"/>
            <w:r>
              <w:rPr>
                <w:rFonts w:ascii="Times New Roman" w:eastAsia="Times New Roman" w:hAnsi="Times New Roman" w:cs="Times New Roman"/>
                <w:color w:val="000000" w:themeColor="text1"/>
                <w:sz w:val="20"/>
                <w:szCs w:val="20"/>
                <w:lang w:eastAsia="sk-SK"/>
              </w:rPr>
              <w:t>.</w:t>
            </w:r>
          </w:p>
        </w:tc>
        <w:tc>
          <w:tcPr>
            <w:tcW w:w="1080" w:type="dxa"/>
            <w:tcBorders>
              <w:top w:val="single" w:sz="4" w:space="0" w:color="auto"/>
              <w:left w:val="nil"/>
              <w:bottom w:val="single" w:sz="4" w:space="0" w:color="auto"/>
              <w:right w:val="single" w:sz="4" w:space="0" w:color="auto"/>
            </w:tcBorders>
          </w:tcPr>
          <w:p w14:paraId="070F076D" w14:textId="77777777" w:rsidR="00A74321" w:rsidRDefault="00A74321"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900" w:type="dxa"/>
            <w:tcBorders>
              <w:top w:val="single" w:sz="4" w:space="0" w:color="auto"/>
              <w:left w:val="single" w:sz="4" w:space="0" w:color="auto"/>
              <w:bottom w:val="single" w:sz="4" w:space="0" w:color="auto"/>
              <w:right w:val="single" w:sz="4" w:space="0" w:color="auto"/>
            </w:tcBorders>
          </w:tcPr>
          <w:p w14:paraId="669CA12F" w14:textId="77777777" w:rsidR="00A74321" w:rsidRPr="0029105C" w:rsidRDefault="00A74321"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21E077F2" w14:textId="77777777" w:rsidR="00A74321" w:rsidRPr="00FF0F38" w:rsidRDefault="00A74321" w:rsidP="00FF0F38">
            <w:pPr>
              <w:spacing w:after="0" w:line="240" w:lineRule="auto"/>
              <w:rPr>
                <w:rFonts w:ascii="Times New Roman" w:eastAsia="Times New Roman" w:hAnsi="Times New Roman" w:cs="Times New Roman"/>
                <w:sz w:val="20"/>
                <w:szCs w:val="20"/>
                <w:lang w:eastAsia="sk-SK"/>
              </w:rPr>
            </w:pPr>
          </w:p>
        </w:tc>
        <w:tc>
          <w:tcPr>
            <w:tcW w:w="849" w:type="dxa"/>
            <w:tcBorders>
              <w:top w:val="single" w:sz="4" w:space="0" w:color="auto"/>
              <w:left w:val="single" w:sz="4" w:space="0" w:color="auto"/>
              <w:bottom w:val="single" w:sz="4" w:space="0" w:color="auto"/>
              <w:right w:val="single" w:sz="4" w:space="0" w:color="auto"/>
            </w:tcBorders>
          </w:tcPr>
          <w:p w14:paraId="3B6639A9" w14:textId="77777777" w:rsidR="00A74321" w:rsidRPr="0029105C" w:rsidRDefault="00A74321"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745FFDB0" w14:textId="1878D1F9" w:rsidR="00A74321" w:rsidRPr="008469F9" w:rsidRDefault="000D2990" w:rsidP="000D2990">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8469F9">
              <w:rPr>
                <w:rFonts w:ascii="Times New Roman" w:eastAsia="Times New Roman" w:hAnsi="Times New Roman" w:cs="Times New Roman"/>
                <w:color w:val="000000" w:themeColor="text1"/>
                <w:sz w:val="20"/>
                <w:szCs w:val="20"/>
                <w:lang w:eastAsia="sk-SK"/>
              </w:rPr>
              <w:t>Zmeny príloh I a II sú uve</w:t>
            </w:r>
            <w:r w:rsidR="008469F9" w:rsidRPr="008469F9">
              <w:rPr>
                <w:rFonts w:ascii="Times New Roman" w:eastAsia="Times New Roman" w:hAnsi="Times New Roman" w:cs="Times New Roman"/>
                <w:color w:val="000000" w:themeColor="text1"/>
                <w:sz w:val="20"/>
                <w:szCs w:val="20"/>
                <w:lang w:eastAsia="sk-SK"/>
              </w:rPr>
              <w:t>dené v</w:t>
            </w:r>
            <w:r w:rsidR="008469F9">
              <w:rPr>
                <w:rFonts w:ascii="Times New Roman" w:eastAsia="Times New Roman" w:hAnsi="Times New Roman" w:cs="Times New Roman"/>
                <w:color w:val="000000" w:themeColor="text1"/>
                <w:sz w:val="20"/>
                <w:szCs w:val="20"/>
                <w:lang w:eastAsia="sk-SK"/>
              </w:rPr>
              <w:t xml:space="preserve"> tabuľke zhody </w:t>
            </w:r>
            <w:r w:rsidR="008469F9" w:rsidRPr="008469F9">
              <w:rPr>
                <w:rFonts w:ascii="Times New Roman" w:eastAsia="Times New Roman" w:hAnsi="Times New Roman" w:cs="Times New Roman"/>
                <w:color w:val="000000" w:themeColor="text1"/>
                <w:sz w:val="20"/>
                <w:szCs w:val="20"/>
                <w:lang w:eastAsia="sk-SK"/>
              </w:rPr>
              <w:t xml:space="preserve"> k príslušným prílohám </w:t>
            </w:r>
            <w:r w:rsidRPr="008469F9">
              <w:rPr>
                <w:rFonts w:ascii="Times New Roman" w:eastAsia="Times New Roman" w:hAnsi="Times New Roman" w:cs="Times New Roman"/>
                <w:color w:val="000000" w:themeColor="text1"/>
                <w:sz w:val="20"/>
                <w:szCs w:val="20"/>
                <w:lang w:eastAsia="sk-SK"/>
              </w:rPr>
              <w:t xml:space="preserve">(príloha II ods. 1 písm. a) až c) a ods. 2 písm. a) až c)). Prílohy IV </w:t>
            </w:r>
            <w:r w:rsidRPr="008469F9">
              <w:rPr>
                <w:rFonts w:ascii="Times New Roman" w:eastAsia="Times New Roman" w:hAnsi="Times New Roman" w:cs="Times New Roman"/>
                <w:color w:val="000000" w:themeColor="text1"/>
                <w:sz w:val="20"/>
                <w:szCs w:val="20"/>
                <w:lang w:eastAsia="sk-SK"/>
              </w:rPr>
              <w:lastRenderedPageBreak/>
              <w:t>a V sa vypúšťajú.</w:t>
            </w:r>
          </w:p>
          <w:p w14:paraId="5BBECB74" w14:textId="499B5567" w:rsidR="008469F9" w:rsidRPr="000D2990" w:rsidRDefault="008469F9" w:rsidP="008469F9">
            <w:pPr>
              <w:autoSpaceDE w:val="0"/>
              <w:autoSpaceDN w:val="0"/>
              <w:spacing w:after="0" w:line="240" w:lineRule="auto"/>
              <w:rPr>
                <w:rFonts w:ascii="Times New Roman" w:eastAsia="Times New Roman" w:hAnsi="Times New Roman" w:cs="Times New Roman"/>
                <w:color w:val="000000" w:themeColor="text1"/>
                <w:sz w:val="20"/>
                <w:szCs w:val="20"/>
                <w:highlight w:val="yellow"/>
                <w:lang w:eastAsia="sk-SK"/>
              </w:rPr>
            </w:pPr>
            <w:r w:rsidRPr="008469F9">
              <w:rPr>
                <w:rFonts w:ascii="Times New Roman" w:eastAsia="Times New Roman" w:hAnsi="Times New Roman" w:cs="Times New Roman"/>
                <w:color w:val="000000" w:themeColor="text1"/>
                <w:sz w:val="20"/>
                <w:szCs w:val="20"/>
                <w:lang w:eastAsia="sk-SK"/>
              </w:rPr>
              <w:t>Bez potreby legislatívnej úpravy vyhlášky č. 251/2023 Z. z</w:t>
            </w:r>
            <w:r>
              <w:rPr>
                <w:rFonts w:ascii="Times New Roman" w:eastAsia="Times New Roman" w:hAnsi="Times New Roman" w:cs="Times New Roman"/>
                <w:color w:val="000000" w:themeColor="text1"/>
                <w:sz w:val="20"/>
                <w:szCs w:val="20"/>
                <w:lang w:eastAsia="sk-SK"/>
              </w:rPr>
              <w:t>.</w:t>
            </w:r>
          </w:p>
        </w:tc>
        <w:tc>
          <w:tcPr>
            <w:tcW w:w="1360" w:type="dxa"/>
            <w:tcBorders>
              <w:top w:val="single" w:sz="4" w:space="0" w:color="auto"/>
              <w:left w:val="single" w:sz="4" w:space="0" w:color="auto"/>
              <w:bottom w:val="single" w:sz="4" w:space="0" w:color="auto"/>
              <w:right w:val="single" w:sz="4" w:space="0" w:color="auto"/>
            </w:tcBorders>
          </w:tcPr>
          <w:p w14:paraId="419010C9" w14:textId="77777777" w:rsidR="00A74321" w:rsidRPr="0029105C" w:rsidRDefault="00A74321"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4EE0BB39" w14:textId="77777777" w:rsidR="00A74321" w:rsidRPr="0029105C" w:rsidRDefault="00A74321"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0F193F" w:rsidRPr="0029105C" w14:paraId="7086A2BD" w14:textId="77777777" w:rsidTr="00402EF0">
        <w:tc>
          <w:tcPr>
            <w:tcW w:w="1005" w:type="dxa"/>
            <w:tcBorders>
              <w:top w:val="single" w:sz="4" w:space="0" w:color="auto"/>
              <w:left w:val="single" w:sz="12" w:space="0" w:color="auto"/>
              <w:bottom w:val="single" w:sz="4" w:space="0" w:color="auto"/>
              <w:right w:val="single" w:sz="4" w:space="0" w:color="auto"/>
            </w:tcBorders>
          </w:tcPr>
          <w:p w14:paraId="3C42C86C" w14:textId="77777777" w:rsidR="000F193F" w:rsidRDefault="000F193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 4</w:t>
            </w:r>
          </w:p>
          <w:p w14:paraId="25523E0F" w14:textId="7CA6C1A2" w:rsidR="000F193F" w:rsidRDefault="000F193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tc>
        <w:tc>
          <w:tcPr>
            <w:tcW w:w="3421" w:type="dxa"/>
            <w:tcBorders>
              <w:top w:val="single" w:sz="4" w:space="0" w:color="auto"/>
              <w:left w:val="single" w:sz="4" w:space="0" w:color="auto"/>
              <w:bottom w:val="single" w:sz="4" w:space="0" w:color="auto"/>
              <w:right w:val="single" w:sz="4" w:space="0" w:color="auto"/>
            </w:tcBorders>
          </w:tcPr>
          <w:p w14:paraId="31BE7F87" w14:textId="77777777" w:rsidR="000F193F" w:rsidRPr="000F193F"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Článok 4</w:t>
            </w:r>
          </w:p>
          <w:p w14:paraId="59331B9B" w14:textId="742F25F9" w:rsidR="000F193F"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Prechodné ustanovenia</w:t>
            </w:r>
          </w:p>
          <w:p w14:paraId="6A54F448" w14:textId="4C8D062F" w:rsidR="000F193F" w:rsidRPr="000F193F"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 xml:space="preserve">1. </w:t>
            </w:r>
            <w:r w:rsidRPr="000F193F">
              <w:rPr>
                <w:rFonts w:ascii="Times New Roman" w:eastAsia="Times New Roman" w:hAnsi="Times New Roman" w:cs="Times New Roman"/>
                <w:bCs/>
                <w:color w:val="000000" w:themeColor="text1"/>
                <w:sz w:val="20"/>
                <w:szCs w:val="20"/>
                <w:lang w:eastAsia="sk-SK"/>
              </w:rPr>
              <w:t xml:space="preserve">Členské štáty zabezpečia, aby sa údaje získané a nahlásené orgánu, ktorý určil členský štát za rok 2023 alebo jeho časť </w:t>
            </w:r>
          </w:p>
          <w:p w14:paraId="582C5E8C" w14:textId="77777777" w:rsidR="000F193F" w:rsidRPr="000F193F"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 xml:space="preserve">v súlade s článkom 7a ods. 1 tretím </w:t>
            </w:r>
            <w:proofErr w:type="spellStart"/>
            <w:r w:rsidRPr="000F193F">
              <w:rPr>
                <w:rFonts w:ascii="Times New Roman" w:eastAsia="Times New Roman" w:hAnsi="Times New Roman" w:cs="Times New Roman"/>
                <w:bCs/>
                <w:color w:val="000000" w:themeColor="text1"/>
                <w:sz w:val="20"/>
                <w:szCs w:val="20"/>
                <w:lang w:eastAsia="sk-SK"/>
              </w:rPr>
              <w:t>pododsekom</w:t>
            </w:r>
            <w:proofErr w:type="spellEnd"/>
            <w:r w:rsidRPr="000F193F">
              <w:rPr>
                <w:rFonts w:ascii="Times New Roman" w:eastAsia="Times New Roman" w:hAnsi="Times New Roman" w:cs="Times New Roman"/>
                <w:bCs/>
                <w:color w:val="000000" w:themeColor="text1"/>
                <w:sz w:val="20"/>
                <w:szCs w:val="20"/>
                <w:lang w:eastAsia="sk-SK"/>
              </w:rPr>
              <w:t xml:space="preserve"> a článkom 7a ods. 7 smernice 98/70/ES, ktoré sa zrušujú článkom 3 </w:t>
            </w:r>
          </w:p>
          <w:p w14:paraId="5F237C72" w14:textId="39340C62" w:rsidR="000F193F" w:rsidRPr="00A74321"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bodom 4 tejto smernice, predložili Komisii.</w:t>
            </w:r>
          </w:p>
        </w:tc>
        <w:tc>
          <w:tcPr>
            <w:tcW w:w="794" w:type="dxa"/>
            <w:tcBorders>
              <w:top w:val="single" w:sz="4" w:space="0" w:color="auto"/>
              <w:left w:val="single" w:sz="4" w:space="0" w:color="auto"/>
              <w:bottom w:val="single" w:sz="4" w:space="0" w:color="auto"/>
              <w:right w:val="single" w:sz="12" w:space="0" w:color="auto"/>
            </w:tcBorders>
          </w:tcPr>
          <w:p w14:paraId="6F6A07B0" w14:textId="105ABB62" w:rsidR="000F193F" w:rsidRDefault="00EB7A4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1B7B6C9D" w14:textId="77777777" w:rsidR="00F6714D" w:rsidRDefault="00F6714D" w:rsidP="00EB7A46">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2.</w:t>
            </w:r>
          </w:p>
          <w:p w14:paraId="1E78120A" w14:textId="77777777" w:rsidR="00F6714D" w:rsidRDefault="00F6714D" w:rsidP="00EB7A46">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FF02F2" w14:textId="77777777" w:rsidR="00F6714D" w:rsidRDefault="00F6714D" w:rsidP="00EB7A46">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1560E97" w14:textId="77777777" w:rsidR="00F6714D" w:rsidRDefault="00F6714D" w:rsidP="00EB7A46">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B5E8D1" w14:textId="0B20B896" w:rsidR="00EB7A46" w:rsidRDefault="00EB7A46" w:rsidP="00EB7A46">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Vyhláška č. 271/2011</w:t>
            </w:r>
          </w:p>
        </w:tc>
        <w:tc>
          <w:tcPr>
            <w:tcW w:w="900" w:type="dxa"/>
            <w:tcBorders>
              <w:top w:val="single" w:sz="4" w:space="0" w:color="auto"/>
              <w:left w:val="single" w:sz="4" w:space="0" w:color="auto"/>
              <w:bottom w:val="single" w:sz="4" w:space="0" w:color="auto"/>
              <w:right w:val="single" w:sz="4" w:space="0" w:color="auto"/>
            </w:tcBorders>
          </w:tcPr>
          <w:p w14:paraId="763EC387" w14:textId="2E039328" w:rsidR="00F6714D" w:rsidRDefault="00F6714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14ea</w:t>
            </w:r>
          </w:p>
          <w:p w14:paraId="5A313242" w14:textId="2D68DDD1" w:rsidR="00F6714D" w:rsidRDefault="00F6714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g)</w:t>
            </w:r>
          </w:p>
          <w:p w14:paraId="0FB2C66E" w14:textId="77777777" w:rsidR="00F6714D" w:rsidRDefault="00F6714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70E605" w14:textId="77777777" w:rsidR="00F6714D" w:rsidRDefault="00F6714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F9BE38" w14:textId="77777777" w:rsidR="00EB7A46" w:rsidRDefault="00EB7A46"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10a</w:t>
            </w:r>
          </w:p>
          <w:p w14:paraId="4AB179C2" w14:textId="0EF19E3C" w:rsidR="00F6714D" w:rsidRPr="0029105C" w:rsidRDefault="00F6714D"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tc>
        <w:tc>
          <w:tcPr>
            <w:tcW w:w="4540" w:type="dxa"/>
            <w:tcBorders>
              <w:top w:val="single" w:sz="4" w:space="0" w:color="auto"/>
              <w:left w:val="single" w:sz="4" w:space="0" w:color="auto"/>
              <w:bottom w:val="single" w:sz="4" w:space="0" w:color="auto"/>
              <w:right w:val="single" w:sz="4" w:space="0" w:color="auto"/>
            </w:tcBorders>
          </w:tcPr>
          <w:p w14:paraId="7A0B836E" w14:textId="5C8E6451" w:rsidR="00F6714D" w:rsidRDefault="00F6714D" w:rsidP="00EB7A46">
            <w:pPr>
              <w:spacing w:after="0" w:line="240" w:lineRule="auto"/>
              <w:rPr>
                <w:rFonts w:ascii="Times New Roman" w:eastAsia="Times New Roman" w:hAnsi="Times New Roman" w:cs="Times New Roman"/>
                <w:sz w:val="20"/>
                <w:szCs w:val="20"/>
                <w:lang w:eastAsia="sk-SK"/>
              </w:rPr>
            </w:pPr>
            <w:r w:rsidRPr="00F6714D">
              <w:rPr>
                <w:rFonts w:ascii="Times New Roman" w:eastAsia="Times New Roman" w:hAnsi="Times New Roman" w:cs="Times New Roman"/>
                <w:sz w:val="20"/>
                <w:szCs w:val="20"/>
                <w:lang w:eastAsia="sk-SK"/>
              </w:rPr>
              <w:t>Slovenský hydrometeorologický ústav</w:t>
            </w:r>
          </w:p>
          <w:p w14:paraId="5DAB4BF2" w14:textId="7B258E04" w:rsidR="00F6714D" w:rsidRDefault="00F6714D" w:rsidP="00F6714D">
            <w:pPr>
              <w:spacing w:after="0" w:line="240" w:lineRule="auto"/>
              <w:rPr>
                <w:rFonts w:ascii="Times New Roman" w:eastAsia="Times New Roman" w:hAnsi="Times New Roman" w:cs="Times New Roman"/>
                <w:sz w:val="20"/>
                <w:szCs w:val="20"/>
                <w:highlight w:val="yellow"/>
                <w:lang w:eastAsia="sk-SK"/>
              </w:rPr>
            </w:pPr>
            <w:r w:rsidRPr="00F6714D">
              <w:rPr>
                <w:rFonts w:ascii="Times New Roman" w:eastAsia="Times New Roman" w:hAnsi="Times New Roman" w:cs="Times New Roman"/>
                <w:sz w:val="20"/>
                <w:szCs w:val="20"/>
                <w:lang w:eastAsia="sk-SK"/>
              </w:rPr>
              <w:t>g)</w:t>
            </w:r>
            <w:r>
              <w:rPr>
                <w:rFonts w:ascii="Times New Roman" w:eastAsia="Times New Roman" w:hAnsi="Times New Roman" w:cs="Times New Roman"/>
                <w:sz w:val="20"/>
                <w:szCs w:val="20"/>
                <w:lang w:eastAsia="sk-SK"/>
              </w:rPr>
              <w:t xml:space="preserve"> </w:t>
            </w:r>
            <w:r w:rsidRPr="00F6714D">
              <w:rPr>
                <w:rFonts w:ascii="Times New Roman" w:eastAsia="Times New Roman" w:hAnsi="Times New Roman" w:cs="Times New Roman"/>
                <w:sz w:val="20"/>
                <w:szCs w:val="20"/>
                <w:lang w:eastAsia="sk-SK"/>
              </w:rPr>
              <w:t>oznamuje Európskej komisii údaje o pohonných látkach a dodanej energii,</w:t>
            </w:r>
          </w:p>
          <w:p w14:paraId="62FDDA81" w14:textId="77777777" w:rsidR="00F6714D" w:rsidRDefault="00F6714D" w:rsidP="00EB7A46">
            <w:pPr>
              <w:spacing w:after="0" w:line="240" w:lineRule="auto"/>
              <w:rPr>
                <w:rFonts w:ascii="Times New Roman" w:eastAsia="Times New Roman" w:hAnsi="Times New Roman" w:cs="Times New Roman"/>
                <w:sz w:val="20"/>
                <w:szCs w:val="20"/>
                <w:highlight w:val="yellow"/>
                <w:lang w:eastAsia="sk-SK"/>
              </w:rPr>
            </w:pPr>
          </w:p>
          <w:p w14:paraId="36ECB2CF" w14:textId="26BE0621" w:rsidR="00EB7A46" w:rsidRPr="00F6714D" w:rsidRDefault="00EB7A46" w:rsidP="00EB7A46">
            <w:pPr>
              <w:spacing w:after="0" w:line="240" w:lineRule="auto"/>
              <w:rPr>
                <w:rFonts w:ascii="Times New Roman" w:eastAsia="Times New Roman" w:hAnsi="Times New Roman" w:cs="Times New Roman"/>
                <w:sz w:val="20"/>
                <w:szCs w:val="20"/>
                <w:lang w:eastAsia="sk-SK"/>
              </w:rPr>
            </w:pPr>
            <w:r w:rsidRPr="00F6714D">
              <w:rPr>
                <w:rFonts w:ascii="Times New Roman" w:eastAsia="Times New Roman" w:hAnsi="Times New Roman" w:cs="Times New Roman"/>
                <w:sz w:val="20"/>
                <w:szCs w:val="20"/>
                <w:lang w:eastAsia="sk-SK"/>
              </w:rPr>
              <w:t>§ 10a Správy predkladané Slovenskou republikou Európskej komisii</w:t>
            </w:r>
          </w:p>
          <w:p w14:paraId="1598ED88" w14:textId="3A113C31" w:rsidR="00EB7A46" w:rsidRPr="00EB7A46" w:rsidRDefault="00EB7A46" w:rsidP="00F6714D">
            <w:pPr>
              <w:spacing w:after="0" w:line="240" w:lineRule="auto"/>
              <w:rPr>
                <w:rFonts w:ascii="Times New Roman" w:eastAsia="Times New Roman" w:hAnsi="Times New Roman" w:cs="Times New Roman"/>
                <w:sz w:val="20"/>
                <w:szCs w:val="20"/>
                <w:highlight w:val="yellow"/>
                <w:lang w:eastAsia="sk-SK"/>
              </w:rPr>
            </w:pPr>
            <w:r w:rsidRPr="00F6714D">
              <w:rPr>
                <w:rFonts w:ascii="Times New Roman" w:eastAsia="Times New Roman" w:hAnsi="Times New Roman" w:cs="Times New Roman"/>
                <w:sz w:val="20"/>
                <w:szCs w:val="20"/>
                <w:lang w:eastAsia="sk-SK"/>
              </w:rPr>
              <w:t xml:space="preserve">(1) Údaje podľa odsekov 2 a 3 sa oznamujú Európskej komisii každoročne do 31. augusta. Tieto údaje sa oznamujú za všetky pohonné látky a dodanú energiu uvedené na trh. Ak sa s pohonnými látkami inými ako </w:t>
            </w:r>
            <w:proofErr w:type="spellStart"/>
            <w:r w:rsidRPr="00F6714D">
              <w:rPr>
                <w:rFonts w:ascii="Times New Roman" w:eastAsia="Times New Roman" w:hAnsi="Times New Roman" w:cs="Times New Roman"/>
                <w:sz w:val="20"/>
                <w:szCs w:val="20"/>
                <w:lang w:eastAsia="sk-SK"/>
              </w:rPr>
              <w:t>biopalivo</w:t>
            </w:r>
            <w:proofErr w:type="spellEnd"/>
            <w:r w:rsidRPr="00F6714D">
              <w:rPr>
                <w:rFonts w:ascii="Times New Roman" w:eastAsia="Times New Roman" w:hAnsi="Times New Roman" w:cs="Times New Roman"/>
                <w:sz w:val="20"/>
                <w:szCs w:val="20"/>
                <w:lang w:eastAsia="sk-SK"/>
              </w:rPr>
              <w:t xml:space="preserve"> zmiešavajú rôzne druhy biopalív alebo biopalivá s rozdielnymi vlastnosťami trvalej udržateľnosti, predklada</w:t>
            </w:r>
            <w:r w:rsidR="00F6714D" w:rsidRPr="00F6714D">
              <w:rPr>
                <w:rFonts w:ascii="Times New Roman" w:eastAsia="Times New Roman" w:hAnsi="Times New Roman" w:cs="Times New Roman"/>
                <w:sz w:val="20"/>
                <w:szCs w:val="20"/>
                <w:lang w:eastAsia="sk-SK"/>
              </w:rPr>
              <w:t xml:space="preserve">jú sa údaje za každé </w:t>
            </w:r>
            <w:proofErr w:type="spellStart"/>
            <w:r w:rsidR="00F6714D" w:rsidRPr="00F6714D">
              <w:rPr>
                <w:rFonts w:ascii="Times New Roman" w:eastAsia="Times New Roman" w:hAnsi="Times New Roman" w:cs="Times New Roman"/>
                <w:sz w:val="20"/>
                <w:szCs w:val="20"/>
                <w:lang w:eastAsia="sk-SK"/>
              </w:rPr>
              <w:t>biopalivo</w:t>
            </w:r>
            <w:proofErr w:type="spellEnd"/>
            <w:r w:rsidR="00F6714D" w:rsidRPr="00F6714D">
              <w:rPr>
                <w:rFonts w:ascii="Times New Roman" w:eastAsia="Times New Roman" w:hAnsi="Times New Roman" w:cs="Times New Roman"/>
                <w:sz w:val="20"/>
                <w:szCs w:val="20"/>
                <w:lang w:eastAsia="sk-SK"/>
              </w:rPr>
              <w:t>.</w:t>
            </w:r>
          </w:p>
        </w:tc>
        <w:tc>
          <w:tcPr>
            <w:tcW w:w="849" w:type="dxa"/>
            <w:tcBorders>
              <w:top w:val="single" w:sz="4" w:space="0" w:color="auto"/>
              <w:left w:val="single" w:sz="4" w:space="0" w:color="auto"/>
              <w:bottom w:val="single" w:sz="4" w:space="0" w:color="auto"/>
              <w:right w:val="single" w:sz="4" w:space="0" w:color="auto"/>
            </w:tcBorders>
          </w:tcPr>
          <w:p w14:paraId="26DD3D05" w14:textId="3B452444" w:rsidR="000F193F" w:rsidRPr="0029105C" w:rsidRDefault="00886600"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Ú</w:t>
            </w:r>
          </w:p>
        </w:tc>
        <w:tc>
          <w:tcPr>
            <w:tcW w:w="1360" w:type="dxa"/>
            <w:tcBorders>
              <w:top w:val="single" w:sz="4" w:space="0" w:color="auto"/>
              <w:left w:val="single" w:sz="4" w:space="0" w:color="auto"/>
              <w:bottom w:val="single" w:sz="4" w:space="0" w:color="auto"/>
              <w:right w:val="single" w:sz="4" w:space="0" w:color="auto"/>
            </w:tcBorders>
          </w:tcPr>
          <w:p w14:paraId="107AAEA7" w14:textId="77777777" w:rsidR="000F193F" w:rsidRPr="00A74321" w:rsidRDefault="000F193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4D8AFB3C" w14:textId="24F5A1CF" w:rsidR="000F193F" w:rsidRPr="0029105C" w:rsidRDefault="00886600"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67D4F9F9" w14:textId="77777777" w:rsidR="000F193F" w:rsidRPr="0029105C" w:rsidRDefault="000F193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0F193F" w:rsidRPr="0029105C" w14:paraId="73A5808C" w14:textId="77777777" w:rsidTr="00402EF0">
        <w:tc>
          <w:tcPr>
            <w:tcW w:w="1005" w:type="dxa"/>
            <w:tcBorders>
              <w:top w:val="single" w:sz="4" w:space="0" w:color="auto"/>
              <w:left w:val="single" w:sz="12" w:space="0" w:color="auto"/>
              <w:bottom w:val="single" w:sz="4" w:space="0" w:color="auto"/>
              <w:right w:val="single" w:sz="4" w:space="0" w:color="auto"/>
            </w:tcBorders>
          </w:tcPr>
          <w:p w14:paraId="11A989DD" w14:textId="77777777" w:rsidR="000F193F" w:rsidRDefault="000F193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 4</w:t>
            </w:r>
          </w:p>
          <w:p w14:paraId="2757811D" w14:textId="0F4B7618" w:rsidR="000F193F" w:rsidRDefault="000F193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tc>
        <w:tc>
          <w:tcPr>
            <w:tcW w:w="3421" w:type="dxa"/>
            <w:tcBorders>
              <w:top w:val="single" w:sz="4" w:space="0" w:color="auto"/>
              <w:left w:val="single" w:sz="4" w:space="0" w:color="auto"/>
              <w:bottom w:val="single" w:sz="4" w:space="0" w:color="auto"/>
              <w:right w:val="single" w:sz="4" w:space="0" w:color="auto"/>
            </w:tcBorders>
          </w:tcPr>
          <w:p w14:paraId="6300F3F3" w14:textId="1F4FB930" w:rsidR="000F193F" w:rsidRPr="00A74321" w:rsidRDefault="000F193F" w:rsidP="00A74321">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2. Komisia zahrnie údaje uvedené v odseku 1 tohto článku do všetkých správ, ktoré má povinnosť predložiť podľa smernice 98/70/ES.</w:t>
            </w:r>
          </w:p>
        </w:tc>
        <w:tc>
          <w:tcPr>
            <w:tcW w:w="794" w:type="dxa"/>
            <w:tcBorders>
              <w:top w:val="single" w:sz="4" w:space="0" w:color="auto"/>
              <w:left w:val="single" w:sz="4" w:space="0" w:color="auto"/>
              <w:bottom w:val="single" w:sz="4" w:space="0" w:color="auto"/>
              <w:right w:val="single" w:sz="12" w:space="0" w:color="auto"/>
            </w:tcBorders>
          </w:tcPr>
          <w:p w14:paraId="369B96E2" w14:textId="55BA34E8" w:rsidR="000F193F" w:rsidRDefault="000F193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roofErr w:type="spellStart"/>
            <w:r>
              <w:rPr>
                <w:rFonts w:ascii="Times New Roman" w:eastAsia="Times New Roman" w:hAnsi="Times New Roman" w:cs="Times New Roman"/>
                <w:color w:val="000000" w:themeColor="text1"/>
                <w:sz w:val="20"/>
                <w:szCs w:val="20"/>
                <w:lang w:eastAsia="sk-SK"/>
              </w:rPr>
              <w:t>n.a</w:t>
            </w:r>
            <w:proofErr w:type="spellEnd"/>
            <w:r>
              <w:rPr>
                <w:rFonts w:ascii="Times New Roman" w:eastAsia="Times New Roman" w:hAnsi="Times New Roman" w:cs="Times New Roman"/>
                <w:color w:val="000000" w:themeColor="text1"/>
                <w:sz w:val="20"/>
                <w:szCs w:val="20"/>
                <w:lang w:eastAsia="sk-SK"/>
              </w:rPr>
              <w:t>.</w:t>
            </w:r>
          </w:p>
        </w:tc>
        <w:tc>
          <w:tcPr>
            <w:tcW w:w="1080" w:type="dxa"/>
            <w:tcBorders>
              <w:top w:val="single" w:sz="4" w:space="0" w:color="auto"/>
              <w:left w:val="nil"/>
              <w:bottom w:val="single" w:sz="4" w:space="0" w:color="auto"/>
              <w:right w:val="single" w:sz="4" w:space="0" w:color="auto"/>
            </w:tcBorders>
          </w:tcPr>
          <w:p w14:paraId="09F81B45" w14:textId="77777777" w:rsidR="000F193F" w:rsidRDefault="000F193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900" w:type="dxa"/>
            <w:tcBorders>
              <w:top w:val="single" w:sz="4" w:space="0" w:color="auto"/>
              <w:left w:val="single" w:sz="4" w:space="0" w:color="auto"/>
              <w:bottom w:val="single" w:sz="4" w:space="0" w:color="auto"/>
              <w:right w:val="single" w:sz="4" w:space="0" w:color="auto"/>
            </w:tcBorders>
          </w:tcPr>
          <w:p w14:paraId="0E3ADE44" w14:textId="77777777" w:rsidR="000F193F" w:rsidRPr="0029105C" w:rsidRDefault="000F193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036D9306" w14:textId="77777777" w:rsidR="000F193F" w:rsidRPr="00FF0F38" w:rsidRDefault="000F193F" w:rsidP="00FF0F38">
            <w:pPr>
              <w:spacing w:after="0" w:line="240" w:lineRule="auto"/>
              <w:rPr>
                <w:rFonts w:ascii="Times New Roman" w:eastAsia="Times New Roman" w:hAnsi="Times New Roman" w:cs="Times New Roman"/>
                <w:sz w:val="20"/>
                <w:szCs w:val="20"/>
                <w:lang w:eastAsia="sk-SK"/>
              </w:rPr>
            </w:pPr>
          </w:p>
        </w:tc>
        <w:tc>
          <w:tcPr>
            <w:tcW w:w="849" w:type="dxa"/>
            <w:tcBorders>
              <w:top w:val="single" w:sz="4" w:space="0" w:color="auto"/>
              <w:left w:val="single" w:sz="4" w:space="0" w:color="auto"/>
              <w:bottom w:val="single" w:sz="4" w:space="0" w:color="auto"/>
              <w:right w:val="single" w:sz="4" w:space="0" w:color="auto"/>
            </w:tcBorders>
          </w:tcPr>
          <w:p w14:paraId="1DAE0920" w14:textId="77777777" w:rsidR="000F193F" w:rsidRPr="0029105C" w:rsidRDefault="000F193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38A0D017" w14:textId="77777777" w:rsidR="000F193F" w:rsidRPr="00A74321" w:rsidRDefault="000F193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0C5BD66E" w14:textId="77777777" w:rsidR="000F193F" w:rsidRPr="0029105C" w:rsidRDefault="000F193F"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3A3DE5CB" w14:textId="77777777" w:rsidR="000F193F" w:rsidRPr="0029105C" w:rsidRDefault="000F193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0F193F" w:rsidRPr="0029105C" w14:paraId="62C915FF" w14:textId="77777777" w:rsidTr="00402EF0">
        <w:tc>
          <w:tcPr>
            <w:tcW w:w="1005" w:type="dxa"/>
            <w:tcBorders>
              <w:top w:val="single" w:sz="4" w:space="0" w:color="auto"/>
              <w:left w:val="single" w:sz="12" w:space="0" w:color="auto"/>
              <w:bottom w:val="single" w:sz="4" w:space="0" w:color="auto"/>
              <w:right w:val="single" w:sz="4" w:space="0" w:color="auto"/>
            </w:tcBorders>
          </w:tcPr>
          <w:p w14:paraId="65A332AD" w14:textId="77777777" w:rsidR="000F193F" w:rsidRDefault="000F193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 5</w:t>
            </w:r>
          </w:p>
          <w:p w14:paraId="1EBAA474" w14:textId="2E2B3F5A" w:rsidR="000F193F" w:rsidRDefault="000F193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tc>
        <w:tc>
          <w:tcPr>
            <w:tcW w:w="3421" w:type="dxa"/>
            <w:tcBorders>
              <w:top w:val="single" w:sz="4" w:space="0" w:color="auto"/>
              <w:left w:val="single" w:sz="4" w:space="0" w:color="auto"/>
              <w:bottom w:val="single" w:sz="4" w:space="0" w:color="auto"/>
              <w:right w:val="single" w:sz="4" w:space="0" w:color="auto"/>
            </w:tcBorders>
          </w:tcPr>
          <w:p w14:paraId="1804DEA1" w14:textId="77777777" w:rsidR="000F193F" w:rsidRPr="000F193F"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Článok 5</w:t>
            </w:r>
          </w:p>
          <w:p w14:paraId="0DDD7F23" w14:textId="77777777" w:rsidR="000F193F" w:rsidRPr="000F193F"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Transpozícia</w:t>
            </w:r>
          </w:p>
          <w:p w14:paraId="0563217C" w14:textId="77777777" w:rsidR="000F193F" w:rsidRPr="000F193F"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1. Členské štáty uvedú do účinnosti zákony, iné právne predpisy a správne opatrenia potrebné na dosiahnutie súladu s touto smernicou do 21. mája 2025.</w:t>
            </w:r>
          </w:p>
          <w:p w14:paraId="47083543" w14:textId="77777777" w:rsidR="000F193F" w:rsidRPr="000F193F"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 xml:space="preserve">Odchylne od prvého </w:t>
            </w:r>
            <w:proofErr w:type="spellStart"/>
            <w:r w:rsidRPr="000F193F">
              <w:rPr>
                <w:rFonts w:ascii="Times New Roman" w:eastAsia="Times New Roman" w:hAnsi="Times New Roman" w:cs="Times New Roman"/>
                <w:bCs/>
                <w:color w:val="000000" w:themeColor="text1"/>
                <w:sz w:val="20"/>
                <w:szCs w:val="20"/>
                <w:lang w:eastAsia="sk-SK"/>
              </w:rPr>
              <w:t>pododseku</w:t>
            </w:r>
            <w:proofErr w:type="spellEnd"/>
            <w:r w:rsidRPr="000F193F">
              <w:rPr>
                <w:rFonts w:ascii="Times New Roman" w:eastAsia="Times New Roman" w:hAnsi="Times New Roman" w:cs="Times New Roman"/>
                <w:bCs/>
                <w:color w:val="000000" w:themeColor="text1"/>
                <w:sz w:val="20"/>
                <w:szCs w:val="20"/>
                <w:lang w:eastAsia="sk-SK"/>
              </w:rPr>
              <w:t xml:space="preserve"> tohto odseku členské štáty uvedú do účinnosti zákony, iné právne predpisy a správne opatrenia potrebné na dosiahnutie súladu s článkom 1 bodom 6, pokiaľ ide o článok 15e smernice (EÚ) 2018/2001, a článkom 1 bodom 7, pokiaľ ide o články 16, 16b, 16c, 16d, 16e a 16f uvedenej smernice, a to do 1. júla 2024.</w:t>
            </w:r>
          </w:p>
          <w:p w14:paraId="20F0336B" w14:textId="77777777" w:rsidR="000F193F" w:rsidRPr="000F193F"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lastRenderedPageBreak/>
              <w:t>Bezodkladne o uvedených opatreniach informujú Komisiu.</w:t>
            </w:r>
          </w:p>
          <w:p w14:paraId="39F14ED0" w14:textId="079AC47D" w:rsidR="000F193F"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57709399" w14:textId="14DB4A86" w:rsidR="002342BF" w:rsidRDefault="002342B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3BC6A669" w14:textId="77777777" w:rsidR="002342BF" w:rsidRPr="000F193F" w:rsidRDefault="002342B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7943AFAF" w14:textId="79694B37" w:rsidR="000F193F" w:rsidRPr="000F193F" w:rsidRDefault="000F193F" w:rsidP="000F193F">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Členské štáty uvedú priamo v prijatých opatreniach alebo pri ich úradnom uverejnení odkaz na túto smernicu. Podrobnosti o odkaze upravia členské štáty.</w:t>
            </w:r>
          </w:p>
        </w:tc>
        <w:tc>
          <w:tcPr>
            <w:tcW w:w="794" w:type="dxa"/>
            <w:tcBorders>
              <w:top w:val="single" w:sz="4" w:space="0" w:color="auto"/>
              <w:left w:val="single" w:sz="4" w:space="0" w:color="auto"/>
              <w:bottom w:val="single" w:sz="4" w:space="0" w:color="auto"/>
              <w:right w:val="single" w:sz="12" w:space="0" w:color="auto"/>
            </w:tcBorders>
          </w:tcPr>
          <w:p w14:paraId="34B7B999" w14:textId="71886A2E" w:rsidR="000F193F" w:rsidRDefault="0005370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w:t>
            </w:r>
          </w:p>
        </w:tc>
        <w:tc>
          <w:tcPr>
            <w:tcW w:w="1080" w:type="dxa"/>
            <w:tcBorders>
              <w:top w:val="single" w:sz="4" w:space="0" w:color="auto"/>
              <w:left w:val="nil"/>
              <w:bottom w:val="single" w:sz="4" w:space="0" w:color="auto"/>
              <w:right w:val="single" w:sz="4" w:space="0" w:color="auto"/>
            </w:tcBorders>
          </w:tcPr>
          <w:p w14:paraId="25B4DD23" w14:textId="77777777" w:rsidR="000F193F" w:rsidRDefault="00053703"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Zákon č. 575/2001</w:t>
            </w:r>
          </w:p>
          <w:p w14:paraId="2461226B" w14:textId="77777777" w:rsidR="0035168A" w:rsidRDefault="0035168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D4EA050" w14:textId="77777777" w:rsidR="0035168A" w:rsidRDefault="0035168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55FC42" w14:textId="77777777" w:rsidR="0035168A" w:rsidRDefault="0035168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3758148" w14:textId="77777777" w:rsidR="0035168A" w:rsidRDefault="0035168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633252" w14:textId="77777777" w:rsidR="0035168A" w:rsidRDefault="0035168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F723B21" w14:textId="77777777" w:rsidR="0035168A" w:rsidRDefault="0035168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C6FF7D" w14:textId="36B4CB52" w:rsidR="0035168A" w:rsidRDefault="002342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w:t>
            </w:r>
          </w:p>
          <w:p w14:paraId="5F399270" w14:textId="77777777" w:rsidR="0035168A" w:rsidRDefault="0035168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0CB87BD" w14:textId="77777777" w:rsidR="0035168A" w:rsidRDefault="0035168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C1F5F1" w14:textId="77777777" w:rsidR="0035168A" w:rsidRDefault="0035168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075701" w14:textId="77777777" w:rsidR="0035168A" w:rsidRDefault="0035168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548D14" w14:textId="6EF74F37" w:rsidR="0035168A" w:rsidRDefault="0035168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A6F502" w14:textId="4012034D" w:rsidR="002342BF" w:rsidRDefault="002342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E1575F2" w14:textId="685A77A3" w:rsidR="002342BF" w:rsidRDefault="002342B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ADAABB" w14:textId="77777777" w:rsidR="0035168A" w:rsidRDefault="0035168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619C4B1" w14:textId="77777777" w:rsidR="0035168A" w:rsidRDefault="0035168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EBA4A8" w14:textId="77777777" w:rsidR="0035168A" w:rsidRDefault="0035168A"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A75247" w14:textId="68CA42EF" w:rsidR="0035168A" w:rsidRDefault="00E8279C" w:rsidP="0035168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2.</w:t>
            </w:r>
          </w:p>
          <w:p w14:paraId="438879F0" w14:textId="7856FF8C" w:rsidR="00E8279C" w:rsidRDefault="00E8279C" w:rsidP="0035168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969F69" w14:textId="77777777" w:rsidR="00E8279C" w:rsidRDefault="00E8279C" w:rsidP="0035168A">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40C3F0" w14:textId="6348BBBC" w:rsidR="00E8279C" w:rsidRDefault="00E8279C"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1.</w:t>
            </w:r>
          </w:p>
          <w:p w14:paraId="1F1083B4" w14:textId="796E5B3A" w:rsidR="00E8279C" w:rsidRDefault="00E8279C"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AEC957" w14:textId="77777777" w:rsidR="00E8279C" w:rsidRDefault="00E8279C"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813E406" w14:textId="0F114571" w:rsidR="00E8279C" w:rsidRDefault="00E8279C"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309/2009</w:t>
            </w:r>
          </w:p>
          <w:p w14:paraId="5F66D3FE" w14:textId="1385F29D" w:rsidR="00E8279C" w:rsidRDefault="00E8279C"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B92F61" w14:textId="1F5B5483" w:rsidR="00C72479" w:rsidRDefault="00C72479"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C5E8E1" w14:textId="0D0F2BC1" w:rsidR="00C72479" w:rsidRDefault="00C72479"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0E4BB4" w14:textId="317B01E6" w:rsidR="00C72479" w:rsidRDefault="00C72479"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048F4C" w14:textId="64FA4008" w:rsidR="00C72479" w:rsidRDefault="00C72479"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25CF26" w14:textId="1988DBB8" w:rsidR="00C72479" w:rsidRDefault="00C72479"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61DF70" w14:textId="77777777" w:rsidR="00C72479" w:rsidRDefault="00C72479"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F449B4" w14:textId="6AC2E0A5" w:rsidR="00E8279C" w:rsidRDefault="00C72479"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Návrh zákona č. 251/2012</w:t>
            </w:r>
          </w:p>
          <w:p w14:paraId="1F378035" w14:textId="77777777" w:rsidR="00E8279C" w:rsidRDefault="00E8279C"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FE87686" w14:textId="77777777" w:rsidR="00E8279C" w:rsidRDefault="00E8279C"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CE1C4D" w14:textId="77777777" w:rsidR="00E8279C" w:rsidRDefault="00E8279C"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757E127" w14:textId="1417DEE1" w:rsidR="00E8279C" w:rsidRDefault="00E8279C"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900" w:type="dxa"/>
            <w:tcBorders>
              <w:top w:val="single" w:sz="4" w:space="0" w:color="auto"/>
              <w:left w:val="single" w:sz="4" w:space="0" w:color="auto"/>
              <w:bottom w:val="single" w:sz="4" w:space="0" w:color="auto"/>
              <w:right w:val="single" w:sz="4" w:space="0" w:color="auto"/>
            </w:tcBorders>
          </w:tcPr>
          <w:p w14:paraId="2EDEAD99" w14:textId="77777777" w:rsidR="00053703" w:rsidRDefault="00053703"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 35</w:t>
            </w:r>
          </w:p>
          <w:p w14:paraId="501452EB" w14:textId="77777777" w:rsidR="000F193F" w:rsidRDefault="00053703"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2B6D255A" w14:textId="77777777"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8B0F2D" w14:textId="77777777"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772873" w14:textId="77777777"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F9999B" w14:textId="77777777"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14C207" w14:textId="77777777"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E9ECF1C" w14:textId="77777777"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55027F9" w14:textId="3F042AD5" w:rsidR="0035168A" w:rsidRDefault="002342BF"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čl. VIII</w:t>
            </w:r>
          </w:p>
          <w:p w14:paraId="597C0486" w14:textId="77777777"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A19B49" w14:textId="77777777"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A8EE2C" w14:textId="77777777"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C63912" w14:textId="77777777"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C808C16" w14:textId="77777777"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5C6ADE" w14:textId="77777777"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20F268" w14:textId="6FE03956"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048C4F" w14:textId="3187741D" w:rsidR="002342BF" w:rsidRDefault="002342BF"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7E45F7" w14:textId="6B4EEEDE" w:rsidR="002342BF" w:rsidRDefault="002342BF"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53D195C" w14:textId="77777777"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723EE1" w14:textId="77777777"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bookmarkStart w:id="0" w:name="_GoBack"/>
            <w:bookmarkEnd w:id="0"/>
          </w:p>
          <w:p w14:paraId="2756DF17" w14:textId="71E37CC0" w:rsidR="0035168A" w:rsidRDefault="0035168A"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20</w:t>
            </w:r>
          </w:p>
          <w:p w14:paraId="3F35C776" w14:textId="0D31E17F" w:rsidR="00E8279C" w:rsidRDefault="00E8279C"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DA480A1" w14:textId="3AE782DF" w:rsidR="00E8279C" w:rsidRDefault="00E8279C"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946B71" w14:textId="1A256FD9" w:rsidR="00E8279C" w:rsidRDefault="00E8279C"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97</w:t>
            </w:r>
          </w:p>
          <w:p w14:paraId="3E5FEE08" w14:textId="06DF977C" w:rsidR="00E8279C" w:rsidRDefault="00E8279C"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AC32C37" w14:textId="3715E54E" w:rsidR="00E8279C" w:rsidRDefault="00E8279C"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B94D30" w14:textId="2D919581" w:rsidR="00E8279C" w:rsidRDefault="00E8279C"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Príloha č. 2</w:t>
            </w:r>
          </w:p>
          <w:p w14:paraId="45213D92" w14:textId="2288B9E6" w:rsidR="00E8279C" w:rsidRDefault="00E8279C"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B: </w:t>
            </w:r>
            <w:r w:rsidR="00C72479">
              <w:rPr>
                <w:rFonts w:ascii="Times New Roman" w:eastAsia="Times New Roman" w:hAnsi="Times New Roman" w:cs="Times New Roman"/>
                <w:color w:val="000000" w:themeColor="text1"/>
                <w:sz w:val="20"/>
                <w:szCs w:val="20"/>
                <w:lang w:eastAsia="sk-SK"/>
              </w:rPr>
              <w:t>8</w:t>
            </w:r>
          </w:p>
          <w:p w14:paraId="5E0AA06D" w14:textId="77777777" w:rsidR="00E8279C" w:rsidRDefault="00E8279C"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275A67" w14:textId="4DC3F4BD" w:rsidR="00E8279C" w:rsidRDefault="00E8279C"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90CFE6" w14:textId="6FC58B00" w:rsidR="00E8279C" w:rsidRDefault="00E8279C"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726B80" w14:textId="2892C194" w:rsidR="00C72479" w:rsidRDefault="00C72479"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190776" w14:textId="583FF249" w:rsidR="00C72479" w:rsidRDefault="00C72479"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3ED21B" w14:textId="54FE310A" w:rsidR="00C72479" w:rsidRDefault="00C72479"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25033DA" w14:textId="77777777" w:rsidR="00E8279C" w:rsidRDefault="00E8279C" w:rsidP="00053703">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D11F95" w14:textId="77777777" w:rsidR="00E8279C" w:rsidRDefault="00E8279C"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Príloha č. 2 </w:t>
            </w:r>
          </w:p>
          <w:p w14:paraId="51653BFB" w14:textId="6B8D8F85" w:rsidR="00E8279C" w:rsidRPr="0029105C" w:rsidRDefault="00E8279C" w:rsidP="00E8279C">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B: 9</w:t>
            </w:r>
          </w:p>
        </w:tc>
        <w:tc>
          <w:tcPr>
            <w:tcW w:w="4540" w:type="dxa"/>
            <w:tcBorders>
              <w:top w:val="single" w:sz="4" w:space="0" w:color="auto"/>
              <w:left w:val="single" w:sz="4" w:space="0" w:color="auto"/>
              <w:bottom w:val="single" w:sz="4" w:space="0" w:color="auto"/>
              <w:right w:val="single" w:sz="4" w:space="0" w:color="auto"/>
            </w:tcBorders>
          </w:tcPr>
          <w:p w14:paraId="13EA8F63" w14:textId="77777777" w:rsidR="000F193F" w:rsidRDefault="00053703" w:rsidP="00FF0F38">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(2) </w:t>
            </w:r>
            <w:r w:rsidRPr="00053703">
              <w:rPr>
                <w:rFonts w:ascii="Times New Roman" w:eastAsia="Times New Roman" w:hAnsi="Times New Roman" w:cs="Times New Roman"/>
                <w:sz w:val="20"/>
                <w:szCs w:val="20"/>
                <w:lang w:eastAsia="sk-SK"/>
              </w:rPr>
              <w:t>Ministerstvá a ostatné ústredné orgány štátnej správy sa podieľajú na tvorbe jednotnej štátnej politiky v jednotlivých oblastiach, uskutočňujú túto politiku, vykonávajú v rozsahu svojej pôsobnosti štátnu správu a plnia ďalšie úlohy ustanovené v ústavných zákonoch, zákonoch a iných všeobecne záväzných právnych predpisoch.</w:t>
            </w:r>
          </w:p>
          <w:p w14:paraId="0B8ABD35" w14:textId="77777777" w:rsidR="0035168A" w:rsidRDefault="0035168A" w:rsidP="00FF0F38">
            <w:pPr>
              <w:spacing w:after="0" w:line="240" w:lineRule="auto"/>
              <w:rPr>
                <w:rFonts w:ascii="Times New Roman" w:eastAsia="Times New Roman" w:hAnsi="Times New Roman" w:cs="Times New Roman"/>
                <w:sz w:val="20"/>
                <w:szCs w:val="20"/>
                <w:lang w:eastAsia="sk-SK"/>
              </w:rPr>
            </w:pPr>
          </w:p>
          <w:p w14:paraId="41936B6D" w14:textId="77777777" w:rsidR="002342BF" w:rsidRPr="008469F9" w:rsidRDefault="002342BF" w:rsidP="002342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sk-SK"/>
              </w:rPr>
            </w:pPr>
            <w:r w:rsidRPr="008469F9">
              <w:rPr>
                <w:rFonts w:ascii="Times New Roman" w:eastAsia="Times New Roman" w:hAnsi="Times New Roman" w:cs="Times New Roman"/>
                <w:color w:val="000000" w:themeColor="text1"/>
                <w:sz w:val="20"/>
                <w:szCs w:val="20"/>
                <w:lang w:eastAsia="sk-SK"/>
              </w:rPr>
              <w:t>Čl. VIII</w:t>
            </w:r>
          </w:p>
          <w:p w14:paraId="2332D834" w14:textId="77777777" w:rsidR="00654418" w:rsidRPr="00654418" w:rsidRDefault="00654418" w:rsidP="00654418">
            <w:pPr>
              <w:spacing w:line="276" w:lineRule="auto"/>
              <w:jc w:val="both"/>
              <w:rPr>
                <w:rFonts w:ascii="Times New Roman" w:hAnsi="Times New Roman" w:cs="Times New Roman"/>
                <w:sz w:val="20"/>
                <w:szCs w:val="20"/>
                <w:lang w:eastAsia="sk-SK"/>
                <w14:ligatures w14:val="standardContextual"/>
              </w:rPr>
            </w:pPr>
            <w:r w:rsidRPr="00654418">
              <w:rPr>
                <w:rFonts w:ascii="Times New Roman" w:hAnsi="Times New Roman" w:cs="Times New Roman"/>
                <w:sz w:val="20"/>
                <w:szCs w:val="20"/>
                <w:lang w:eastAsia="sk-SK"/>
                <w14:ligatures w14:val="standardContextual"/>
              </w:rPr>
              <w:t xml:space="preserve">Tento zákon nadobúda účinnosť 1. novembra 2025, okrem čl. I bodov 5 až 12, 15 až 17, 24 až 26, 28, 33, 34, 36, 37, 48, 49, 59 až 74, 78, 86, 91, 97 až 132, 142, 146 až 150, 152 až 154, 156, 160, 161, 168, 169, 170, 171 až 174, 186 až 188, 190, čl. II, čl. III, čl. IV bodov 1 až 15, </w:t>
            </w:r>
            <w:r w:rsidRPr="00654418">
              <w:rPr>
                <w:rFonts w:ascii="Times New Roman" w:hAnsi="Times New Roman" w:cs="Times New Roman"/>
                <w:sz w:val="20"/>
                <w:szCs w:val="20"/>
                <w:lang w:eastAsia="sk-SK"/>
                <w14:ligatures w14:val="standardContextual"/>
              </w:rPr>
              <w:lastRenderedPageBreak/>
              <w:t>17 až 36, 38 až 44, 47 až 81, 83 a čl. V bodov 1, 6, 10, 12, 14, 16, 17 až 19, 22, 24, 25, 27 až 29, 39, 42, 43, 44, 46 až 51, 76 až 81, 84 až 85 a čl. VII, ktoré nadobúdajú účinnosť 1. januára 2026 a okrem čl. IV bodov 37, 45 a 46, ktoré nadobúdajú účinnosť 1. septembra 2026.</w:t>
            </w:r>
          </w:p>
          <w:p w14:paraId="7910FE26" w14:textId="77777777" w:rsidR="00835C42" w:rsidRDefault="00835C42" w:rsidP="00FF0F38">
            <w:pPr>
              <w:spacing w:after="0" w:line="240" w:lineRule="auto"/>
              <w:rPr>
                <w:rFonts w:ascii="Times New Roman" w:eastAsia="Times New Roman" w:hAnsi="Times New Roman" w:cs="Times New Roman"/>
                <w:sz w:val="20"/>
                <w:szCs w:val="20"/>
                <w:lang w:eastAsia="sk-SK"/>
              </w:rPr>
            </w:pPr>
          </w:p>
          <w:p w14:paraId="1DCC2C40" w14:textId="4CC97E95" w:rsidR="0035168A" w:rsidRDefault="0035168A" w:rsidP="00FF0F38">
            <w:pPr>
              <w:spacing w:after="0" w:line="240" w:lineRule="auto"/>
              <w:rPr>
                <w:rFonts w:ascii="Times New Roman" w:eastAsia="Times New Roman" w:hAnsi="Times New Roman" w:cs="Times New Roman"/>
                <w:sz w:val="20"/>
                <w:szCs w:val="20"/>
                <w:lang w:eastAsia="sk-SK"/>
              </w:rPr>
            </w:pPr>
            <w:r w:rsidRPr="0035168A">
              <w:rPr>
                <w:rFonts w:ascii="Times New Roman" w:eastAsia="Times New Roman" w:hAnsi="Times New Roman" w:cs="Times New Roman"/>
                <w:sz w:val="20"/>
                <w:szCs w:val="20"/>
                <w:lang w:eastAsia="sk-SK"/>
              </w:rPr>
              <w:t>Týmto zákonom sa preberajú právne záväzné akty Európskej únie uvedené v prílohe č. 2.</w:t>
            </w:r>
          </w:p>
          <w:p w14:paraId="60BDFFAE" w14:textId="77777777" w:rsidR="0035168A" w:rsidRDefault="0035168A" w:rsidP="00FF0F38">
            <w:pPr>
              <w:spacing w:after="0" w:line="240" w:lineRule="auto"/>
              <w:rPr>
                <w:rFonts w:ascii="Times New Roman" w:eastAsia="Times New Roman" w:hAnsi="Times New Roman" w:cs="Times New Roman"/>
                <w:sz w:val="20"/>
                <w:szCs w:val="20"/>
                <w:lang w:eastAsia="sk-SK"/>
              </w:rPr>
            </w:pPr>
          </w:p>
          <w:p w14:paraId="740694B1" w14:textId="77777777" w:rsidR="00E8279C" w:rsidRDefault="00E8279C" w:rsidP="00E8279C">
            <w:pPr>
              <w:spacing w:after="0" w:line="240" w:lineRule="auto"/>
              <w:rPr>
                <w:rFonts w:ascii="Times New Roman" w:eastAsia="Times New Roman" w:hAnsi="Times New Roman" w:cs="Times New Roman"/>
                <w:sz w:val="20"/>
                <w:szCs w:val="20"/>
                <w:lang w:eastAsia="sk-SK"/>
              </w:rPr>
            </w:pPr>
            <w:r w:rsidRPr="0035168A">
              <w:rPr>
                <w:rFonts w:ascii="Times New Roman" w:eastAsia="Times New Roman" w:hAnsi="Times New Roman" w:cs="Times New Roman"/>
                <w:sz w:val="20"/>
                <w:szCs w:val="20"/>
                <w:lang w:eastAsia="sk-SK"/>
              </w:rPr>
              <w:t>Týmto zákonom sa preberajú právne záväzné akty Európskej únie uvedené v prílohe č. 2.</w:t>
            </w:r>
          </w:p>
          <w:p w14:paraId="709D464F" w14:textId="77777777" w:rsidR="00E8279C" w:rsidRDefault="00E8279C" w:rsidP="00FF0F38">
            <w:pPr>
              <w:spacing w:after="0" w:line="240" w:lineRule="auto"/>
              <w:rPr>
                <w:rFonts w:ascii="Times New Roman" w:eastAsia="Times New Roman" w:hAnsi="Times New Roman" w:cs="Times New Roman"/>
                <w:sz w:val="20"/>
                <w:szCs w:val="20"/>
                <w:lang w:eastAsia="sk-SK"/>
              </w:rPr>
            </w:pPr>
          </w:p>
          <w:p w14:paraId="595B54E7" w14:textId="77777777" w:rsidR="00C72479" w:rsidRDefault="00C72479" w:rsidP="00FF0F38">
            <w:pPr>
              <w:spacing w:after="0" w:line="240" w:lineRule="auto"/>
              <w:rPr>
                <w:rFonts w:ascii="Times New Roman" w:eastAsia="Times New Roman" w:hAnsi="Times New Roman" w:cs="Times New Roman"/>
                <w:sz w:val="20"/>
                <w:szCs w:val="20"/>
                <w:lang w:eastAsia="sk-SK"/>
              </w:rPr>
            </w:pPr>
            <w:r w:rsidRPr="00C72479">
              <w:rPr>
                <w:rFonts w:ascii="Times New Roman" w:eastAsia="Times New Roman" w:hAnsi="Times New Roman" w:cs="Times New Roman"/>
                <w:sz w:val="20"/>
                <w:szCs w:val="20"/>
                <w:lang w:eastAsia="sk-SK"/>
              </w:rPr>
              <w:t>Zoznam preberaných právne záväzných aktov Európskej únie</w:t>
            </w:r>
          </w:p>
          <w:p w14:paraId="00C358E1" w14:textId="77777777" w:rsidR="00C72479" w:rsidRDefault="00C72479" w:rsidP="00FF0F38">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t xml:space="preserve"> </w:t>
            </w:r>
            <w:r w:rsidRPr="00C72479">
              <w:rPr>
                <w:rFonts w:ascii="Times New Roman" w:eastAsia="Times New Roman" w:hAnsi="Times New Roman" w:cs="Times New Roman"/>
                <w:sz w:val="20"/>
                <w:szCs w:val="20"/>
                <w:lang w:eastAsia="sk-SK"/>
              </w:rPr>
              <w:t>Smernica Európskeho parlamentu a Rady (EÚ) 2023/2413 z 18. októbra 2023, ktorou sa mení smernica (EÚ) 2018/2001, nariadenie (EÚ) 2018/1999 a smernica 98/70/ES, pokiaľ ide o podporu energie z obnoviteľných zdrojov, a ktorou sa zrušuje smernica Rady (EÚ) 2015/652 (Ú. v. EÚ L, 2023/2413, 31.10.2023).</w:t>
            </w:r>
          </w:p>
          <w:p w14:paraId="3BDEB665" w14:textId="77777777" w:rsidR="00C72479" w:rsidRDefault="00C72479" w:rsidP="00FF0F38">
            <w:pPr>
              <w:spacing w:after="0" w:line="240" w:lineRule="auto"/>
              <w:rPr>
                <w:rFonts w:ascii="Times New Roman" w:eastAsia="Times New Roman" w:hAnsi="Times New Roman" w:cs="Times New Roman"/>
                <w:sz w:val="20"/>
                <w:szCs w:val="20"/>
                <w:lang w:eastAsia="sk-SK"/>
              </w:rPr>
            </w:pPr>
          </w:p>
          <w:p w14:paraId="59252123" w14:textId="77777777" w:rsidR="00C72479" w:rsidRDefault="00C72479" w:rsidP="00FF0F38">
            <w:pPr>
              <w:spacing w:after="0" w:line="240" w:lineRule="auto"/>
              <w:rPr>
                <w:rFonts w:ascii="Times New Roman" w:eastAsia="Times New Roman" w:hAnsi="Times New Roman" w:cs="Times New Roman"/>
                <w:sz w:val="20"/>
                <w:szCs w:val="20"/>
                <w:lang w:eastAsia="sk-SK"/>
              </w:rPr>
            </w:pPr>
            <w:r w:rsidRPr="00C72479">
              <w:rPr>
                <w:rFonts w:ascii="Times New Roman" w:eastAsia="Times New Roman" w:hAnsi="Times New Roman" w:cs="Times New Roman"/>
                <w:sz w:val="20"/>
                <w:szCs w:val="20"/>
                <w:lang w:eastAsia="sk-SK"/>
              </w:rPr>
              <w:t>ZOZNAM PREBERANÝCH PRÁVNE ZÁVÄZNÝCH AKTOV EURÓPSKEJ ÚNIE</w:t>
            </w:r>
          </w:p>
          <w:p w14:paraId="33BAE978" w14:textId="527E7506" w:rsidR="00C72479" w:rsidRPr="00FF0F38" w:rsidRDefault="00C72479" w:rsidP="00FF0F38">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t xml:space="preserve"> </w:t>
            </w:r>
            <w:r w:rsidRPr="00C72479">
              <w:rPr>
                <w:rFonts w:ascii="Times New Roman" w:eastAsia="Times New Roman" w:hAnsi="Times New Roman" w:cs="Times New Roman"/>
                <w:sz w:val="20"/>
                <w:szCs w:val="20"/>
                <w:lang w:eastAsia="sk-SK"/>
              </w:rPr>
              <w:t>Smernica Európskeho parlamentu a Rady (EÚ) 2023/2413 z 18. októbra 2023, ktorou sa mení smernica (EÚ) 2018/2001, nariadenie (EÚ) 2018/1999 a smernica 98/70/ES, pokiaľ ide o podporu energie z obnoviteľných zdrojov, a ktorou sa zrušuje smernica Rady (EÚ) 2015/652 (Ú. V. EÚ L, 2023/2413, 31.10.2023).</w:t>
            </w:r>
          </w:p>
        </w:tc>
        <w:tc>
          <w:tcPr>
            <w:tcW w:w="849" w:type="dxa"/>
            <w:tcBorders>
              <w:top w:val="single" w:sz="4" w:space="0" w:color="auto"/>
              <w:left w:val="single" w:sz="4" w:space="0" w:color="auto"/>
              <w:bottom w:val="single" w:sz="4" w:space="0" w:color="auto"/>
              <w:right w:val="single" w:sz="4" w:space="0" w:color="auto"/>
            </w:tcBorders>
          </w:tcPr>
          <w:p w14:paraId="249B7FE8" w14:textId="77777777" w:rsidR="000F193F" w:rsidRPr="0029105C" w:rsidRDefault="000F193F" w:rsidP="00850A3D">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7C869C8D" w14:textId="77777777" w:rsidR="000F193F" w:rsidRPr="00A74321" w:rsidRDefault="000F193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5330D30B" w14:textId="77777777" w:rsidR="000F193F" w:rsidRPr="0029105C" w:rsidRDefault="000F193F" w:rsidP="00FF0F38">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131D36B9" w14:textId="77777777" w:rsidR="000F193F" w:rsidRPr="0029105C" w:rsidRDefault="000F193F" w:rsidP="00850A3D">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9D00F4" w:rsidRPr="0029105C" w14:paraId="3B1B7FD8" w14:textId="77777777" w:rsidTr="00402EF0">
        <w:tc>
          <w:tcPr>
            <w:tcW w:w="1005" w:type="dxa"/>
            <w:tcBorders>
              <w:top w:val="single" w:sz="4" w:space="0" w:color="auto"/>
              <w:left w:val="single" w:sz="12" w:space="0" w:color="auto"/>
              <w:bottom w:val="single" w:sz="4" w:space="0" w:color="auto"/>
              <w:right w:val="single" w:sz="4" w:space="0" w:color="auto"/>
            </w:tcBorders>
          </w:tcPr>
          <w:p w14:paraId="2D2F52CD"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 5</w:t>
            </w:r>
          </w:p>
          <w:p w14:paraId="11265755" w14:textId="544E781C"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tc>
        <w:tc>
          <w:tcPr>
            <w:tcW w:w="3421" w:type="dxa"/>
            <w:tcBorders>
              <w:top w:val="single" w:sz="4" w:space="0" w:color="auto"/>
              <w:left w:val="single" w:sz="4" w:space="0" w:color="auto"/>
              <w:bottom w:val="single" w:sz="4" w:space="0" w:color="auto"/>
              <w:right w:val="single" w:sz="4" w:space="0" w:color="auto"/>
            </w:tcBorders>
          </w:tcPr>
          <w:p w14:paraId="06F11938" w14:textId="140545CA" w:rsidR="009D00F4" w:rsidRPr="000F193F"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2. Členské štáty oznámia Komisii znenie hlavných opatrení vnútroštátneho práva, ktoré prijmú v oblasti pôsobnosti tejto smernice.</w:t>
            </w:r>
          </w:p>
        </w:tc>
        <w:tc>
          <w:tcPr>
            <w:tcW w:w="794" w:type="dxa"/>
            <w:tcBorders>
              <w:top w:val="single" w:sz="4" w:space="0" w:color="auto"/>
              <w:left w:val="single" w:sz="4" w:space="0" w:color="auto"/>
              <w:bottom w:val="single" w:sz="4" w:space="0" w:color="auto"/>
              <w:right w:val="single" w:sz="12" w:space="0" w:color="auto"/>
            </w:tcBorders>
          </w:tcPr>
          <w:p w14:paraId="6A613BCE" w14:textId="418217F8"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2F402C19" w14:textId="7E3312C2"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Zákon č. 575/2001</w:t>
            </w:r>
          </w:p>
        </w:tc>
        <w:tc>
          <w:tcPr>
            <w:tcW w:w="900" w:type="dxa"/>
            <w:tcBorders>
              <w:top w:val="single" w:sz="4" w:space="0" w:color="auto"/>
              <w:left w:val="single" w:sz="4" w:space="0" w:color="auto"/>
              <w:bottom w:val="single" w:sz="4" w:space="0" w:color="auto"/>
              <w:right w:val="single" w:sz="4" w:space="0" w:color="auto"/>
            </w:tcBorders>
          </w:tcPr>
          <w:p w14:paraId="03926CFE"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35</w:t>
            </w:r>
          </w:p>
          <w:p w14:paraId="4BE881E4" w14:textId="4053EBE2"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7</w:t>
            </w:r>
          </w:p>
        </w:tc>
        <w:tc>
          <w:tcPr>
            <w:tcW w:w="4540" w:type="dxa"/>
            <w:tcBorders>
              <w:top w:val="single" w:sz="4" w:space="0" w:color="auto"/>
              <w:left w:val="single" w:sz="4" w:space="0" w:color="auto"/>
              <w:bottom w:val="single" w:sz="4" w:space="0" w:color="auto"/>
              <w:right w:val="single" w:sz="4" w:space="0" w:color="auto"/>
            </w:tcBorders>
          </w:tcPr>
          <w:p w14:paraId="31CBD442" w14:textId="34D3D2EC" w:rsidR="009D00F4" w:rsidRPr="00FF0F38" w:rsidRDefault="009D00F4" w:rsidP="009D00F4">
            <w:pPr>
              <w:spacing w:after="0" w:line="240" w:lineRule="auto"/>
              <w:rPr>
                <w:rFonts w:ascii="Times New Roman" w:eastAsia="Times New Roman" w:hAnsi="Times New Roman" w:cs="Times New Roman"/>
                <w:sz w:val="20"/>
                <w:szCs w:val="20"/>
                <w:lang w:eastAsia="sk-SK"/>
              </w:rPr>
            </w:pPr>
            <w:r w:rsidRPr="00580BF4">
              <w:rPr>
                <w:rFonts w:ascii="Times New Roman" w:eastAsia="Times New Roman" w:hAnsi="Times New Roman" w:cs="Times New Roman"/>
                <w:color w:val="000000" w:themeColor="text1"/>
                <w:sz w:val="20"/>
                <w:szCs w:val="20"/>
                <w:lang w:eastAsia="sk-SK"/>
              </w:rPr>
              <w:t>(7)</w:t>
            </w:r>
            <w:r>
              <w:rPr>
                <w:rFonts w:ascii="Times New Roman" w:eastAsia="Times New Roman" w:hAnsi="Times New Roman" w:cs="Times New Roman"/>
                <w:color w:val="000000" w:themeColor="text1"/>
                <w:sz w:val="20"/>
                <w:szCs w:val="20"/>
                <w:lang w:eastAsia="sk-SK"/>
              </w:rPr>
              <w:t xml:space="preserve"> </w:t>
            </w:r>
            <w:r w:rsidRPr="00580BF4">
              <w:rPr>
                <w:rFonts w:ascii="Times New Roman" w:eastAsia="Times New Roman" w:hAnsi="Times New Roman" w:cs="Times New Roman"/>
                <w:color w:val="000000" w:themeColor="text1"/>
                <w:sz w:val="20"/>
                <w:szCs w:val="20"/>
                <w:lang w:eastAsia="sk-SK"/>
              </w:rPr>
              <w:t>Ministerstvá a ostatné ústredné orgány štátnej správy v rozsahu vymedzenej pôsobnosti plnia voči orgánom Európskej únie informačnú a oznamovaciu povinnosť, ktorá im vyplýva z právne záväzných aktov týchto orgánov.</w:t>
            </w:r>
          </w:p>
        </w:tc>
        <w:tc>
          <w:tcPr>
            <w:tcW w:w="849" w:type="dxa"/>
            <w:tcBorders>
              <w:top w:val="single" w:sz="4" w:space="0" w:color="auto"/>
              <w:left w:val="single" w:sz="4" w:space="0" w:color="auto"/>
              <w:bottom w:val="single" w:sz="4" w:space="0" w:color="auto"/>
              <w:right w:val="single" w:sz="4" w:space="0" w:color="auto"/>
            </w:tcBorders>
          </w:tcPr>
          <w:p w14:paraId="739AA5F0" w14:textId="77777777"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0EDCF0B6" w14:textId="77777777" w:rsidR="009D00F4" w:rsidRPr="00A74321"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4D0B27CB" w14:textId="77777777"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400280FF" w14:textId="77777777" w:rsidR="009D00F4" w:rsidRPr="0029105C"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9D00F4" w:rsidRPr="0029105C" w14:paraId="7BD7FA92" w14:textId="77777777" w:rsidTr="00402EF0">
        <w:tc>
          <w:tcPr>
            <w:tcW w:w="1005" w:type="dxa"/>
            <w:tcBorders>
              <w:top w:val="single" w:sz="4" w:space="0" w:color="auto"/>
              <w:left w:val="single" w:sz="12" w:space="0" w:color="auto"/>
              <w:bottom w:val="single" w:sz="4" w:space="0" w:color="auto"/>
              <w:right w:val="single" w:sz="4" w:space="0" w:color="auto"/>
            </w:tcBorders>
          </w:tcPr>
          <w:p w14:paraId="58A23FA1" w14:textId="5F9D05E6"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 6</w:t>
            </w:r>
          </w:p>
        </w:tc>
        <w:tc>
          <w:tcPr>
            <w:tcW w:w="3421" w:type="dxa"/>
            <w:tcBorders>
              <w:top w:val="single" w:sz="4" w:space="0" w:color="auto"/>
              <w:left w:val="single" w:sz="4" w:space="0" w:color="auto"/>
              <w:bottom w:val="single" w:sz="4" w:space="0" w:color="auto"/>
              <w:right w:val="single" w:sz="4" w:space="0" w:color="auto"/>
            </w:tcBorders>
          </w:tcPr>
          <w:p w14:paraId="0F14B827" w14:textId="77777777" w:rsidR="009D00F4" w:rsidRPr="000F193F"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Článok 6</w:t>
            </w:r>
          </w:p>
          <w:p w14:paraId="28E976C1" w14:textId="77777777" w:rsidR="009D00F4" w:rsidRPr="000F193F"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lastRenderedPageBreak/>
              <w:t>Zrušenie</w:t>
            </w:r>
          </w:p>
          <w:p w14:paraId="636FD8D4" w14:textId="1F7D81A3" w:rsidR="009D00F4" w:rsidRPr="000F193F"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Smernica Rady (EÚ) 2015/652 sa zrušuje s účinnosťou od 1. januára 2025.</w:t>
            </w:r>
          </w:p>
        </w:tc>
        <w:tc>
          <w:tcPr>
            <w:tcW w:w="794" w:type="dxa"/>
            <w:tcBorders>
              <w:top w:val="single" w:sz="4" w:space="0" w:color="auto"/>
              <w:left w:val="single" w:sz="4" w:space="0" w:color="auto"/>
              <w:bottom w:val="single" w:sz="4" w:space="0" w:color="auto"/>
              <w:right w:val="single" w:sz="12" w:space="0" w:color="auto"/>
            </w:tcBorders>
          </w:tcPr>
          <w:p w14:paraId="54DE38F2" w14:textId="3405A179"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roofErr w:type="spellStart"/>
            <w:r>
              <w:rPr>
                <w:rFonts w:ascii="Times New Roman" w:eastAsia="Times New Roman" w:hAnsi="Times New Roman" w:cs="Times New Roman"/>
                <w:color w:val="000000" w:themeColor="text1"/>
                <w:sz w:val="20"/>
                <w:szCs w:val="20"/>
                <w:lang w:eastAsia="sk-SK"/>
              </w:rPr>
              <w:lastRenderedPageBreak/>
              <w:t>n.a</w:t>
            </w:r>
            <w:proofErr w:type="spellEnd"/>
            <w:r>
              <w:rPr>
                <w:rFonts w:ascii="Times New Roman" w:eastAsia="Times New Roman" w:hAnsi="Times New Roman" w:cs="Times New Roman"/>
                <w:color w:val="000000" w:themeColor="text1"/>
                <w:sz w:val="20"/>
                <w:szCs w:val="20"/>
                <w:lang w:eastAsia="sk-SK"/>
              </w:rPr>
              <w:t>.</w:t>
            </w:r>
          </w:p>
        </w:tc>
        <w:tc>
          <w:tcPr>
            <w:tcW w:w="1080" w:type="dxa"/>
            <w:tcBorders>
              <w:top w:val="single" w:sz="4" w:space="0" w:color="auto"/>
              <w:left w:val="nil"/>
              <w:bottom w:val="single" w:sz="4" w:space="0" w:color="auto"/>
              <w:right w:val="single" w:sz="4" w:space="0" w:color="auto"/>
            </w:tcBorders>
          </w:tcPr>
          <w:p w14:paraId="6C3B8663"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900" w:type="dxa"/>
            <w:tcBorders>
              <w:top w:val="single" w:sz="4" w:space="0" w:color="auto"/>
              <w:left w:val="single" w:sz="4" w:space="0" w:color="auto"/>
              <w:bottom w:val="single" w:sz="4" w:space="0" w:color="auto"/>
              <w:right w:val="single" w:sz="4" w:space="0" w:color="auto"/>
            </w:tcBorders>
          </w:tcPr>
          <w:p w14:paraId="429F6213" w14:textId="77777777"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77825222" w14:textId="77777777" w:rsidR="009D00F4" w:rsidRPr="00FF0F38" w:rsidRDefault="009D00F4" w:rsidP="009D00F4">
            <w:pPr>
              <w:spacing w:after="0" w:line="240" w:lineRule="auto"/>
              <w:rPr>
                <w:rFonts w:ascii="Times New Roman" w:eastAsia="Times New Roman" w:hAnsi="Times New Roman" w:cs="Times New Roman"/>
                <w:sz w:val="20"/>
                <w:szCs w:val="20"/>
                <w:lang w:eastAsia="sk-SK"/>
              </w:rPr>
            </w:pPr>
          </w:p>
        </w:tc>
        <w:tc>
          <w:tcPr>
            <w:tcW w:w="849" w:type="dxa"/>
            <w:tcBorders>
              <w:top w:val="single" w:sz="4" w:space="0" w:color="auto"/>
              <w:left w:val="single" w:sz="4" w:space="0" w:color="auto"/>
              <w:bottom w:val="single" w:sz="4" w:space="0" w:color="auto"/>
              <w:right w:val="single" w:sz="4" w:space="0" w:color="auto"/>
            </w:tcBorders>
          </w:tcPr>
          <w:p w14:paraId="5D95DD62" w14:textId="77777777"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595ADC54" w14:textId="77777777" w:rsidR="009D00F4" w:rsidRPr="00A74321"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0DC379A8" w14:textId="77777777"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1F1ECE2B" w14:textId="77777777" w:rsidR="009D00F4" w:rsidRPr="0029105C"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9D00F4" w:rsidRPr="0029105C" w14:paraId="6EF636A1" w14:textId="77777777" w:rsidTr="00402EF0">
        <w:tc>
          <w:tcPr>
            <w:tcW w:w="1005" w:type="dxa"/>
            <w:tcBorders>
              <w:top w:val="single" w:sz="4" w:space="0" w:color="auto"/>
              <w:left w:val="single" w:sz="12" w:space="0" w:color="auto"/>
              <w:bottom w:val="single" w:sz="4" w:space="0" w:color="auto"/>
              <w:right w:val="single" w:sz="4" w:space="0" w:color="auto"/>
            </w:tcBorders>
          </w:tcPr>
          <w:p w14:paraId="23B903E2" w14:textId="0A66617A"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Č: 7</w:t>
            </w:r>
          </w:p>
        </w:tc>
        <w:tc>
          <w:tcPr>
            <w:tcW w:w="3421" w:type="dxa"/>
            <w:tcBorders>
              <w:top w:val="single" w:sz="4" w:space="0" w:color="auto"/>
              <w:left w:val="single" w:sz="4" w:space="0" w:color="auto"/>
              <w:bottom w:val="single" w:sz="4" w:space="0" w:color="auto"/>
              <w:right w:val="single" w:sz="4" w:space="0" w:color="auto"/>
            </w:tcBorders>
          </w:tcPr>
          <w:p w14:paraId="594C7247" w14:textId="77777777" w:rsidR="009D00F4" w:rsidRPr="000F193F"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Článok 7</w:t>
            </w:r>
          </w:p>
          <w:p w14:paraId="64C8F890" w14:textId="77777777" w:rsidR="009D00F4" w:rsidRPr="000F193F"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Nadobudnutie účinnosti</w:t>
            </w:r>
          </w:p>
          <w:p w14:paraId="0CF4A64D" w14:textId="77777777" w:rsidR="009D00F4" w:rsidRPr="000F193F"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Táto smernica nadobúda účinnosť dvadsiatym dňom nasledujúcim po jej uverejnení v Úradnom vestníku Európskej únie.</w:t>
            </w:r>
          </w:p>
          <w:p w14:paraId="0BD6C67A" w14:textId="209C805C" w:rsidR="009D00F4" w:rsidRPr="000F193F"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0F193F">
              <w:rPr>
                <w:rFonts w:ascii="Times New Roman" w:eastAsia="Times New Roman" w:hAnsi="Times New Roman" w:cs="Times New Roman"/>
                <w:bCs/>
                <w:color w:val="000000" w:themeColor="text1"/>
                <w:sz w:val="20"/>
                <w:szCs w:val="20"/>
                <w:lang w:eastAsia="sk-SK"/>
              </w:rPr>
              <w:t>Táto smernica je určená členským štátom.</w:t>
            </w:r>
          </w:p>
        </w:tc>
        <w:tc>
          <w:tcPr>
            <w:tcW w:w="794" w:type="dxa"/>
            <w:tcBorders>
              <w:top w:val="single" w:sz="4" w:space="0" w:color="auto"/>
              <w:left w:val="single" w:sz="4" w:space="0" w:color="auto"/>
              <w:bottom w:val="single" w:sz="4" w:space="0" w:color="auto"/>
              <w:right w:val="single" w:sz="12" w:space="0" w:color="auto"/>
            </w:tcBorders>
          </w:tcPr>
          <w:p w14:paraId="4988F3D6" w14:textId="5720E9F9"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roofErr w:type="spellStart"/>
            <w:r>
              <w:rPr>
                <w:rFonts w:ascii="Times New Roman" w:eastAsia="Times New Roman" w:hAnsi="Times New Roman" w:cs="Times New Roman"/>
                <w:color w:val="000000" w:themeColor="text1"/>
                <w:sz w:val="20"/>
                <w:szCs w:val="20"/>
                <w:lang w:eastAsia="sk-SK"/>
              </w:rPr>
              <w:t>n.a</w:t>
            </w:r>
            <w:proofErr w:type="spellEnd"/>
            <w:r>
              <w:rPr>
                <w:rFonts w:ascii="Times New Roman" w:eastAsia="Times New Roman" w:hAnsi="Times New Roman" w:cs="Times New Roman"/>
                <w:color w:val="000000" w:themeColor="text1"/>
                <w:sz w:val="20"/>
                <w:szCs w:val="20"/>
                <w:lang w:eastAsia="sk-SK"/>
              </w:rPr>
              <w:t>.</w:t>
            </w:r>
          </w:p>
        </w:tc>
        <w:tc>
          <w:tcPr>
            <w:tcW w:w="1080" w:type="dxa"/>
            <w:tcBorders>
              <w:top w:val="single" w:sz="4" w:space="0" w:color="auto"/>
              <w:left w:val="nil"/>
              <w:bottom w:val="single" w:sz="4" w:space="0" w:color="auto"/>
              <w:right w:val="single" w:sz="4" w:space="0" w:color="auto"/>
            </w:tcBorders>
          </w:tcPr>
          <w:p w14:paraId="25FF3774"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900" w:type="dxa"/>
            <w:tcBorders>
              <w:top w:val="single" w:sz="4" w:space="0" w:color="auto"/>
              <w:left w:val="single" w:sz="4" w:space="0" w:color="auto"/>
              <w:bottom w:val="single" w:sz="4" w:space="0" w:color="auto"/>
              <w:right w:val="single" w:sz="4" w:space="0" w:color="auto"/>
            </w:tcBorders>
          </w:tcPr>
          <w:p w14:paraId="4AFF2765" w14:textId="77777777"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left w:val="single" w:sz="4" w:space="0" w:color="auto"/>
              <w:bottom w:val="single" w:sz="4" w:space="0" w:color="auto"/>
              <w:right w:val="single" w:sz="4" w:space="0" w:color="auto"/>
            </w:tcBorders>
          </w:tcPr>
          <w:p w14:paraId="399727C2" w14:textId="77777777" w:rsidR="009D00F4" w:rsidRPr="00FF0F38" w:rsidRDefault="009D00F4" w:rsidP="009D00F4">
            <w:pPr>
              <w:spacing w:after="0" w:line="240" w:lineRule="auto"/>
              <w:rPr>
                <w:rFonts w:ascii="Times New Roman" w:eastAsia="Times New Roman" w:hAnsi="Times New Roman" w:cs="Times New Roman"/>
                <w:sz w:val="20"/>
                <w:szCs w:val="20"/>
                <w:lang w:eastAsia="sk-SK"/>
              </w:rPr>
            </w:pPr>
          </w:p>
        </w:tc>
        <w:tc>
          <w:tcPr>
            <w:tcW w:w="849" w:type="dxa"/>
            <w:tcBorders>
              <w:top w:val="single" w:sz="4" w:space="0" w:color="auto"/>
              <w:left w:val="single" w:sz="4" w:space="0" w:color="auto"/>
              <w:bottom w:val="single" w:sz="4" w:space="0" w:color="auto"/>
              <w:right w:val="single" w:sz="4" w:space="0" w:color="auto"/>
            </w:tcBorders>
          </w:tcPr>
          <w:p w14:paraId="76DCFDB0" w14:textId="77777777"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16FD3C54" w14:textId="77777777" w:rsidR="009D00F4" w:rsidRPr="00A74321"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0C0031DE" w14:textId="77777777"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7E85D2D5" w14:textId="77777777" w:rsidR="009D00F4" w:rsidRPr="0029105C"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9D00F4" w:rsidRPr="0029105C" w14:paraId="38B033DB" w14:textId="77777777" w:rsidTr="0017306B">
        <w:tc>
          <w:tcPr>
            <w:tcW w:w="1005" w:type="dxa"/>
            <w:tcBorders>
              <w:top w:val="single" w:sz="4" w:space="0" w:color="auto"/>
              <w:left w:val="single" w:sz="12" w:space="0" w:color="auto"/>
              <w:bottom w:val="single" w:sz="4" w:space="0" w:color="auto"/>
              <w:right w:val="single" w:sz="4" w:space="0" w:color="auto"/>
            </w:tcBorders>
          </w:tcPr>
          <w:p w14:paraId="6BA70A79"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Príloha II</w:t>
            </w:r>
          </w:p>
          <w:p w14:paraId="3A9D6297" w14:textId="36DA039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64C8816F" w14:textId="3B9B4FF2"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w:t>
            </w:r>
          </w:p>
          <w:p w14:paraId="75A1D4A4" w14:textId="724B8272"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3421" w:type="dxa"/>
            <w:tcBorders>
              <w:top w:val="single" w:sz="4" w:space="0" w:color="auto"/>
              <w:left w:val="single" w:sz="4" w:space="0" w:color="auto"/>
              <w:bottom w:val="single" w:sz="4" w:space="0" w:color="auto"/>
              <w:right w:val="single" w:sz="4" w:space="0" w:color="auto"/>
            </w:tcBorders>
          </w:tcPr>
          <w:p w14:paraId="1793003A" w14:textId="77777777"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1. Príloha I sa mení takto:</w:t>
            </w:r>
          </w:p>
          <w:p w14:paraId="277CB897" w14:textId="78862FBD" w:rsidR="009D00F4" w:rsidRPr="00EB77CF"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 xml:space="preserve">a) </w:t>
            </w:r>
            <w:r w:rsidRPr="00EB77CF">
              <w:rPr>
                <w:rFonts w:ascii="Times New Roman" w:eastAsia="Times New Roman" w:hAnsi="Times New Roman" w:cs="Times New Roman"/>
                <w:bCs/>
                <w:color w:val="000000" w:themeColor="text1"/>
                <w:sz w:val="20"/>
                <w:szCs w:val="20"/>
                <w:lang w:eastAsia="sk-SK"/>
              </w:rPr>
              <w:t>Poznámka pod čiarou č. 1 sa nahrádza takto:</w:t>
            </w:r>
          </w:p>
          <w:p w14:paraId="5A1F8F92" w14:textId="77777777"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EB77CF">
              <w:rPr>
                <w:rFonts w:ascii="Times New Roman" w:eastAsia="Times New Roman" w:hAnsi="Times New Roman" w:cs="Times New Roman"/>
                <w:bCs/>
                <w:color w:val="000000" w:themeColor="text1"/>
                <w:sz w:val="20"/>
                <w:szCs w:val="20"/>
                <w:lang w:eastAsia="sk-SK"/>
              </w:rPr>
              <w:t>„(1) Metódy testovania sú špecifikované v norme EN 228:2012+A1:2017. Členské štáty môžu prijať analytickú metódu špecifikovanú v norme, ktorá nahradí normu EN 228:2012+A1:2017, ak je možné preukázať, že zaručuje aspoň takú úroveň správnosti a presnosti ako analytická metóda, ktorú nahrádza.“</w:t>
            </w:r>
          </w:p>
          <w:p w14:paraId="195D730A" w14:textId="52A83422"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19E4CE67" w14:textId="79CEF4EB"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1396E1B8" w14:textId="1E5E1D8C"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1BA04533" w14:textId="6E8B77FC"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7787032B" w14:textId="119175F2"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146678FE" w14:textId="3A3C64F7"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39FA3684" w14:textId="4F0A372D"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55F38F4A" w14:textId="7BCCF0D5"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00400B40" w14:textId="33FC5112"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71BEE991" w14:textId="44135996"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35609759" w14:textId="559B1297"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3924FBDB" w14:textId="5ADEC198"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2EB5D789" w14:textId="111A6B27"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3D8D7C7A" w14:textId="77ED2ED5"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612A8B67" w14:textId="3832C928"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0F5BDC1A" w14:textId="52177962"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69987752" w14:textId="77777777"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5C67A15F" w14:textId="58CDD7E5" w:rsidR="009D00F4" w:rsidRPr="0029105C"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tc>
        <w:tc>
          <w:tcPr>
            <w:tcW w:w="794" w:type="dxa"/>
            <w:tcBorders>
              <w:top w:val="single" w:sz="4" w:space="0" w:color="auto"/>
              <w:left w:val="single" w:sz="4" w:space="0" w:color="auto"/>
              <w:bottom w:val="single" w:sz="4" w:space="0" w:color="auto"/>
              <w:right w:val="single" w:sz="12" w:space="0" w:color="auto"/>
            </w:tcBorders>
          </w:tcPr>
          <w:p w14:paraId="0EA694DA" w14:textId="1589E3C2"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w:t>
            </w:r>
          </w:p>
        </w:tc>
        <w:tc>
          <w:tcPr>
            <w:tcW w:w="1080" w:type="dxa"/>
            <w:tcBorders>
              <w:top w:val="single" w:sz="4" w:space="0" w:color="auto"/>
              <w:left w:val="nil"/>
              <w:bottom w:val="single" w:sz="4" w:space="0" w:color="auto"/>
              <w:right w:val="single" w:sz="4" w:space="0" w:color="auto"/>
            </w:tcBorders>
          </w:tcPr>
          <w:p w14:paraId="27A932C8" w14:textId="73E319D0"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Vyhláška MŽP č. 251/2023 </w:t>
            </w:r>
          </w:p>
        </w:tc>
        <w:tc>
          <w:tcPr>
            <w:tcW w:w="900" w:type="dxa"/>
            <w:tcBorders>
              <w:top w:val="single" w:sz="4" w:space="0" w:color="auto"/>
              <w:left w:val="single" w:sz="4" w:space="0" w:color="auto"/>
              <w:bottom w:val="single" w:sz="4" w:space="0" w:color="auto"/>
              <w:right w:val="single" w:sz="4" w:space="0" w:color="auto"/>
            </w:tcBorders>
          </w:tcPr>
          <w:p w14:paraId="210DF65A" w14:textId="54BD8392"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Príloha č. 1</w:t>
            </w:r>
          </w:p>
        </w:tc>
        <w:tc>
          <w:tcPr>
            <w:tcW w:w="4540" w:type="dxa"/>
            <w:tcBorders>
              <w:top w:val="single" w:sz="4" w:space="0" w:color="auto"/>
              <w:bottom w:val="single" w:sz="4" w:space="0" w:color="auto"/>
            </w:tcBorders>
          </w:tcPr>
          <w:p w14:paraId="7DAF8BC3" w14:textId="77777777" w:rsidR="009D00F4" w:rsidRPr="00885DA8"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885DA8">
              <w:rPr>
                <w:rFonts w:ascii="Times New Roman" w:eastAsia="Times New Roman" w:hAnsi="Times New Roman" w:cs="Times New Roman"/>
                <w:color w:val="000000" w:themeColor="text1"/>
                <w:sz w:val="20"/>
                <w:szCs w:val="20"/>
                <w:lang w:eastAsia="sk-SK"/>
              </w:rPr>
              <w:t>Príloha č. 1</w:t>
            </w:r>
          </w:p>
          <w:p w14:paraId="5291AAB4" w14:textId="77777777" w:rsidR="009D00F4" w:rsidRPr="00885DA8"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885DA8">
              <w:rPr>
                <w:rFonts w:ascii="Times New Roman" w:eastAsia="Times New Roman" w:hAnsi="Times New Roman" w:cs="Times New Roman"/>
                <w:color w:val="000000" w:themeColor="text1"/>
                <w:sz w:val="20"/>
                <w:szCs w:val="20"/>
                <w:lang w:eastAsia="sk-SK"/>
              </w:rPr>
              <w:t xml:space="preserve">Požiadavky na kvalitu automobilového benzínu </w:t>
            </w:r>
          </w:p>
          <w:p w14:paraId="394EA6C3" w14:textId="77777777" w:rsidR="009D00F4" w:rsidRPr="00257FB3" w:rsidRDefault="009D00F4" w:rsidP="009D00F4">
            <w:pPr>
              <w:jc w:val="both"/>
              <w:rPr>
                <w:sz w:val="20"/>
                <w:lang w:eastAsia="sk-SK"/>
              </w:rPr>
            </w:pPr>
          </w:p>
          <w:tbl>
            <w:tblPr>
              <w:tblW w:w="4006"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877"/>
              <w:gridCol w:w="467"/>
              <w:gridCol w:w="551"/>
              <w:gridCol w:w="671"/>
            </w:tblGrid>
            <w:tr w:rsidR="009D00F4" w:rsidRPr="00257FB3" w14:paraId="636BBD35" w14:textId="77777777" w:rsidTr="0017306B">
              <w:trPr>
                <w:tblCellSpacing w:w="0" w:type="dxa"/>
                <w:jc w:val="center"/>
              </w:trPr>
              <w:tc>
                <w:tcPr>
                  <w:tcW w:w="2632" w:type="pct"/>
                  <w:vMerge w:val="restart"/>
                  <w:tcBorders>
                    <w:left w:val="nil"/>
                    <w:bottom w:val="single" w:sz="2" w:space="0" w:color="auto"/>
                    <w:right w:val="nil"/>
                  </w:tcBorders>
                  <w:vAlign w:val="center"/>
                </w:tcPr>
                <w:p w14:paraId="19606BD9" w14:textId="77777777" w:rsidR="009D00F4" w:rsidRPr="00257FB3" w:rsidRDefault="009D00F4" w:rsidP="00654418">
                  <w:pPr>
                    <w:framePr w:hSpace="141" w:wrap="around" w:hAnchor="margin" w:xAlign="center" w:y="-1415"/>
                    <w:jc w:val="center"/>
                    <w:rPr>
                      <w:b/>
                      <w:sz w:val="16"/>
                      <w:szCs w:val="16"/>
                    </w:rPr>
                  </w:pPr>
                  <w:proofErr w:type="spellStart"/>
                  <w:r w:rsidRPr="00257FB3">
                    <w:rPr>
                      <w:b/>
                      <w:bCs/>
                      <w:sz w:val="16"/>
                      <w:szCs w:val="16"/>
                    </w:rPr>
                    <w:t>Parameter</w:t>
                  </w:r>
                  <w:r w:rsidRPr="00257FB3">
                    <w:rPr>
                      <w:b/>
                      <w:bCs/>
                      <w:sz w:val="16"/>
                      <w:szCs w:val="16"/>
                      <w:vertAlign w:val="superscript"/>
                    </w:rPr>
                    <w:t>a</w:t>
                  </w:r>
                  <w:proofErr w:type="spellEnd"/>
                  <w:r w:rsidRPr="00257FB3">
                    <w:rPr>
                      <w:b/>
                      <w:bCs/>
                      <w:sz w:val="16"/>
                      <w:szCs w:val="16"/>
                    </w:rPr>
                    <w:t>)</w:t>
                  </w:r>
                </w:p>
              </w:tc>
              <w:tc>
                <w:tcPr>
                  <w:tcW w:w="655" w:type="pct"/>
                  <w:vMerge w:val="restart"/>
                  <w:tcBorders>
                    <w:left w:val="single" w:sz="2" w:space="0" w:color="auto"/>
                    <w:bottom w:val="single" w:sz="2" w:space="0" w:color="auto"/>
                    <w:right w:val="nil"/>
                  </w:tcBorders>
                  <w:vAlign w:val="center"/>
                </w:tcPr>
                <w:p w14:paraId="2316119E" w14:textId="77777777" w:rsidR="009D00F4" w:rsidRPr="00257FB3" w:rsidRDefault="009D00F4" w:rsidP="00654418">
                  <w:pPr>
                    <w:framePr w:hSpace="141" w:wrap="around" w:hAnchor="margin" w:xAlign="center" w:y="-1415"/>
                    <w:jc w:val="center"/>
                    <w:rPr>
                      <w:b/>
                      <w:sz w:val="16"/>
                      <w:szCs w:val="16"/>
                    </w:rPr>
                  </w:pPr>
                  <w:r w:rsidRPr="00257FB3">
                    <w:rPr>
                      <w:b/>
                      <w:bCs/>
                      <w:sz w:val="16"/>
                      <w:szCs w:val="16"/>
                    </w:rPr>
                    <w:t>Jednotka</w:t>
                  </w:r>
                </w:p>
              </w:tc>
              <w:tc>
                <w:tcPr>
                  <w:tcW w:w="1713" w:type="pct"/>
                  <w:gridSpan w:val="2"/>
                  <w:tcBorders>
                    <w:left w:val="single" w:sz="2" w:space="0" w:color="auto"/>
                    <w:bottom w:val="nil"/>
                  </w:tcBorders>
                  <w:vAlign w:val="center"/>
                </w:tcPr>
                <w:p w14:paraId="20AE8D34" w14:textId="77777777" w:rsidR="009D00F4" w:rsidRPr="00257FB3" w:rsidRDefault="009D00F4" w:rsidP="00654418">
                  <w:pPr>
                    <w:framePr w:hSpace="141" w:wrap="around" w:hAnchor="margin" w:xAlign="center" w:y="-1415"/>
                    <w:jc w:val="center"/>
                    <w:rPr>
                      <w:b/>
                      <w:sz w:val="16"/>
                      <w:szCs w:val="16"/>
                    </w:rPr>
                  </w:pPr>
                  <w:r w:rsidRPr="00257FB3">
                    <w:rPr>
                      <w:b/>
                      <w:bCs/>
                      <w:sz w:val="16"/>
                      <w:szCs w:val="16"/>
                    </w:rPr>
                    <w:t>Limity</w:t>
                  </w:r>
                  <w:r w:rsidRPr="00257FB3">
                    <w:rPr>
                      <w:b/>
                      <w:bCs/>
                      <w:sz w:val="16"/>
                      <w:szCs w:val="16"/>
                      <w:vertAlign w:val="superscript"/>
                    </w:rPr>
                    <w:t xml:space="preserve"> b</w:t>
                  </w:r>
                  <w:r w:rsidRPr="00257FB3">
                    <w:rPr>
                      <w:b/>
                      <w:bCs/>
                      <w:sz w:val="16"/>
                      <w:szCs w:val="16"/>
                    </w:rPr>
                    <w:t>)</w:t>
                  </w:r>
                </w:p>
              </w:tc>
            </w:tr>
            <w:tr w:rsidR="009D00F4" w:rsidRPr="00257FB3" w14:paraId="11CA21CF" w14:textId="77777777" w:rsidTr="0017306B">
              <w:trPr>
                <w:tblCellSpacing w:w="0" w:type="dxa"/>
                <w:jc w:val="center"/>
              </w:trPr>
              <w:tc>
                <w:tcPr>
                  <w:tcW w:w="2632" w:type="pct"/>
                  <w:vMerge/>
                  <w:tcBorders>
                    <w:top w:val="single" w:sz="2" w:space="0" w:color="auto"/>
                    <w:left w:val="nil"/>
                    <w:right w:val="nil"/>
                  </w:tcBorders>
                  <w:vAlign w:val="center"/>
                </w:tcPr>
                <w:p w14:paraId="374698BC" w14:textId="77777777" w:rsidR="009D00F4" w:rsidRPr="00257FB3" w:rsidRDefault="009D00F4" w:rsidP="00654418">
                  <w:pPr>
                    <w:framePr w:hSpace="141" w:wrap="around" w:hAnchor="margin" w:xAlign="center" w:y="-1415"/>
                    <w:jc w:val="center"/>
                    <w:rPr>
                      <w:b/>
                      <w:sz w:val="16"/>
                      <w:szCs w:val="16"/>
                    </w:rPr>
                  </w:pPr>
                </w:p>
              </w:tc>
              <w:tc>
                <w:tcPr>
                  <w:tcW w:w="655" w:type="pct"/>
                  <w:vMerge/>
                  <w:tcBorders>
                    <w:top w:val="single" w:sz="2" w:space="0" w:color="auto"/>
                    <w:left w:val="single" w:sz="2" w:space="0" w:color="auto"/>
                    <w:right w:val="nil"/>
                  </w:tcBorders>
                  <w:vAlign w:val="center"/>
                </w:tcPr>
                <w:p w14:paraId="2A5E2F27" w14:textId="77777777" w:rsidR="009D00F4" w:rsidRPr="00257FB3" w:rsidRDefault="009D00F4" w:rsidP="00654418">
                  <w:pPr>
                    <w:framePr w:hSpace="141" w:wrap="around" w:hAnchor="margin" w:xAlign="center" w:y="-1415"/>
                    <w:jc w:val="center"/>
                    <w:rPr>
                      <w:b/>
                      <w:sz w:val="16"/>
                      <w:szCs w:val="16"/>
                    </w:rPr>
                  </w:pPr>
                </w:p>
              </w:tc>
              <w:tc>
                <w:tcPr>
                  <w:tcW w:w="772" w:type="pct"/>
                  <w:tcBorders>
                    <w:left w:val="single" w:sz="2" w:space="0" w:color="auto"/>
                  </w:tcBorders>
                  <w:vAlign w:val="center"/>
                </w:tcPr>
                <w:p w14:paraId="7A43B040" w14:textId="77777777" w:rsidR="009D00F4" w:rsidRPr="00257FB3" w:rsidRDefault="009D00F4" w:rsidP="00654418">
                  <w:pPr>
                    <w:framePr w:hSpace="141" w:wrap="around" w:hAnchor="margin" w:xAlign="center" w:y="-1415"/>
                    <w:jc w:val="center"/>
                    <w:rPr>
                      <w:b/>
                      <w:sz w:val="16"/>
                      <w:szCs w:val="16"/>
                    </w:rPr>
                  </w:pPr>
                  <w:r w:rsidRPr="00257FB3">
                    <w:rPr>
                      <w:b/>
                      <w:bCs/>
                      <w:sz w:val="16"/>
                      <w:szCs w:val="16"/>
                    </w:rPr>
                    <w:t>Najmenej</w:t>
                  </w:r>
                </w:p>
              </w:tc>
              <w:tc>
                <w:tcPr>
                  <w:tcW w:w="941" w:type="pct"/>
                  <w:tcBorders>
                    <w:left w:val="nil"/>
                  </w:tcBorders>
                  <w:vAlign w:val="center"/>
                </w:tcPr>
                <w:p w14:paraId="11CD733A" w14:textId="77777777" w:rsidR="009D00F4" w:rsidRPr="00257FB3" w:rsidRDefault="009D00F4" w:rsidP="00654418">
                  <w:pPr>
                    <w:framePr w:hSpace="141" w:wrap="around" w:hAnchor="margin" w:xAlign="center" w:y="-1415"/>
                    <w:jc w:val="center"/>
                    <w:rPr>
                      <w:b/>
                      <w:sz w:val="16"/>
                      <w:szCs w:val="16"/>
                    </w:rPr>
                  </w:pPr>
                  <w:r w:rsidRPr="00257FB3">
                    <w:rPr>
                      <w:b/>
                      <w:bCs/>
                      <w:sz w:val="16"/>
                      <w:szCs w:val="16"/>
                    </w:rPr>
                    <w:t>Najviac</w:t>
                  </w:r>
                </w:p>
              </w:tc>
            </w:tr>
            <w:tr w:rsidR="009D00F4" w:rsidRPr="00257FB3" w14:paraId="49695402" w14:textId="77777777" w:rsidTr="0017306B">
              <w:trPr>
                <w:tblCellSpacing w:w="0" w:type="dxa"/>
                <w:jc w:val="center"/>
              </w:trPr>
              <w:tc>
                <w:tcPr>
                  <w:tcW w:w="5000" w:type="pct"/>
                  <w:gridSpan w:val="4"/>
                  <w:tcBorders>
                    <w:top w:val="single" w:sz="2" w:space="0" w:color="auto"/>
                    <w:left w:val="nil"/>
                  </w:tcBorders>
                  <w:vAlign w:val="center"/>
                </w:tcPr>
                <w:p w14:paraId="127FBC59" w14:textId="77777777" w:rsidR="009D00F4" w:rsidRPr="00257FB3" w:rsidRDefault="009D00F4" w:rsidP="00654418">
                  <w:pPr>
                    <w:framePr w:hSpace="141" w:wrap="around" w:hAnchor="margin" w:xAlign="center" w:y="-1415"/>
                    <w:rPr>
                      <w:b/>
                      <w:bCs/>
                      <w:sz w:val="16"/>
                      <w:szCs w:val="16"/>
                    </w:rPr>
                  </w:pPr>
                  <w:r w:rsidRPr="00257FB3">
                    <w:rPr>
                      <w:sz w:val="16"/>
                      <w:szCs w:val="16"/>
                    </w:rPr>
                    <w:t>BENZÍN</w:t>
                  </w:r>
                </w:p>
              </w:tc>
            </w:tr>
            <w:tr w:rsidR="009D00F4" w:rsidRPr="00257FB3" w14:paraId="470023E3" w14:textId="77777777" w:rsidTr="0017306B">
              <w:trPr>
                <w:tblCellSpacing w:w="0" w:type="dxa"/>
                <w:jc w:val="center"/>
              </w:trPr>
              <w:tc>
                <w:tcPr>
                  <w:tcW w:w="2632" w:type="pct"/>
                  <w:tcBorders>
                    <w:left w:val="nil"/>
                    <w:right w:val="nil"/>
                  </w:tcBorders>
                </w:tcPr>
                <w:p w14:paraId="68C8BAF9" w14:textId="77777777" w:rsidR="009D00F4" w:rsidRPr="00257FB3" w:rsidRDefault="009D00F4" w:rsidP="00654418">
                  <w:pPr>
                    <w:framePr w:hSpace="141" w:wrap="around" w:hAnchor="margin" w:xAlign="center" w:y="-1415"/>
                    <w:rPr>
                      <w:sz w:val="16"/>
                      <w:szCs w:val="16"/>
                    </w:rPr>
                  </w:pPr>
                  <w:r w:rsidRPr="00257FB3">
                    <w:rPr>
                      <w:sz w:val="16"/>
                      <w:szCs w:val="16"/>
                    </w:rPr>
                    <w:t>Oktánové číslo výskumnou metódou</w:t>
                  </w:r>
                </w:p>
              </w:tc>
              <w:tc>
                <w:tcPr>
                  <w:tcW w:w="655" w:type="pct"/>
                  <w:tcBorders>
                    <w:right w:val="nil"/>
                  </w:tcBorders>
                </w:tcPr>
                <w:p w14:paraId="77B9D206" w14:textId="77777777" w:rsidR="009D00F4" w:rsidRPr="00257FB3" w:rsidRDefault="009D00F4" w:rsidP="00654418">
                  <w:pPr>
                    <w:framePr w:hSpace="141" w:wrap="around" w:hAnchor="margin" w:xAlign="center" w:y="-1415"/>
                    <w:rPr>
                      <w:sz w:val="16"/>
                      <w:szCs w:val="16"/>
                    </w:rPr>
                  </w:pPr>
                </w:p>
              </w:tc>
              <w:tc>
                <w:tcPr>
                  <w:tcW w:w="772" w:type="pct"/>
                </w:tcPr>
                <w:p w14:paraId="2EBB1BC7" w14:textId="77777777" w:rsidR="009D00F4" w:rsidRPr="00257FB3" w:rsidRDefault="009D00F4" w:rsidP="00654418">
                  <w:pPr>
                    <w:framePr w:hSpace="141" w:wrap="around" w:hAnchor="margin" w:xAlign="center" w:y="-1415"/>
                    <w:jc w:val="center"/>
                    <w:rPr>
                      <w:sz w:val="16"/>
                      <w:szCs w:val="16"/>
                      <w:vertAlign w:val="superscript"/>
                    </w:rPr>
                  </w:pPr>
                  <w:r w:rsidRPr="00257FB3">
                    <w:rPr>
                      <w:sz w:val="16"/>
                      <w:szCs w:val="16"/>
                    </w:rPr>
                    <w:t>95</w:t>
                  </w:r>
                </w:p>
              </w:tc>
              <w:tc>
                <w:tcPr>
                  <w:tcW w:w="941" w:type="pct"/>
                  <w:tcBorders>
                    <w:left w:val="nil"/>
                    <w:right w:val="nil"/>
                  </w:tcBorders>
                </w:tcPr>
                <w:p w14:paraId="5B2574D6" w14:textId="77777777" w:rsidR="009D00F4" w:rsidRPr="00257FB3" w:rsidRDefault="009D00F4" w:rsidP="00654418">
                  <w:pPr>
                    <w:framePr w:hSpace="141" w:wrap="around" w:hAnchor="margin" w:xAlign="center" w:y="-1415"/>
                    <w:jc w:val="center"/>
                    <w:rPr>
                      <w:sz w:val="16"/>
                      <w:szCs w:val="16"/>
                    </w:rPr>
                  </w:pPr>
                </w:p>
              </w:tc>
            </w:tr>
            <w:tr w:rsidR="009D00F4" w:rsidRPr="00257FB3" w14:paraId="3462A198" w14:textId="77777777" w:rsidTr="0017306B">
              <w:trPr>
                <w:tblCellSpacing w:w="0" w:type="dxa"/>
                <w:jc w:val="center"/>
              </w:trPr>
              <w:tc>
                <w:tcPr>
                  <w:tcW w:w="2632" w:type="pct"/>
                  <w:tcBorders>
                    <w:left w:val="nil"/>
                    <w:right w:val="nil"/>
                  </w:tcBorders>
                </w:tcPr>
                <w:p w14:paraId="6B6D95C0" w14:textId="77777777" w:rsidR="009D00F4" w:rsidRPr="00257FB3" w:rsidRDefault="009D00F4" w:rsidP="00654418">
                  <w:pPr>
                    <w:framePr w:hSpace="141" w:wrap="around" w:hAnchor="margin" w:xAlign="center" w:y="-1415"/>
                    <w:rPr>
                      <w:sz w:val="16"/>
                      <w:szCs w:val="16"/>
                    </w:rPr>
                  </w:pPr>
                  <w:r w:rsidRPr="00257FB3">
                    <w:rPr>
                      <w:sz w:val="16"/>
                      <w:szCs w:val="16"/>
                    </w:rPr>
                    <w:t>Oktánové číslo motorovou metódou</w:t>
                  </w:r>
                </w:p>
              </w:tc>
              <w:tc>
                <w:tcPr>
                  <w:tcW w:w="655" w:type="pct"/>
                  <w:tcBorders>
                    <w:right w:val="nil"/>
                  </w:tcBorders>
                </w:tcPr>
                <w:p w14:paraId="6616E23B" w14:textId="77777777" w:rsidR="009D00F4" w:rsidRPr="00257FB3" w:rsidRDefault="009D00F4" w:rsidP="00654418">
                  <w:pPr>
                    <w:framePr w:hSpace="141" w:wrap="around" w:hAnchor="margin" w:xAlign="center" w:y="-1415"/>
                    <w:rPr>
                      <w:sz w:val="16"/>
                      <w:szCs w:val="16"/>
                    </w:rPr>
                  </w:pPr>
                </w:p>
              </w:tc>
              <w:tc>
                <w:tcPr>
                  <w:tcW w:w="772" w:type="pct"/>
                </w:tcPr>
                <w:p w14:paraId="16F1D876" w14:textId="77777777" w:rsidR="009D00F4" w:rsidRPr="00257FB3" w:rsidRDefault="009D00F4" w:rsidP="00654418">
                  <w:pPr>
                    <w:framePr w:hSpace="141" w:wrap="around" w:hAnchor="margin" w:xAlign="center" w:y="-1415"/>
                    <w:jc w:val="center"/>
                    <w:rPr>
                      <w:sz w:val="16"/>
                      <w:szCs w:val="16"/>
                    </w:rPr>
                  </w:pPr>
                  <w:r w:rsidRPr="00257FB3">
                    <w:rPr>
                      <w:sz w:val="16"/>
                      <w:szCs w:val="16"/>
                    </w:rPr>
                    <w:t>85</w:t>
                  </w:r>
                </w:p>
              </w:tc>
              <w:tc>
                <w:tcPr>
                  <w:tcW w:w="941" w:type="pct"/>
                  <w:tcBorders>
                    <w:left w:val="nil"/>
                    <w:right w:val="nil"/>
                  </w:tcBorders>
                </w:tcPr>
                <w:p w14:paraId="5709F757" w14:textId="77777777" w:rsidR="009D00F4" w:rsidRPr="00257FB3" w:rsidRDefault="009D00F4" w:rsidP="00654418">
                  <w:pPr>
                    <w:framePr w:hSpace="141" w:wrap="around" w:hAnchor="margin" w:xAlign="center" w:y="-1415"/>
                    <w:jc w:val="center"/>
                    <w:rPr>
                      <w:sz w:val="16"/>
                      <w:szCs w:val="16"/>
                    </w:rPr>
                  </w:pPr>
                </w:p>
              </w:tc>
            </w:tr>
            <w:tr w:rsidR="009D00F4" w:rsidRPr="00257FB3" w14:paraId="4D47569D" w14:textId="77777777" w:rsidTr="0017306B">
              <w:trPr>
                <w:tblCellSpacing w:w="0" w:type="dxa"/>
                <w:jc w:val="center"/>
              </w:trPr>
              <w:tc>
                <w:tcPr>
                  <w:tcW w:w="2632" w:type="pct"/>
                  <w:tcBorders>
                    <w:left w:val="nil"/>
                    <w:bottom w:val="single" w:sz="2" w:space="0" w:color="auto"/>
                    <w:right w:val="nil"/>
                  </w:tcBorders>
                </w:tcPr>
                <w:p w14:paraId="46DE07A7" w14:textId="77777777" w:rsidR="009D00F4" w:rsidRPr="00257FB3" w:rsidRDefault="009D00F4" w:rsidP="00654418">
                  <w:pPr>
                    <w:framePr w:hSpace="141" w:wrap="around" w:hAnchor="margin" w:xAlign="center" w:y="-1415"/>
                    <w:rPr>
                      <w:sz w:val="16"/>
                      <w:szCs w:val="16"/>
                    </w:rPr>
                  </w:pPr>
                  <w:r w:rsidRPr="00257FB3">
                    <w:rPr>
                      <w:sz w:val="16"/>
                      <w:szCs w:val="16"/>
                    </w:rPr>
                    <w:t xml:space="preserve">Tlak pár pre letné </w:t>
                  </w:r>
                  <w:proofErr w:type="spellStart"/>
                  <w:r w:rsidRPr="00257FB3">
                    <w:rPr>
                      <w:sz w:val="16"/>
                      <w:szCs w:val="16"/>
                    </w:rPr>
                    <w:t>obdobie</w:t>
                  </w:r>
                  <w:r w:rsidRPr="00257FB3">
                    <w:rPr>
                      <w:sz w:val="16"/>
                      <w:szCs w:val="16"/>
                      <w:vertAlign w:val="superscript"/>
                    </w:rPr>
                    <w:t>c</w:t>
                  </w:r>
                  <w:proofErr w:type="spellEnd"/>
                  <w:r w:rsidRPr="00257FB3">
                    <w:rPr>
                      <w:sz w:val="16"/>
                      <w:szCs w:val="16"/>
                    </w:rPr>
                    <w:t>)</w:t>
                  </w:r>
                </w:p>
              </w:tc>
              <w:tc>
                <w:tcPr>
                  <w:tcW w:w="655" w:type="pct"/>
                  <w:tcBorders>
                    <w:bottom w:val="nil"/>
                    <w:right w:val="nil"/>
                  </w:tcBorders>
                </w:tcPr>
                <w:p w14:paraId="4ED87DCA" w14:textId="77777777" w:rsidR="009D00F4" w:rsidRPr="00257FB3" w:rsidRDefault="009D00F4" w:rsidP="00654418">
                  <w:pPr>
                    <w:framePr w:hSpace="141" w:wrap="around" w:hAnchor="margin" w:xAlign="center" w:y="-1415"/>
                    <w:jc w:val="center"/>
                    <w:rPr>
                      <w:sz w:val="16"/>
                      <w:szCs w:val="16"/>
                    </w:rPr>
                  </w:pPr>
                  <w:r w:rsidRPr="00257FB3">
                    <w:rPr>
                      <w:sz w:val="16"/>
                      <w:szCs w:val="16"/>
                    </w:rPr>
                    <w:t>kPa</w:t>
                  </w:r>
                </w:p>
              </w:tc>
              <w:tc>
                <w:tcPr>
                  <w:tcW w:w="772" w:type="pct"/>
                  <w:tcBorders>
                    <w:bottom w:val="nil"/>
                  </w:tcBorders>
                </w:tcPr>
                <w:p w14:paraId="625E8C57" w14:textId="77777777" w:rsidR="009D00F4" w:rsidRPr="00257FB3" w:rsidRDefault="009D00F4" w:rsidP="00654418">
                  <w:pPr>
                    <w:framePr w:hSpace="141" w:wrap="around" w:hAnchor="margin" w:xAlign="center" w:y="-1415"/>
                    <w:jc w:val="center"/>
                    <w:rPr>
                      <w:sz w:val="16"/>
                      <w:szCs w:val="16"/>
                    </w:rPr>
                  </w:pPr>
                  <w:r w:rsidRPr="00257FB3">
                    <w:rPr>
                      <w:sz w:val="16"/>
                      <w:szCs w:val="16"/>
                    </w:rPr>
                    <w:t> </w:t>
                  </w:r>
                </w:p>
              </w:tc>
              <w:tc>
                <w:tcPr>
                  <w:tcW w:w="941" w:type="pct"/>
                  <w:tcBorders>
                    <w:left w:val="nil"/>
                    <w:bottom w:val="nil"/>
                    <w:right w:val="nil"/>
                  </w:tcBorders>
                </w:tcPr>
                <w:p w14:paraId="603ADD44" w14:textId="77777777" w:rsidR="009D00F4" w:rsidRPr="00257FB3" w:rsidRDefault="009D00F4" w:rsidP="00654418">
                  <w:pPr>
                    <w:framePr w:hSpace="141" w:wrap="around" w:hAnchor="margin" w:xAlign="center" w:y="-1415"/>
                    <w:jc w:val="center"/>
                    <w:rPr>
                      <w:sz w:val="16"/>
                      <w:szCs w:val="16"/>
                      <w:vertAlign w:val="superscript"/>
                    </w:rPr>
                  </w:pPr>
                  <w:r w:rsidRPr="00257FB3">
                    <w:rPr>
                      <w:sz w:val="16"/>
                      <w:szCs w:val="16"/>
                    </w:rPr>
                    <w:t>60,0</w:t>
                  </w:r>
                </w:p>
              </w:tc>
            </w:tr>
            <w:tr w:rsidR="009D00F4" w:rsidRPr="00257FB3" w14:paraId="607EB987" w14:textId="77777777" w:rsidTr="0017306B">
              <w:trPr>
                <w:tblCellSpacing w:w="0" w:type="dxa"/>
                <w:jc w:val="center"/>
              </w:trPr>
              <w:tc>
                <w:tcPr>
                  <w:tcW w:w="5000" w:type="pct"/>
                  <w:gridSpan w:val="4"/>
                  <w:tcBorders>
                    <w:left w:val="nil"/>
                    <w:bottom w:val="single" w:sz="2" w:space="0" w:color="auto"/>
                    <w:right w:val="nil"/>
                  </w:tcBorders>
                </w:tcPr>
                <w:p w14:paraId="44D2A7DE" w14:textId="77777777" w:rsidR="009D00F4" w:rsidRPr="00257FB3" w:rsidRDefault="009D00F4" w:rsidP="00654418">
                  <w:pPr>
                    <w:framePr w:hSpace="141" w:wrap="around" w:hAnchor="margin" w:xAlign="center" w:y="-1415"/>
                    <w:rPr>
                      <w:sz w:val="16"/>
                      <w:szCs w:val="16"/>
                    </w:rPr>
                  </w:pPr>
                  <w:r w:rsidRPr="00257FB3">
                    <w:rPr>
                      <w:sz w:val="16"/>
                      <w:szCs w:val="16"/>
                    </w:rPr>
                    <w:t>Destilácia:</w:t>
                  </w:r>
                </w:p>
              </w:tc>
            </w:tr>
            <w:tr w:rsidR="009D00F4" w:rsidRPr="00257FB3" w14:paraId="41949ECE" w14:textId="77777777" w:rsidTr="0017306B">
              <w:trPr>
                <w:trHeight w:val="406"/>
                <w:tblCellSpacing w:w="0" w:type="dxa"/>
                <w:jc w:val="center"/>
              </w:trPr>
              <w:tc>
                <w:tcPr>
                  <w:tcW w:w="2632" w:type="pct"/>
                  <w:tcBorders>
                    <w:left w:val="nil"/>
                    <w:right w:val="nil"/>
                  </w:tcBorders>
                </w:tcPr>
                <w:p w14:paraId="78A04DA0" w14:textId="77777777" w:rsidR="009D00F4" w:rsidRPr="00257FB3" w:rsidRDefault="009D00F4" w:rsidP="00654418">
                  <w:pPr>
                    <w:framePr w:hSpace="141" w:wrap="around" w:hAnchor="margin" w:xAlign="center" w:y="-1415"/>
                    <w:rPr>
                      <w:sz w:val="16"/>
                      <w:szCs w:val="16"/>
                    </w:rPr>
                  </w:pPr>
                  <w:r w:rsidRPr="00257FB3">
                    <w:rPr>
                      <w:sz w:val="16"/>
                      <w:szCs w:val="16"/>
                    </w:rPr>
                    <w:t>odparené percento do 100 °C</w:t>
                  </w:r>
                </w:p>
              </w:tc>
              <w:tc>
                <w:tcPr>
                  <w:tcW w:w="655" w:type="pct"/>
                  <w:vMerge w:val="restart"/>
                  <w:tcBorders>
                    <w:left w:val="single" w:sz="2" w:space="0" w:color="auto"/>
                    <w:right w:val="single" w:sz="2" w:space="0" w:color="auto"/>
                  </w:tcBorders>
                  <w:vAlign w:val="center"/>
                </w:tcPr>
                <w:p w14:paraId="38CEEE4F" w14:textId="77777777" w:rsidR="009D00F4" w:rsidRPr="00257FB3" w:rsidRDefault="009D00F4" w:rsidP="00654418">
                  <w:pPr>
                    <w:framePr w:hSpace="141" w:wrap="around" w:hAnchor="margin" w:xAlign="center" w:y="-1415"/>
                    <w:jc w:val="center"/>
                    <w:rPr>
                      <w:sz w:val="16"/>
                      <w:szCs w:val="16"/>
                    </w:rPr>
                  </w:pPr>
                  <w:r w:rsidRPr="00257FB3">
                    <w:rPr>
                      <w:sz w:val="16"/>
                      <w:szCs w:val="16"/>
                    </w:rPr>
                    <w:t>% objemu</w:t>
                  </w:r>
                </w:p>
              </w:tc>
              <w:tc>
                <w:tcPr>
                  <w:tcW w:w="772" w:type="pct"/>
                  <w:tcBorders>
                    <w:left w:val="nil"/>
                    <w:right w:val="nil"/>
                  </w:tcBorders>
                </w:tcPr>
                <w:p w14:paraId="759917D9" w14:textId="77777777" w:rsidR="009D00F4" w:rsidRPr="00257FB3" w:rsidRDefault="009D00F4" w:rsidP="00654418">
                  <w:pPr>
                    <w:framePr w:hSpace="141" w:wrap="around" w:hAnchor="margin" w:xAlign="center" w:y="-1415"/>
                    <w:jc w:val="center"/>
                    <w:rPr>
                      <w:sz w:val="16"/>
                      <w:szCs w:val="16"/>
                    </w:rPr>
                  </w:pPr>
                  <w:r w:rsidRPr="00257FB3">
                    <w:rPr>
                      <w:sz w:val="16"/>
                      <w:szCs w:val="16"/>
                    </w:rPr>
                    <w:t>46,0</w:t>
                  </w:r>
                </w:p>
              </w:tc>
              <w:tc>
                <w:tcPr>
                  <w:tcW w:w="941" w:type="pct"/>
                  <w:tcBorders>
                    <w:left w:val="single" w:sz="2" w:space="0" w:color="auto"/>
                    <w:right w:val="single" w:sz="2" w:space="0" w:color="auto"/>
                  </w:tcBorders>
                </w:tcPr>
                <w:p w14:paraId="0D34E728" w14:textId="77777777" w:rsidR="009D00F4" w:rsidRPr="00257FB3" w:rsidRDefault="009D00F4" w:rsidP="00654418">
                  <w:pPr>
                    <w:framePr w:hSpace="141" w:wrap="around" w:hAnchor="margin" w:xAlign="center" w:y="-1415"/>
                    <w:spacing w:after="240"/>
                    <w:jc w:val="center"/>
                    <w:rPr>
                      <w:sz w:val="16"/>
                      <w:szCs w:val="16"/>
                    </w:rPr>
                  </w:pPr>
                </w:p>
              </w:tc>
            </w:tr>
            <w:tr w:rsidR="009D00F4" w:rsidRPr="00257FB3" w14:paraId="28777781" w14:textId="77777777" w:rsidTr="0017306B">
              <w:trPr>
                <w:trHeight w:val="385"/>
                <w:tblCellSpacing w:w="0" w:type="dxa"/>
                <w:jc w:val="center"/>
              </w:trPr>
              <w:tc>
                <w:tcPr>
                  <w:tcW w:w="2632" w:type="pct"/>
                  <w:tcBorders>
                    <w:left w:val="nil"/>
                    <w:right w:val="nil"/>
                  </w:tcBorders>
                </w:tcPr>
                <w:p w14:paraId="7D9D244B" w14:textId="77777777" w:rsidR="009D00F4" w:rsidRPr="00257FB3" w:rsidRDefault="009D00F4" w:rsidP="00654418">
                  <w:pPr>
                    <w:framePr w:hSpace="141" w:wrap="around" w:hAnchor="margin" w:xAlign="center" w:y="-1415"/>
                    <w:rPr>
                      <w:sz w:val="16"/>
                      <w:szCs w:val="16"/>
                    </w:rPr>
                  </w:pPr>
                  <w:r w:rsidRPr="00257FB3">
                    <w:rPr>
                      <w:sz w:val="16"/>
                      <w:szCs w:val="16"/>
                    </w:rPr>
                    <w:t>odparené percento do 150 °C</w:t>
                  </w:r>
                </w:p>
              </w:tc>
              <w:tc>
                <w:tcPr>
                  <w:tcW w:w="655" w:type="pct"/>
                  <w:vMerge/>
                  <w:tcBorders>
                    <w:left w:val="single" w:sz="2" w:space="0" w:color="auto"/>
                    <w:right w:val="single" w:sz="2" w:space="0" w:color="auto"/>
                  </w:tcBorders>
                </w:tcPr>
                <w:p w14:paraId="10863AD3" w14:textId="77777777" w:rsidR="009D00F4" w:rsidRPr="00257FB3" w:rsidRDefault="009D00F4" w:rsidP="00654418">
                  <w:pPr>
                    <w:framePr w:hSpace="141" w:wrap="around" w:hAnchor="margin" w:xAlign="center" w:y="-1415"/>
                    <w:jc w:val="center"/>
                    <w:rPr>
                      <w:sz w:val="16"/>
                      <w:szCs w:val="16"/>
                    </w:rPr>
                  </w:pPr>
                </w:p>
              </w:tc>
              <w:tc>
                <w:tcPr>
                  <w:tcW w:w="772" w:type="pct"/>
                  <w:tcBorders>
                    <w:left w:val="nil"/>
                    <w:right w:val="nil"/>
                  </w:tcBorders>
                </w:tcPr>
                <w:p w14:paraId="088B6196" w14:textId="77777777" w:rsidR="009D00F4" w:rsidRPr="00257FB3" w:rsidRDefault="009D00F4" w:rsidP="00654418">
                  <w:pPr>
                    <w:framePr w:hSpace="141" w:wrap="around" w:hAnchor="margin" w:xAlign="center" w:y="-1415"/>
                    <w:jc w:val="center"/>
                    <w:rPr>
                      <w:sz w:val="16"/>
                      <w:szCs w:val="16"/>
                    </w:rPr>
                  </w:pPr>
                  <w:r w:rsidRPr="00257FB3">
                    <w:rPr>
                      <w:sz w:val="16"/>
                      <w:szCs w:val="16"/>
                    </w:rPr>
                    <w:t>75,0</w:t>
                  </w:r>
                </w:p>
              </w:tc>
              <w:tc>
                <w:tcPr>
                  <w:tcW w:w="941" w:type="pct"/>
                  <w:tcBorders>
                    <w:left w:val="single" w:sz="2" w:space="0" w:color="auto"/>
                    <w:right w:val="single" w:sz="2" w:space="0" w:color="auto"/>
                  </w:tcBorders>
                </w:tcPr>
                <w:p w14:paraId="662B5C0E" w14:textId="77777777" w:rsidR="009D00F4" w:rsidRPr="00257FB3" w:rsidRDefault="009D00F4" w:rsidP="00654418">
                  <w:pPr>
                    <w:framePr w:hSpace="141" w:wrap="around" w:hAnchor="margin" w:xAlign="center" w:y="-1415"/>
                    <w:spacing w:after="240"/>
                    <w:jc w:val="center"/>
                    <w:rPr>
                      <w:sz w:val="16"/>
                      <w:szCs w:val="16"/>
                    </w:rPr>
                  </w:pPr>
                </w:p>
              </w:tc>
            </w:tr>
            <w:tr w:rsidR="009D00F4" w:rsidRPr="00257FB3" w14:paraId="7AADBA17" w14:textId="77777777" w:rsidTr="0017306B">
              <w:trPr>
                <w:trHeight w:val="356"/>
                <w:tblCellSpacing w:w="0" w:type="dxa"/>
                <w:jc w:val="center"/>
              </w:trPr>
              <w:tc>
                <w:tcPr>
                  <w:tcW w:w="5000" w:type="pct"/>
                  <w:gridSpan w:val="4"/>
                  <w:tcBorders>
                    <w:left w:val="nil"/>
                    <w:right w:val="single" w:sz="2" w:space="0" w:color="auto"/>
                  </w:tcBorders>
                </w:tcPr>
                <w:p w14:paraId="0A30515B" w14:textId="77777777" w:rsidR="009D00F4" w:rsidRPr="00257FB3" w:rsidRDefault="009D00F4" w:rsidP="00654418">
                  <w:pPr>
                    <w:framePr w:hSpace="141" w:wrap="around" w:hAnchor="margin" w:xAlign="center" w:y="-1415"/>
                    <w:spacing w:after="240"/>
                    <w:rPr>
                      <w:sz w:val="16"/>
                      <w:szCs w:val="16"/>
                    </w:rPr>
                  </w:pPr>
                  <w:r w:rsidRPr="00257FB3">
                    <w:rPr>
                      <w:sz w:val="16"/>
                      <w:szCs w:val="16"/>
                    </w:rPr>
                    <w:t>Obsah uhľovodíkových skupín:</w:t>
                  </w:r>
                </w:p>
              </w:tc>
            </w:tr>
            <w:tr w:rsidR="009D00F4" w:rsidRPr="00257FB3" w14:paraId="07E212AB" w14:textId="77777777" w:rsidTr="0017306B">
              <w:trPr>
                <w:trHeight w:val="398"/>
                <w:tblCellSpacing w:w="0" w:type="dxa"/>
                <w:jc w:val="center"/>
              </w:trPr>
              <w:tc>
                <w:tcPr>
                  <w:tcW w:w="2632" w:type="pct"/>
                  <w:tcBorders>
                    <w:left w:val="nil"/>
                    <w:right w:val="nil"/>
                  </w:tcBorders>
                </w:tcPr>
                <w:p w14:paraId="75C900BC"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olefíny</w:t>
                  </w:r>
                  <w:proofErr w:type="spellEnd"/>
                </w:p>
              </w:tc>
              <w:tc>
                <w:tcPr>
                  <w:tcW w:w="655" w:type="pct"/>
                  <w:vMerge w:val="restart"/>
                  <w:tcBorders>
                    <w:left w:val="single" w:sz="2" w:space="0" w:color="auto"/>
                    <w:right w:val="nil"/>
                  </w:tcBorders>
                  <w:vAlign w:val="center"/>
                </w:tcPr>
                <w:p w14:paraId="3B2E1A38" w14:textId="77777777" w:rsidR="009D00F4" w:rsidRPr="00257FB3" w:rsidRDefault="009D00F4" w:rsidP="00654418">
                  <w:pPr>
                    <w:framePr w:hSpace="141" w:wrap="around" w:hAnchor="margin" w:xAlign="center" w:y="-1415"/>
                    <w:jc w:val="center"/>
                    <w:rPr>
                      <w:sz w:val="16"/>
                      <w:szCs w:val="16"/>
                    </w:rPr>
                  </w:pPr>
                  <w:r w:rsidRPr="00257FB3">
                    <w:rPr>
                      <w:sz w:val="16"/>
                      <w:szCs w:val="16"/>
                    </w:rPr>
                    <w:t>% objemu</w:t>
                  </w:r>
                </w:p>
              </w:tc>
              <w:tc>
                <w:tcPr>
                  <w:tcW w:w="772" w:type="pct"/>
                  <w:tcBorders>
                    <w:left w:val="single" w:sz="2" w:space="0" w:color="auto"/>
                    <w:right w:val="single" w:sz="2" w:space="0" w:color="auto"/>
                  </w:tcBorders>
                </w:tcPr>
                <w:p w14:paraId="72B09BCD"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right w:val="nil"/>
                  </w:tcBorders>
                </w:tcPr>
                <w:p w14:paraId="7C55EFEB" w14:textId="77777777" w:rsidR="009D00F4" w:rsidRPr="00257FB3" w:rsidRDefault="009D00F4" w:rsidP="00654418">
                  <w:pPr>
                    <w:framePr w:hSpace="141" w:wrap="around" w:hAnchor="margin" w:xAlign="center" w:y="-1415"/>
                    <w:jc w:val="center"/>
                    <w:rPr>
                      <w:sz w:val="16"/>
                      <w:szCs w:val="16"/>
                    </w:rPr>
                  </w:pPr>
                  <w:r w:rsidRPr="00257FB3">
                    <w:rPr>
                      <w:sz w:val="16"/>
                      <w:szCs w:val="16"/>
                    </w:rPr>
                    <w:t>18,0</w:t>
                  </w:r>
                </w:p>
              </w:tc>
            </w:tr>
            <w:tr w:rsidR="009D00F4" w:rsidRPr="00257FB3" w14:paraId="3E12C45C" w14:textId="77777777" w:rsidTr="0017306B">
              <w:trPr>
                <w:trHeight w:val="378"/>
                <w:tblCellSpacing w:w="0" w:type="dxa"/>
                <w:jc w:val="center"/>
              </w:trPr>
              <w:tc>
                <w:tcPr>
                  <w:tcW w:w="2632" w:type="pct"/>
                  <w:tcBorders>
                    <w:top w:val="single" w:sz="2" w:space="0" w:color="auto"/>
                    <w:left w:val="nil"/>
                    <w:right w:val="nil"/>
                  </w:tcBorders>
                </w:tcPr>
                <w:p w14:paraId="06F2ED30"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lastRenderedPageBreak/>
                    <w:t>aromáty</w:t>
                  </w:r>
                  <w:proofErr w:type="spellEnd"/>
                </w:p>
              </w:tc>
              <w:tc>
                <w:tcPr>
                  <w:tcW w:w="655" w:type="pct"/>
                  <w:vMerge/>
                  <w:tcBorders>
                    <w:top w:val="single" w:sz="2" w:space="0" w:color="auto"/>
                    <w:left w:val="single" w:sz="2" w:space="0" w:color="auto"/>
                    <w:right w:val="nil"/>
                  </w:tcBorders>
                </w:tcPr>
                <w:p w14:paraId="3081ED5B" w14:textId="77777777" w:rsidR="009D00F4" w:rsidRPr="00257FB3" w:rsidRDefault="009D00F4" w:rsidP="00654418">
                  <w:pPr>
                    <w:framePr w:hSpace="141" w:wrap="around" w:hAnchor="margin" w:xAlign="center" w:y="-1415"/>
                    <w:jc w:val="center"/>
                    <w:rPr>
                      <w:sz w:val="16"/>
                      <w:szCs w:val="16"/>
                    </w:rPr>
                  </w:pPr>
                </w:p>
              </w:tc>
              <w:tc>
                <w:tcPr>
                  <w:tcW w:w="772" w:type="pct"/>
                  <w:tcBorders>
                    <w:top w:val="single" w:sz="2" w:space="0" w:color="auto"/>
                    <w:left w:val="single" w:sz="2" w:space="0" w:color="auto"/>
                  </w:tcBorders>
                </w:tcPr>
                <w:p w14:paraId="037B8844"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top w:val="single" w:sz="2" w:space="0" w:color="auto"/>
                    <w:left w:val="nil"/>
                    <w:right w:val="nil"/>
                  </w:tcBorders>
                </w:tcPr>
                <w:p w14:paraId="352741C4" w14:textId="77777777" w:rsidR="009D00F4" w:rsidRPr="00257FB3" w:rsidRDefault="009D00F4" w:rsidP="00654418">
                  <w:pPr>
                    <w:framePr w:hSpace="141" w:wrap="around" w:hAnchor="margin" w:xAlign="center" w:y="-1415"/>
                    <w:jc w:val="center"/>
                    <w:rPr>
                      <w:sz w:val="16"/>
                      <w:szCs w:val="16"/>
                    </w:rPr>
                  </w:pPr>
                  <w:r w:rsidRPr="00257FB3">
                    <w:rPr>
                      <w:sz w:val="16"/>
                      <w:szCs w:val="16"/>
                    </w:rPr>
                    <w:t>35,0</w:t>
                  </w:r>
                </w:p>
              </w:tc>
            </w:tr>
            <w:tr w:rsidR="009D00F4" w:rsidRPr="00257FB3" w14:paraId="2076ED29" w14:textId="77777777" w:rsidTr="0017306B">
              <w:trPr>
                <w:trHeight w:val="372"/>
                <w:tblCellSpacing w:w="0" w:type="dxa"/>
                <w:jc w:val="center"/>
              </w:trPr>
              <w:tc>
                <w:tcPr>
                  <w:tcW w:w="2632" w:type="pct"/>
                  <w:tcBorders>
                    <w:top w:val="single" w:sz="2" w:space="0" w:color="auto"/>
                    <w:left w:val="nil"/>
                    <w:right w:val="nil"/>
                  </w:tcBorders>
                </w:tcPr>
                <w:p w14:paraId="7103D430" w14:textId="77777777" w:rsidR="009D00F4" w:rsidRPr="00257FB3" w:rsidRDefault="009D00F4" w:rsidP="00654418">
                  <w:pPr>
                    <w:framePr w:hSpace="141" w:wrap="around" w:hAnchor="margin" w:xAlign="center" w:y="-1415"/>
                    <w:rPr>
                      <w:sz w:val="16"/>
                      <w:szCs w:val="16"/>
                    </w:rPr>
                  </w:pPr>
                  <w:r w:rsidRPr="00257FB3">
                    <w:rPr>
                      <w:sz w:val="16"/>
                      <w:szCs w:val="16"/>
                    </w:rPr>
                    <w:t>benzén</w:t>
                  </w:r>
                </w:p>
              </w:tc>
              <w:tc>
                <w:tcPr>
                  <w:tcW w:w="655" w:type="pct"/>
                  <w:vMerge/>
                  <w:tcBorders>
                    <w:top w:val="single" w:sz="2" w:space="0" w:color="auto"/>
                    <w:left w:val="single" w:sz="2" w:space="0" w:color="auto"/>
                    <w:right w:val="nil"/>
                  </w:tcBorders>
                </w:tcPr>
                <w:p w14:paraId="3AF01C51" w14:textId="77777777" w:rsidR="009D00F4" w:rsidRPr="00257FB3" w:rsidRDefault="009D00F4" w:rsidP="00654418">
                  <w:pPr>
                    <w:framePr w:hSpace="141" w:wrap="around" w:hAnchor="margin" w:xAlign="center" w:y="-1415"/>
                    <w:jc w:val="center"/>
                    <w:rPr>
                      <w:sz w:val="16"/>
                      <w:szCs w:val="16"/>
                    </w:rPr>
                  </w:pPr>
                </w:p>
              </w:tc>
              <w:tc>
                <w:tcPr>
                  <w:tcW w:w="772" w:type="pct"/>
                  <w:tcBorders>
                    <w:top w:val="single" w:sz="2" w:space="0" w:color="auto"/>
                    <w:left w:val="single" w:sz="2" w:space="0" w:color="auto"/>
                  </w:tcBorders>
                </w:tcPr>
                <w:p w14:paraId="287B120A"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top w:val="single" w:sz="2" w:space="0" w:color="auto"/>
                    <w:left w:val="nil"/>
                    <w:right w:val="nil"/>
                  </w:tcBorders>
                </w:tcPr>
                <w:p w14:paraId="146FCF78" w14:textId="77777777" w:rsidR="009D00F4" w:rsidRPr="00257FB3" w:rsidRDefault="009D00F4" w:rsidP="00654418">
                  <w:pPr>
                    <w:framePr w:hSpace="141" w:wrap="around" w:hAnchor="margin" w:xAlign="center" w:y="-1415"/>
                    <w:jc w:val="center"/>
                    <w:rPr>
                      <w:sz w:val="16"/>
                      <w:szCs w:val="16"/>
                    </w:rPr>
                  </w:pPr>
                  <w:r w:rsidRPr="00257FB3">
                    <w:rPr>
                      <w:sz w:val="16"/>
                      <w:szCs w:val="16"/>
                    </w:rPr>
                    <w:t>1,0</w:t>
                  </w:r>
                </w:p>
              </w:tc>
            </w:tr>
            <w:tr w:rsidR="009D00F4" w:rsidRPr="00257FB3" w14:paraId="4ECB25E5" w14:textId="77777777" w:rsidTr="0017306B">
              <w:trPr>
                <w:tblCellSpacing w:w="0" w:type="dxa"/>
                <w:jc w:val="center"/>
              </w:trPr>
              <w:tc>
                <w:tcPr>
                  <w:tcW w:w="2632" w:type="pct"/>
                  <w:tcBorders>
                    <w:left w:val="nil"/>
                    <w:bottom w:val="nil"/>
                    <w:right w:val="nil"/>
                  </w:tcBorders>
                </w:tcPr>
                <w:p w14:paraId="0D750B13" w14:textId="77777777" w:rsidR="009D00F4" w:rsidRPr="00257FB3" w:rsidRDefault="009D00F4" w:rsidP="00654418">
                  <w:pPr>
                    <w:framePr w:hSpace="141" w:wrap="around" w:hAnchor="margin" w:xAlign="center" w:y="-1415"/>
                    <w:rPr>
                      <w:sz w:val="16"/>
                      <w:szCs w:val="16"/>
                    </w:rPr>
                  </w:pPr>
                  <w:r w:rsidRPr="00257FB3">
                    <w:rPr>
                      <w:sz w:val="16"/>
                      <w:szCs w:val="16"/>
                    </w:rPr>
                    <w:t>Obsah kyslíka</w:t>
                  </w:r>
                </w:p>
              </w:tc>
              <w:tc>
                <w:tcPr>
                  <w:tcW w:w="655" w:type="pct"/>
                  <w:tcBorders>
                    <w:bottom w:val="nil"/>
                  </w:tcBorders>
                </w:tcPr>
                <w:p w14:paraId="5E368ED3" w14:textId="77777777" w:rsidR="009D00F4" w:rsidRPr="00257FB3" w:rsidRDefault="009D00F4" w:rsidP="00654418">
                  <w:pPr>
                    <w:framePr w:hSpace="141" w:wrap="around" w:hAnchor="margin" w:xAlign="center" w:y="-1415"/>
                    <w:jc w:val="center"/>
                    <w:rPr>
                      <w:sz w:val="16"/>
                      <w:szCs w:val="16"/>
                    </w:rPr>
                  </w:pPr>
                  <w:r w:rsidRPr="00257FB3">
                    <w:rPr>
                      <w:sz w:val="16"/>
                      <w:szCs w:val="16"/>
                    </w:rPr>
                    <w:t>% hmotnosti</w:t>
                  </w:r>
                </w:p>
              </w:tc>
              <w:tc>
                <w:tcPr>
                  <w:tcW w:w="772" w:type="pct"/>
                  <w:tcBorders>
                    <w:left w:val="nil"/>
                    <w:bottom w:val="nil"/>
                  </w:tcBorders>
                </w:tcPr>
                <w:p w14:paraId="6E1213F5" w14:textId="77777777" w:rsidR="009D00F4" w:rsidRPr="00257FB3" w:rsidRDefault="009D00F4" w:rsidP="00654418">
                  <w:pPr>
                    <w:framePr w:hSpace="141" w:wrap="around" w:hAnchor="margin" w:xAlign="center" w:y="-1415"/>
                    <w:jc w:val="center"/>
                    <w:rPr>
                      <w:sz w:val="16"/>
                      <w:szCs w:val="16"/>
                    </w:rPr>
                  </w:pPr>
                </w:p>
              </w:tc>
              <w:tc>
                <w:tcPr>
                  <w:tcW w:w="941" w:type="pct"/>
                  <w:tcBorders>
                    <w:left w:val="nil"/>
                    <w:bottom w:val="nil"/>
                    <w:right w:val="nil"/>
                  </w:tcBorders>
                </w:tcPr>
                <w:p w14:paraId="4694A001" w14:textId="77777777" w:rsidR="009D00F4" w:rsidRPr="00257FB3" w:rsidRDefault="009D00F4" w:rsidP="00654418">
                  <w:pPr>
                    <w:framePr w:hSpace="141" w:wrap="around" w:hAnchor="margin" w:xAlign="center" w:y="-1415"/>
                    <w:jc w:val="center"/>
                    <w:rPr>
                      <w:sz w:val="16"/>
                      <w:szCs w:val="16"/>
                    </w:rPr>
                  </w:pPr>
                  <w:r w:rsidRPr="00257FB3">
                    <w:rPr>
                      <w:sz w:val="16"/>
                      <w:szCs w:val="16"/>
                    </w:rPr>
                    <w:t>3,7</w:t>
                  </w:r>
                </w:p>
              </w:tc>
            </w:tr>
            <w:tr w:rsidR="009D00F4" w:rsidRPr="00257FB3" w14:paraId="71CAA964" w14:textId="77777777" w:rsidTr="0017306B">
              <w:trPr>
                <w:tblCellSpacing w:w="0" w:type="dxa"/>
                <w:jc w:val="center"/>
              </w:trPr>
              <w:tc>
                <w:tcPr>
                  <w:tcW w:w="5000" w:type="pct"/>
                  <w:gridSpan w:val="4"/>
                  <w:tcBorders>
                    <w:left w:val="nil"/>
                    <w:bottom w:val="nil"/>
                    <w:right w:val="nil"/>
                  </w:tcBorders>
                </w:tcPr>
                <w:p w14:paraId="6279B2BB" w14:textId="77777777" w:rsidR="009D00F4" w:rsidRPr="00257FB3" w:rsidRDefault="009D00F4" w:rsidP="00654418">
                  <w:pPr>
                    <w:framePr w:hSpace="141" w:wrap="around" w:hAnchor="margin" w:xAlign="center" w:y="-1415"/>
                    <w:rPr>
                      <w:sz w:val="16"/>
                      <w:szCs w:val="16"/>
                    </w:rPr>
                  </w:pPr>
                  <w:r w:rsidRPr="00257FB3">
                    <w:rPr>
                      <w:sz w:val="16"/>
                      <w:szCs w:val="16"/>
                    </w:rPr>
                    <w:t>Obsah kyslíkatých zlúčenín:</w:t>
                  </w:r>
                </w:p>
              </w:tc>
            </w:tr>
            <w:tr w:rsidR="009D00F4" w:rsidRPr="00257FB3" w14:paraId="363133D4" w14:textId="77777777" w:rsidTr="0017306B">
              <w:trPr>
                <w:cantSplit/>
                <w:tblCellSpacing w:w="0" w:type="dxa"/>
                <w:jc w:val="center"/>
              </w:trPr>
              <w:tc>
                <w:tcPr>
                  <w:tcW w:w="2632" w:type="pct"/>
                  <w:tcBorders>
                    <w:left w:val="nil"/>
                    <w:bottom w:val="single" w:sz="2" w:space="0" w:color="auto"/>
                    <w:right w:val="nil"/>
                  </w:tcBorders>
                </w:tcPr>
                <w:p w14:paraId="06D14C08"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metanol</w:t>
                  </w:r>
                  <w:proofErr w:type="spellEnd"/>
                </w:p>
              </w:tc>
              <w:tc>
                <w:tcPr>
                  <w:tcW w:w="655" w:type="pct"/>
                  <w:vMerge w:val="restart"/>
                  <w:tcBorders>
                    <w:left w:val="single" w:sz="2" w:space="0" w:color="auto"/>
                    <w:right w:val="nil"/>
                  </w:tcBorders>
                  <w:vAlign w:val="center"/>
                </w:tcPr>
                <w:p w14:paraId="265E7532" w14:textId="77777777" w:rsidR="009D00F4" w:rsidRPr="00257FB3" w:rsidRDefault="009D00F4" w:rsidP="00654418">
                  <w:pPr>
                    <w:framePr w:hSpace="141" w:wrap="around" w:hAnchor="margin" w:xAlign="center" w:y="-1415"/>
                    <w:jc w:val="center"/>
                    <w:rPr>
                      <w:sz w:val="16"/>
                      <w:szCs w:val="16"/>
                    </w:rPr>
                  </w:pPr>
                  <w:r w:rsidRPr="00257FB3">
                    <w:rPr>
                      <w:sz w:val="16"/>
                      <w:szCs w:val="16"/>
                    </w:rPr>
                    <w:t>% objemu</w:t>
                  </w:r>
                </w:p>
              </w:tc>
              <w:tc>
                <w:tcPr>
                  <w:tcW w:w="772" w:type="pct"/>
                  <w:tcBorders>
                    <w:left w:val="single" w:sz="2" w:space="0" w:color="auto"/>
                    <w:bottom w:val="single" w:sz="2" w:space="0" w:color="auto"/>
                    <w:right w:val="single" w:sz="2" w:space="0" w:color="auto"/>
                  </w:tcBorders>
                </w:tcPr>
                <w:p w14:paraId="10C2D20A"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bottom w:val="single" w:sz="2" w:space="0" w:color="auto"/>
                    <w:right w:val="nil"/>
                  </w:tcBorders>
                </w:tcPr>
                <w:p w14:paraId="1D007911" w14:textId="77777777" w:rsidR="009D00F4" w:rsidRPr="00257FB3" w:rsidRDefault="009D00F4" w:rsidP="00654418">
                  <w:pPr>
                    <w:framePr w:hSpace="141" w:wrap="around" w:hAnchor="margin" w:xAlign="center" w:y="-1415"/>
                    <w:jc w:val="center"/>
                    <w:rPr>
                      <w:sz w:val="16"/>
                      <w:szCs w:val="16"/>
                    </w:rPr>
                  </w:pPr>
                  <w:r w:rsidRPr="00257FB3">
                    <w:rPr>
                      <w:sz w:val="16"/>
                      <w:szCs w:val="16"/>
                    </w:rPr>
                    <w:t>3,0</w:t>
                  </w:r>
                </w:p>
              </w:tc>
            </w:tr>
            <w:tr w:rsidR="009D00F4" w:rsidRPr="00257FB3" w14:paraId="3FB177A4" w14:textId="77777777" w:rsidTr="0017306B">
              <w:trPr>
                <w:cantSplit/>
                <w:tblCellSpacing w:w="0" w:type="dxa"/>
                <w:jc w:val="center"/>
              </w:trPr>
              <w:tc>
                <w:tcPr>
                  <w:tcW w:w="2632" w:type="pct"/>
                  <w:tcBorders>
                    <w:left w:val="nil"/>
                    <w:bottom w:val="single" w:sz="2" w:space="0" w:color="auto"/>
                    <w:right w:val="nil"/>
                  </w:tcBorders>
                </w:tcPr>
                <w:p w14:paraId="189E1DC4" w14:textId="77777777" w:rsidR="009D00F4" w:rsidRPr="00257FB3" w:rsidRDefault="009D00F4" w:rsidP="00654418">
                  <w:pPr>
                    <w:framePr w:hSpace="141" w:wrap="around" w:hAnchor="margin" w:xAlign="center" w:y="-1415"/>
                    <w:rPr>
                      <w:sz w:val="16"/>
                      <w:szCs w:val="16"/>
                    </w:rPr>
                  </w:pPr>
                  <w:r w:rsidRPr="00257FB3">
                    <w:rPr>
                      <w:sz w:val="16"/>
                      <w:szCs w:val="16"/>
                    </w:rPr>
                    <w:t>etanol (môžu sa pridať stabilizátory)</w:t>
                  </w:r>
                </w:p>
              </w:tc>
              <w:tc>
                <w:tcPr>
                  <w:tcW w:w="655" w:type="pct"/>
                  <w:vMerge/>
                  <w:tcBorders>
                    <w:top w:val="single" w:sz="2" w:space="0" w:color="auto"/>
                    <w:left w:val="single" w:sz="2" w:space="0" w:color="auto"/>
                    <w:right w:val="nil"/>
                  </w:tcBorders>
                </w:tcPr>
                <w:p w14:paraId="04E8A234"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2" w:space="0" w:color="auto"/>
                    <w:bottom w:val="single" w:sz="2" w:space="0" w:color="auto"/>
                  </w:tcBorders>
                </w:tcPr>
                <w:p w14:paraId="6BA348A1"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bottom w:val="single" w:sz="2" w:space="0" w:color="auto"/>
                    <w:right w:val="nil"/>
                  </w:tcBorders>
                </w:tcPr>
                <w:p w14:paraId="72263AFA" w14:textId="77777777" w:rsidR="009D00F4" w:rsidRPr="00257FB3" w:rsidRDefault="009D00F4" w:rsidP="00654418">
                  <w:pPr>
                    <w:framePr w:hSpace="141" w:wrap="around" w:hAnchor="margin" w:xAlign="center" w:y="-1415"/>
                    <w:jc w:val="center"/>
                    <w:rPr>
                      <w:sz w:val="16"/>
                      <w:szCs w:val="16"/>
                    </w:rPr>
                  </w:pPr>
                  <w:r w:rsidRPr="00257FB3">
                    <w:rPr>
                      <w:sz w:val="16"/>
                      <w:szCs w:val="16"/>
                    </w:rPr>
                    <w:t>10,0</w:t>
                  </w:r>
                </w:p>
              </w:tc>
            </w:tr>
            <w:tr w:rsidR="009D00F4" w:rsidRPr="00257FB3" w14:paraId="47606CA2" w14:textId="77777777" w:rsidTr="0017306B">
              <w:trPr>
                <w:trHeight w:val="297"/>
                <w:tblCellSpacing w:w="0" w:type="dxa"/>
                <w:jc w:val="center"/>
              </w:trPr>
              <w:tc>
                <w:tcPr>
                  <w:tcW w:w="2632" w:type="pct"/>
                  <w:tcBorders>
                    <w:left w:val="nil"/>
                    <w:bottom w:val="single" w:sz="2" w:space="0" w:color="auto"/>
                    <w:right w:val="nil"/>
                  </w:tcBorders>
                </w:tcPr>
                <w:p w14:paraId="16479AEF"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izo-propylalkohol</w:t>
                  </w:r>
                  <w:proofErr w:type="spellEnd"/>
                </w:p>
              </w:tc>
              <w:tc>
                <w:tcPr>
                  <w:tcW w:w="655" w:type="pct"/>
                  <w:vMerge/>
                  <w:tcBorders>
                    <w:top w:val="single" w:sz="2" w:space="0" w:color="auto"/>
                    <w:left w:val="single" w:sz="2" w:space="0" w:color="auto"/>
                    <w:right w:val="nil"/>
                  </w:tcBorders>
                </w:tcPr>
                <w:p w14:paraId="540F79D2"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2" w:space="0" w:color="auto"/>
                    <w:bottom w:val="single" w:sz="2" w:space="0" w:color="auto"/>
                  </w:tcBorders>
                </w:tcPr>
                <w:p w14:paraId="70C15390"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bottom w:val="single" w:sz="2" w:space="0" w:color="auto"/>
                    <w:right w:val="nil"/>
                  </w:tcBorders>
                </w:tcPr>
                <w:p w14:paraId="43AFB931" w14:textId="77777777" w:rsidR="009D00F4" w:rsidRPr="00257FB3" w:rsidRDefault="009D00F4" w:rsidP="00654418">
                  <w:pPr>
                    <w:framePr w:hSpace="141" w:wrap="around" w:hAnchor="margin" w:xAlign="center" w:y="-1415"/>
                    <w:jc w:val="center"/>
                    <w:rPr>
                      <w:sz w:val="16"/>
                      <w:szCs w:val="16"/>
                    </w:rPr>
                  </w:pPr>
                  <w:r w:rsidRPr="00257FB3">
                    <w:rPr>
                      <w:sz w:val="16"/>
                      <w:szCs w:val="16"/>
                    </w:rPr>
                    <w:t>12,0</w:t>
                  </w:r>
                </w:p>
              </w:tc>
            </w:tr>
            <w:tr w:rsidR="009D00F4" w:rsidRPr="00257FB3" w14:paraId="44685359" w14:textId="77777777" w:rsidTr="0017306B">
              <w:trPr>
                <w:trHeight w:val="475"/>
                <w:tblCellSpacing w:w="0" w:type="dxa"/>
                <w:jc w:val="center"/>
              </w:trPr>
              <w:tc>
                <w:tcPr>
                  <w:tcW w:w="2632" w:type="pct"/>
                  <w:tcBorders>
                    <w:left w:val="nil"/>
                    <w:bottom w:val="single" w:sz="2" w:space="0" w:color="auto"/>
                    <w:right w:val="nil"/>
                  </w:tcBorders>
                </w:tcPr>
                <w:p w14:paraId="593468E7" w14:textId="77777777" w:rsidR="009D00F4" w:rsidRPr="00257FB3" w:rsidRDefault="009D00F4" w:rsidP="00654418">
                  <w:pPr>
                    <w:framePr w:hSpace="141" w:wrap="around" w:hAnchor="margin" w:xAlign="center" w:y="-1415"/>
                    <w:rPr>
                      <w:sz w:val="16"/>
                      <w:szCs w:val="16"/>
                    </w:rPr>
                  </w:pPr>
                  <w:r w:rsidRPr="00257FB3">
                    <w:rPr>
                      <w:sz w:val="16"/>
                      <w:szCs w:val="16"/>
                    </w:rPr>
                    <w:t>terc-</w:t>
                  </w:r>
                  <w:proofErr w:type="spellStart"/>
                  <w:r w:rsidRPr="00257FB3">
                    <w:rPr>
                      <w:sz w:val="16"/>
                      <w:szCs w:val="16"/>
                    </w:rPr>
                    <w:t>butylalkohol</w:t>
                  </w:r>
                  <w:proofErr w:type="spellEnd"/>
                </w:p>
              </w:tc>
              <w:tc>
                <w:tcPr>
                  <w:tcW w:w="655" w:type="pct"/>
                  <w:vMerge/>
                  <w:tcBorders>
                    <w:top w:val="single" w:sz="2" w:space="0" w:color="auto"/>
                    <w:left w:val="single" w:sz="2" w:space="0" w:color="auto"/>
                    <w:right w:val="nil"/>
                  </w:tcBorders>
                </w:tcPr>
                <w:p w14:paraId="4AA94EE4"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2" w:space="0" w:color="auto"/>
                    <w:bottom w:val="single" w:sz="2" w:space="0" w:color="auto"/>
                  </w:tcBorders>
                </w:tcPr>
                <w:p w14:paraId="5C446D06"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bottom w:val="single" w:sz="2" w:space="0" w:color="auto"/>
                    <w:right w:val="nil"/>
                  </w:tcBorders>
                </w:tcPr>
                <w:p w14:paraId="4817641C" w14:textId="77777777" w:rsidR="009D00F4" w:rsidRPr="00257FB3" w:rsidRDefault="009D00F4" w:rsidP="00654418">
                  <w:pPr>
                    <w:framePr w:hSpace="141" w:wrap="around" w:hAnchor="margin" w:xAlign="center" w:y="-1415"/>
                    <w:jc w:val="center"/>
                    <w:rPr>
                      <w:sz w:val="16"/>
                      <w:szCs w:val="16"/>
                    </w:rPr>
                  </w:pPr>
                  <w:r w:rsidRPr="00257FB3">
                    <w:rPr>
                      <w:sz w:val="16"/>
                      <w:szCs w:val="16"/>
                    </w:rPr>
                    <w:t>15,0</w:t>
                  </w:r>
                </w:p>
              </w:tc>
            </w:tr>
            <w:tr w:rsidR="009D00F4" w:rsidRPr="00257FB3" w14:paraId="1209C078" w14:textId="77777777" w:rsidTr="0017306B">
              <w:trPr>
                <w:trHeight w:val="355"/>
                <w:tblCellSpacing w:w="0" w:type="dxa"/>
                <w:jc w:val="center"/>
              </w:trPr>
              <w:tc>
                <w:tcPr>
                  <w:tcW w:w="2632" w:type="pct"/>
                  <w:tcBorders>
                    <w:left w:val="nil"/>
                    <w:right w:val="nil"/>
                  </w:tcBorders>
                </w:tcPr>
                <w:p w14:paraId="71525A9D"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izo-butylalkohol</w:t>
                  </w:r>
                  <w:proofErr w:type="spellEnd"/>
                </w:p>
              </w:tc>
              <w:tc>
                <w:tcPr>
                  <w:tcW w:w="655" w:type="pct"/>
                  <w:vMerge/>
                  <w:tcBorders>
                    <w:top w:val="single" w:sz="2" w:space="0" w:color="auto"/>
                    <w:left w:val="single" w:sz="2" w:space="0" w:color="auto"/>
                    <w:right w:val="nil"/>
                  </w:tcBorders>
                </w:tcPr>
                <w:p w14:paraId="7F6B3EB4"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2" w:space="0" w:color="auto"/>
                    <w:right w:val="single" w:sz="2" w:space="0" w:color="auto"/>
                  </w:tcBorders>
                </w:tcPr>
                <w:p w14:paraId="50518164"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right w:val="nil"/>
                  </w:tcBorders>
                </w:tcPr>
                <w:p w14:paraId="61DDB8DC" w14:textId="77777777" w:rsidR="009D00F4" w:rsidRPr="00257FB3" w:rsidRDefault="009D00F4" w:rsidP="00654418">
                  <w:pPr>
                    <w:framePr w:hSpace="141" w:wrap="around" w:hAnchor="margin" w:xAlign="center" w:y="-1415"/>
                    <w:jc w:val="center"/>
                    <w:rPr>
                      <w:sz w:val="16"/>
                      <w:szCs w:val="16"/>
                    </w:rPr>
                  </w:pPr>
                  <w:r w:rsidRPr="00257FB3">
                    <w:rPr>
                      <w:sz w:val="16"/>
                      <w:szCs w:val="16"/>
                    </w:rPr>
                    <w:t>15,0</w:t>
                  </w:r>
                </w:p>
              </w:tc>
            </w:tr>
            <w:tr w:rsidR="009D00F4" w:rsidRPr="00257FB3" w14:paraId="3F8C832F" w14:textId="77777777" w:rsidTr="0017306B">
              <w:trPr>
                <w:tblCellSpacing w:w="0" w:type="dxa"/>
                <w:jc w:val="center"/>
              </w:trPr>
              <w:tc>
                <w:tcPr>
                  <w:tcW w:w="2632" w:type="pct"/>
                  <w:tcBorders>
                    <w:left w:val="nil"/>
                    <w:bottom w:val="nil"/>
                    <w:right w:val="nil"/>
                  </w:tcBorders>
                </w:tcPr>
                <w:p w14:paraId="1B296854" w14:textId="77777777" w:rsidR="009D00F4" w:rsidRPr="00257FB3" w:rsidRDefault="009D00F4" w:rsidP="00654418">
                  <w:pPr>
                    <w:framePr w:hSpace="141" w:wrap="around" w:hAnchor="margin" w:xAlign="center" w:y="-1415"/>
                    <w:rPr>
                      <w:sz w:val="16"/>
                      <w:szCs w:val="16"/>
                    </w:rPr>
                  </w:pPr>
                  <w:r w:rsidRPr="00257FB3">
                    <w:rPr>
                      <w:sz w:val="16"/>
                      <w:szCs w:val="16"/>
                    </w:rPr>
                    <w:t>étery, obsahujúce 5 a viac atómov uhlíka v molekule</w:t>
                  </w:r>
                </w:p>
              </w:tc>
              <w:tc>
                <w:tcPr>
                  <w:tcW w:w="655" w:type="pct"/>
                  <w:vMerge/>
                  <w:tcBorders>
                    <w:top w:val="single" w:sz="2" w:space="0" w:color="auto"/>
                    <w:left w:val="single" w:sz="2" w:space="0" w:color="auto"/>
                    <w:right w:val="nil"/>
                  </w:tcBorders>
                </w:tcPr>
                <w:p w14:paraId="1E9422DA"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4" w:space="0" w:color="auto"/>
                    <w:right w:val="nil"/>
                  </w:tcBorders>
                </w:tcPr>
                <w:p w14:paraId="3409D1D9"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right w:val="single" w:sz="2" w:space="0" w:color="auto"/>
                  </w:tcBorders>
                </w:tcPr>
                <w:p w14:paraId="77C444B3" w14:textId="77777777" w:rsidR="009D00F4" w:rsidRPr="00257FB3" w:rsidRDefault="009D00F4" w:rsidP="00654418">
                  <w:pPr>
                    <w:framePr w:hSpace="141" w:wrap="around" w:hAnchor="margin" w:xAlign="center" w:y="-1415"/>
                    <w:jc w:val="center"/>
                    <w:rPr>
                      <w:sz w:val="16"/>
                      <w:szCs w:val="16"/>
                    </w:rPr>
                  </w:pPr>
                  <w:r w:rsidRPr="00257FB3">
                    <w:rPr>
                      <w:sz w:val="16"/>
                      <w:szCs w:val="16"/>
                    </w:rPr>
                    <w:t>22,0</w:t>
                  </w:r>
                </w:p>
              </w:tc>
            </w:tr>
            <w:tr w:rsidR="009D00F4" w:rsidRPr="00257FB3" w14:paraId="0BED350D" w14:textId="77777777" w:rsidTr="0017306B">
              <w:trPr>
                <w:tblCellSpacing w:w="0" w:type="dxa"/>
                <w:jc w:val="center"/>
              </w:trPr>
              <w:tc>
                <w:tcPr>
                  <w:tcW w:w="2632" w:type="pct"/>
                  <w:tcBorders>
                    <w:left w:val="nil"/>
                    <w:bottom w:val="nil"/>
                    <w:right w:val="nil"/>
                  </w:tcBorders>
                </w:tcPr>
                <w:p w14:paraId="0C917B2B" w14:textId="77777777" w:rsidR="009D00F4" w:rsidRPr="00257FB3" w:rsidRDefault="009D00F4" w:rsidP="00654418">
                  <w:pPr>
                    <w:framePr w:hSpace="141" w:wrap="around" w:hAnchor="margin" w:xAlign="center" w:y="-1415"/>
                    <w:rPr>
                      <w:sz w:val="16"/>
                      <w:szCs w:val="16"/>
                    </w:rPr>
                  </w:pPr>
                  <w:r w:rsidRPr="00257FB3">
                    <w:rPr>
                      <w:sz w:val="16"/>
                      <w:szCs w:val="16"/>
                    </w:rPr>
                    <w:t xml:space="preserve">Iné kyslíkaté </w:t>
                  </w:r>
                  <w:proofErr w:type="spellStart"/>
                  <w:r w:rsidRPr="00257FB3">
                    <w:rPr>
                      <w:sz w:val="16"/>
                      <w:szCs w:val="16"/>
                    </w:rPr>
                    <w:t>zlúčeniny</w:t>
                  </w:r>
                  <w:r w:rsidRPr="00257FB3">
                    <w:rPr>
                      <w:sz w:val="16"/>
                      <w:szCs w:val="16"/>
                      <w:vertAlign w:val="superscript"/>
                    </w:rPr>
                    <w:t>d</w:t>
                  </w:r>
                  <w:proofErr w:type="spellEnd"/>
                  <w:r w:rsidRPr="00257FB3">
                    <w:rPr>
                      <w:sz w:val="16"/>
                      <w:szCs w:val="16"/>
                    </w:rPr>
                    <w:t>)</w:t>
                  </w:r>
                </w:p>
              </w:tc>
              <w:tc>
                <w:tcPr>
                  <w:tcW w:w="655" w:type="pct"/>
                  <w:tcBorders>
                    <w:right w:val="nil"/>
                  </w:tcBorders>
                  <w:vAlign w:val="center"/>
                </w:tcPr>
                <w:p w14:paraId="442ED2F9" w14:textId="77777777" w:rsidR="009D00F4" w:rsidRPr="00257FB3" w:rsidRDefault="009D00F4" w:rsidP="00654418">
                  <w:pPr>
                    <w:framePr w:hSpace="141" w:wrap="around" w:hAnchor="margin" w:xAlign="center" w:y="-1415"/>
                    <w:jc w:val="center"/>
                    <w:rPr>
                      <w:sz w:val="16"/>
                      <w:szCs w:val="16"/>
                    </w:rPr>
                  </w:pPr>
                  <w:r w:rsidRPr="00257FB3">
                    <w:rPr>
                      <w:sz w:val="16"/>
                      <w:szCs w:val="16"/>
                    </w:rPr>
                    <w:t>% objemu</w:t>
                  </w:r>
                </w:p>
              </w:tc>
              <w:tc>
                <w:tcPr>
                  <w:tcW w:w="772" w:type="pct"/>
                  <w:tcBorders>
                    <w:left w:val="single" w:sz="4" w:space="0" w:color="auto"/>
                    <w:right w:val="nil"/>
                  </w:tcBorders>
                  <w:vAlign w:val="center"/>
                </w:tcPr>
                <w:p w14:paraId="536076B1" w14:textId="77777777" w:rsidR="009D00F4" w:rsidRPr="00257FB3" w:rsidRDefault="009D00F4" w:rsidP="00654418">
                  <w:pPr>
                    <w:framePr w:hSpace="141" w:wrap="around" w:hAnchor="margin" w:xAlign="center" w:y="-1415"/>
                    <w:jc w:val="center"/>
                    <w:rPr>
                      <w:sz w:val="16"/>
                      <w:szCs w:val="16"/>
                    </w:rPr>
                  </w:pPr>
                  <w:r w:rsidRPr="00257FB3">
                    <w:rPr>
                      <w:sz w:val="16"/>
                      <w:szCs w:val="16"/>
                    </w:rPr>
                    <w:t> </w:t>
                  </w:r>
                </w:p>
              </w:tc>
              <w:tc>
                <w:tcPr>
                  <w:tcW w:w="941" w:type="pct"/>
                  <w:tcBorders>
                    <w:right w:val="single" w:sz="2" w:space="0" w:color="auto"/>
                  </w:tcBorders>
                  <w:vAlign w:val="center"/>
                </w:tcPr>
                <w:p w14:paraId="36B65525" w14:textId="77777777" w:rsidR="009D00F4" w:rsidRPr="00257FB3" w:rsidRDefault="009D00F4" w:rsidP="00654418">
                  <w:pPr>
                    <w:framePr w:hSpace="141" w:wrap="around" w:hAnchor="margin" w:xAlign="center" w:y="-1415"/>
                    <w:jc w:val="center"/>
                    <w:rPr>
                      <w:sz w:val="16"/>
                      <w:szCs w:val="16"/>
                    </w:rPr>
                  </w:pPr>
                  <w:r w:rsidRPr="00257FB3">
                    <w:rPr>
                      <w:sz w:val="16"/>
                      <w:szCs w:val="16"/>
                    </w:rPr>
                    <w:t>15,0</w:t>
                  </w:r>
                </w:p>
              </w:tc>
            </w:tr>
            <w:tr w:rsidR="009D00F4" w:rsidRPr="00257FB3" w14:paraId="28B2C92E" w14:textId="77777777" w:rsidTr="0017306B">
              <w:trPr>
                <w:tblCellSpacing w:w="0" w:type="dxa"/>
                <w:jc w:val="center"/>
              </w:trPr>
              <w:tc>
                <w:tcPr>
                  <w:tcW w:w="2632" w:type="pct"/>
                  <w:tcBorders>
                    <w:left w:val="nil"/>
                    <w:bottom w:val="nil"/>
                    <w:right w:val="nil"/>
                  </w:tcBorders>
                </w:tcPr>
                <w:p w14:paraId="2618E793" w14:textId="77777777" w:rsidR="009D00F4" w:rsidRPr="00257FB3" w:rsidRDefault="009D00F4" w:rsidP="00654418">
                  <w:pPr>
                    <w:framePr w:hSpace="141" w:wrap="around" w:hAnchor="margin" w:xAlign="center" w:y="-1415"/>
                    <w:rPr>
                      <w:sz w:val="16"/>
                      <w:szCs w:val="16"/>
                    </w:rPr>
                  </w:pPr>
                  <w:r w:rsidRPr="00257FB3">
                    <w:rPr>
                      <w:sz w:val="16"/>
                      <w:szCs w:val="16"/>
                    </w:rPr>
                    <w:t>Obsah síry</w:t>
                  </w:r>
                </w:p>
              </w:tc>
              <w:tc>
                <w:tcPr>
                  <w:tcW w:w="655" w:type="pct"/>
                  <w:tcBorders>
                    <w:right w:val="nil"/>
                  </w:tcBorders>
                  <w:vAlign w:val="center"/>
                </w:tcPr>
                <w:p w14:paraId="2478C08E" w14:textId="77777777" w:rsidR="009D00F4" w:rsidRPr="00257FB3" w:rsidRDefault="009D00F4" w:rsidP="00654418">
                  <w:pPr>
                    <w:framePr w:hSpace="141" w:wrap="around" w:hAnchor="margin" w:xAlign="center" w:y="-1415"/>
                    <w:jc w:val="center"/>
                    <w:rPr>
                      <w:sz w:val="16"/>
                      <w:szCs w:val="16"/>
                    </w:rPr>
                  </w:pPr>
                  <w:r w:rsidRPr="00257FB3">
                    <w:rPr>
                      <w:sz w:val="16"/>
                      <w:szCs w:val="16"/>
                    </w:rPr>
                    <w:t>mg/kg</w:t>
                  </w:r>
                </w:p>
              </w:tc>
              <w:tc>
                <w:tcPr>
                  <w:tcW w:w="772" w:type="pct"/>
                  <w:tcBorders>
                    <w:right w:val="nil"/>
                  </w:tcBorders>
                  <w:vAlign w:val="center"/>
                </w:tcPr>
                <w:p w14:paraId="477FCC5F" w14:textId="77777777" w:rsidR="009D00F4" w:rsidRPr="00257FB3" w:rsidRDefault="009D00F4" w:rsidP="00654418">
                  <w:pPr>
                    <w:framePr w:hSpace="141" w:wrap="around" w:hAnchor="margin" w:xAlign="center" w:y="-1415"/>
                    <w:jc w:val="center"/>
                    <w:rPr>
                      <w:sz w:val="16"/>
                      <w:szCs w:val="16"/>
                    </w:rPr>
                  </w:pPr>
                  <w:r w:rsidRPr="00257FB3">
                    <w:rPr>
                      <w:sz w:val="16"/>
                      <w:szCs w:val="16"/>
                    </w:rPr>
                    <w:t> </w:t>
                  </w:r>
                </w:p>
              </w:tc>
              <w:tc>
                <w:tcPr>
                  <w:tcW w:w="941" w:type="pct"/>
                  <w:tcBorders>
                    <w:right w:val="single" w:sz="2" w:space="0" w:color="auto"/>
                  </w:tcBorders>
                  <w:vAlign w:val="center"/>
                </w:tcPr>
                <w:p w14:paraId="0CD0289D" w14:textId="77777777" w:rsidR="009D00F4" w:rsidRPr="00257FB3" w:rsidRDefault="009D00F4" w:rsidP="00654418">
                  <w:pPr>
                    <w:framePr w:hSpace="141" w:wrap="around" w:hAnchor="margin" w:xAlign="center" w:y="-1415"/>
                    <w:jc w:val="center"/>
                    <w:rPr>
                      <w:sz w:val="16"/>
                      <w:szCs w:val="16"/>
                    </w:rPr>
                  </w:pPr>
                  <w:r w:rsidRPr="00257FB3">
                    <w:rPr>
                      <w:sz w:val="16"/>
                      <w:szCs w:val="16"/>
                    </w:rPr>
                    <w:t>10,0</w:t>
                  </w:r>
                </w:p>
              </w:tc>
            </w:tr>
            <w:tr w:rsidR="009D00F4" w:rsidRPr="00257FB3" w14:paraId="51D652BC" w14:textId="77777777" w:rsidTr="0017306B">
              <w:trPr>
                <w:tblCellSpacing w:w="0" w:type="dxa"/>
                <w:jc w:val="center"/>
              </w:trPr>
              <w:tc>
                <w:tcPr>
                  <w:tcW w:w="2632" w:type="pct"/>
                  <w:tcBorders>
                    <w:left w:val="nil"/>
                    <w:right w:val="nil"/>
                  </w:tcBorders>
                </w:tcPr>
                <w:p w14:paraId="6DDCC1C0" w14:textId="77777777" w:rsidR="009D00F4" w:rsidRPr="00257FB3" w:rsidRDefault="009D00F4" w:rsidP="00654418">
                  <w:pPr>
                    <w:framePr w:hSpace="141" w:wrap="around" w:hAnchor="margin" w:xAlign="center" w:y="-1415"/>
                    <w:rPr>
                      <w:sz w:val="16"/>
                      <w:szCs w:val="16"/>
                    </w:rPr>
                  </w:pPr>
                  <w:r w:rsidRPr="00257FB3">
                    <w:rPr>
                      <w:sz w:val="16"/>
                      <w:szCs w:val="16"/>
                    </w:rPr>
                    <w:t>Obsah olova</w:t>
                  </w:r>
                </w:p>
              </w:tc>
              <w:tc>
                <w:tcPr>
                  <w:tcW w:w="655" w:type="pct"/>
                  <w:tcBorders>
                    <w:right w:val="nil"/>
                  </w:tcBorders>
                  <w:vAlign w:val="center"/>
                </w:tcPr>
                <w:p w14:paraId="4901CD00" w14:textId="77777777" w:rsidR="009D00F4" w:rsidRPr="00257FB3" w:rsidRDefault="009D00F4" w:rsidP="00654418">
                  <w:pPr>
                    <w:framePr w:hSpace="141" w:wrap="around" w:hAnchor="margin" w:xAlign="center" w:y="-1415"/>
                    <w:jc w:val="center"/>
                    <w:rPr>
                      <w:sz w:val="16"/>
                      <w:szCs w:val="16"/>
                    </w:rPr>
                  </w:pPr>
                  <w:r w:rsidRPr="00257FB3">
                    <w:rPr>
                      <w:sz w:val="16"/>
                      <w:szCs w:val="16"/>
                    </w:rPr>
                    <w:t>g/l</w:t>
                  </w:r>
                </w:p>
              </w:tc>
              <w:tc>
                <w:tcPr>
                  <w:tcW w:w="772" w:type="pct"/>
                  <w:tcBorders>
                    <w:bottom w:val="single" w:sz="2" w:space="0" w:color="auto"/>
                    <w:right w:val="nil"/>
                  </w:tcBorders>
                  <w:vAlign w:val="center"/>
                </w:tcPr>
                <w:p w14:paraId="6522425A" w14:textId="77777777" w:rsidR="009D00F4" w:rsidRPr="00257FB3" w:rsidRDefault="009D00F4" w:rsidP="00654418">
                  <w:pPr>
                    <w:framePr w:hSpace="141" w:wrap="around" w:hAnchor="margin" w:xAlign="center" w:y="-1415"/>
                    <w:jc w:val="center"/>
                    <w:rPr>
                      <w:sz w:val="16"/>
                      <w:szCs w:val="16"/>
                    </w:rPr>
                  </w:pPr>
                  <w:r w:rsidRPr="00257FB3">
                    <w:rPr>
                      <w:sz w:val="16"/>
                      <w:szCs w:val="16"/>
                    </w:rPr>
                    <w:t> </w:t>
                  </w:r>
                </w:p>
              </w:tc>
              <w:tc>
                <w:tcPr>
                  <w:tcW w:w="941" w:type="pct"/>
                  <w:tcBorders>
                    <w:bottom w:val="single" w:sz="2" w:space="0" w:color="auto"/>
                    <w:right w:val="single" w:sz="2" w:space="0" w:color="auto"/>
                  </w:tcBorders>
                  <w:vAlign w:val="center"/>
                </w:tcPr>
                <w:p w14:paraId="6E58703A" w14:textId="77777777" w:rsidR="009D00F4" w:rsidRPr="00257FB3" w:rsidRDefault="009D00F4" w:rsidP="00654418">
                  <w:pPr>
                    <w:framePr w:hSpace="141" w:wrap="around" w:hAnchor="margin" w:xAlign="center" w:y="-1415"/>
                    <w:jc w:val="center"/>
                    <w:rPr>
                      <w:sz w:val="16"/>
                      <w:szCs w:val="16"/>
                    </w:rPr>
                  </w:pPr>
                  <w:r w:rsidRPr="00257FB3">
                    <w:rPr>
                      <w:sz w:val="16"/>
                      <w:szCs w:val="16"/>
                    </w:rPr>
                    <w:t>0,005</w:t>
                  </w:r>
                </w:p>
              </w:tc>
            </w:tr>
          </w:tbl>
          <w:p w14:paraId="2630E544" w14:textId="77777777" w:rsidR="009D00F4" w:rsidRPr="00257FB3" w:rsidRDefault="009D00F4" w:rsidP="009D00F4">
            <w:pPr>
              <w:ind w:left="-180"/>
              <w:rPr>
                <w:sz w:val="16"/>
                <w:szCs w:val="16"/>
              </w:rPr>
            </w:pPr>
            <w:r w:rsidRPr="00257FB3">
              <w:rPr>
                <w:sz w:val="16"/>
                <w:szCs w:val="16"/>
              </w:rPr>
              <w:t xml:space="preserve">    </w:t>
            </w:r>
            <w:r>
              <w:rPr>
                <w:sz w:val="16"/>
                <w:szCs w:val="16"/>
              </w:rPr>
              <w:t>Vysvetlivky</w:t>
            </w:r>
            <w:r w:rsidRPr="00257FB3">
              <w:rPr>
                <w:sz w:val="16"/>
                <w:szCs w:val="16"/>
              </w:rPr>
              <w:t>:</w:t>
            </w:r>
          </w:p>
          <w:p w14:paraId="3CD83BEB" w14:textId="77777777" w:rsidR="009D00F4" w:rsidRPr="00257FB3" w:rsidRDefault="009D00F4" w:rsidP="009D00F4">
            <w:pPr>
              <w:keepNext/>
              <w:numPr>
                <w:ilvl w:val="1"/>
                <w:numId w:val="3"/>
              </w:numPr>
              <w:tabs>
                <w:tab w:val="clear" w:pos="1440"/>
              </w:tabs>
              <w:spacing w:before="60" w:after="60" w:line="240" w:lineRule="auto"/>
              <w:ind w:left="357" w:hanging="357"/>
              <w:jc w:val="both"/>
              <w:rPr>
                <w:sz w:val="16"/>
                <w:szCs w:val="16"/>
              </w:rPr>
            </w:pPr>
            <w:r w:rsidRPr="00257FB3">
              <w:rPr>
                <w:sz w:val="16"/>
                <w:szCs w:val="16"/>
              </w:rPr>
              <w:t>Skúšobné metódy sú špecifikované v technickej norme</w:t>
            </w:r>
            <w:r w:rsidRPr="00257FB3">
              <w:rPr>
                <w:sz w:val="16"/>
                <w:szCs w:val="16"/>
                <w:vertAlign w:val="superscript"/>
              </w:rPr>
              <w:t>4</w:t>
            </w:r>
            <w:r>
              <w:rPr>
                <w:sz w:val="16"/>
                <w:szCs w:val="16"/>
                <w:vertAlign w:val="superscript"/>
              </w:rPr>
              <w:t>4</w:t>
            </w:r>
            <w:r w:rsidRPr="00257FB3">
              <w:rPr>
                <w:sz w:val="16"/>
                <w:szCs w:val="16"/>
              </w:rPr>
              <w:t>) alebo inej obdobnej technickej špecifikácii s porovnateľnými alebo prísnejšími požiadavkami.</w:t>
            </w:r>
          </w:p>
          <w:p w14:paraId="4E7F7485" w14:textId="77777777" w:rsidR="009D00F4" w:rsidRPr="00257FB3" w:rsidRDefault="009D00F4" w:rsidP="009D00F4">
            <w:pPr>
              <w:keepNext/>
              <w:numPr>
                <w:ilvl w:val="1"/>
                <w:numId w:val="3"/>
              </w:numPr>
              <w:tabs>
                <w:tab w:val="clear" w:pos="1440"/>
              </w:tabs>
              <w:spacing w:before="60" w:after="60" w:line="240" w:lineRule="auto"/>
              <w:ind w:left="357" w:hanging="357"/>
              <w:jc w:val="both"/>
              <w:rPr>
                <w:sz w:val="16"/>
                <w:szCs w:val="16"/>
              </w:rPr>
            </w:pPr>
            <w:r w:rsidRPr="00257FB3">
              <w:rPr>
                <w:sz w:val="16"/>
                <w:szCs w:val="16"/>
              </w:rPr>
              <w:t>Hodnoty uvedené v špecifikácii sú „skutočné hodnoty“. Pri stanovení ich limitných hodnôt sa použili podmienky technickej normy</w:t>
            </w:r>
            <w:r>
              <w:rPr>
                <w:sz w:val="16"/>
                <w:szCs w:val="16"/>
                <w:vertAlign w:val="superscript"/>
              </w:rPr>
              <w:t>45</w:t>
            </w:r>
            <w:r w:rsidRPr="00257FB3">
              <w:rPr>
                <w:sz w:val="16"/>
                <w:szCs w:val="16"/>
              </w:rPr>
              <w:t xml:space="preserve">) alebo inej obdobnej technickej špecifikácie s porovnateľnými alebo prísnejšími požiadavkami. Pri stanovení najnižšej hodnoty sa zohľadnil najmenší rozdiel 2R nad nulou (R = reprodukovateľnosť). Výsledky jednotlivých meraní sa </w:t>
            </w:r>
            <w:r w:rsidRPr="00257FB3">
              <w:rPr>
                <w:sz w:val="16"/>
                <w:szCs w:val="16"/>
              </w:rPr>
              <w:lastRenderedPageBreak/>
              <w:t>interpretujú na základe kritérií uvedených v technickej norme</w:t>
            </w:r>
            <w:r>
              <w:rPr>
                <w:sz w:val="16"/>
                <w:szCs w:val="16"/>
                <w:vertAlign w:val="superscript"/>
              </w:rPr>
              <w:t>45</w:t>
            </w:r>
            <w:r w:rsidRPr="00257FB3">
              <w:rPr>
                <w:sz w:val="16"/>
                <w:szCs w:val="16"/>
              </w:rPr>
              <w:t>) alebo inej obdobnej technickej špecifikácii s porovnateľnými alebo prísnejšími požiadavkami.</w:t>
            </w:r>
          </w:p>
          <w:p w14:paraId="0AA5FD78" w14:textId="77777777" w:rsidR="009D00F4" w:rsidRPr="00257FB3" w:rsidRDefault="009D00F4" w:rsidP="009D00F4">
            <w:pPr>
              <w:keepNext/>
              <w:numPr>
                <w:ilvl w:val="1"/>
                <w:numId w:val="3"/>
              </w:numPr>
              <w:tabs>
                <w:tab w:val="clear" w:pos="1440"/>
              </w:tabs>
              <w:spacing w:before="60" w:after="60" w:line="240" w:lineRule="auto"/>
              <w:ind w:left="357" w:hanging="357"/>
              <w:jc w:val="both"/>
              <w:rPr>
                <w:sz w:val="16"/>
                <w:szCs w:val="16"/>
              </w:rPr>
            </w:pPr>
            <w:r w:rsidRPr="00257FB3">
              <w:rPr>
                <w:sz w:val="16"/>
                <w:szCs w:val="16"/>
              </w:rPr>
              <w:t>Letné obdobie začína najneskôr 1. mája a končí najskôr 30. septembra.</w:t>
            </w:r>
          </w:p>
          <w:p w14:paraId="1CF98E55" w14:textId="77777777" w:rsidR="009D00F4" w:rsidRPr="00257FB3" w:rsidRDefault="009D00F4" w:rsidP="009D00F4">
            <w:pPr>
              <w:keepNext/>
              <w:numPr>
                <w:ilvl w:val="1"/>
                <w:numId w:val="3"/>
              </w:numPr>
              <w:tabs>
                <w:tab w:val="clear" w:pos="1440"/>
              </w:tabs>
              <w:spacing w:before="60" w:after="60" w:line="240" w:lineRule="auto"/>
              <w:ind w:left="357" w:hanging="357"/>
              <w:jc w:val="both"/>
              <w:rPr>
                <w:sz w:val="16"/>
                <w:szCs w:val="16"/>
              </w:rPr>
            </w:pPr>
            <w:r w:rsidRPr="00257FB3">
              <w:rPr>
                <w:sz w:val="16"/>
                <w:szCs w:val="16"/>
              </w:rPr>
              <w:t xml:space="preserve">Ďalšie </w:t>
            </w:r>
            <w:proofErr w:type="spellStart"/>
            <w:r w:rsidRPr="00257FB3">
              <w:rPr>
                <w:sz w:val="16"/>
                <w:szCs w:val="16"/>
              </w:rPr>
              <w:t>monoalkoholy</w:t>
            </w:r>
            <w:proofErr w:type="spellEnd"/>
            <w:r w:rsidRPr="00257FB3">
              <w:rPr>
                <w:sz w:val="16"/>
                <w:szCs w:val="16"/>
              </w:rPr>
              <w:t xml:space="preserve"> a étery s koncovým destilačným bodom nie vyšším ako destilačný bod podľa technickej normy</w:t>
            </w:r>
            <w:r w:rsidRPr="00257FB3">
              <w:rPr>
                <w:sz w:val="16"/>
                <w:szCs w:val="16"/>
                <w:vertAlign w:val="superscript"/>
              </w:rPr>
              <w:t>4</w:t>
            </w:r>
            <w:r>
              <w:rPr>
                <w:sz w:val="16"/>
                <w:szCs w:val="16"/>
                <w:vertAlign w:val="superscript"/>
              </w:rPr>
              <w:t>4</w:t>
            </w:r>
            <w:r w:rsidRPr="00257FB3">
              <w:rPr>
                <w:sz w:val="16"/>
                <w:szCs w:val="16"/>
              </w:rPr>
              <w:t>) alebo inej obdobnej technickej špecifikácie s porovnateľnými alebo prísnejšími požiadavkami.</w:t>
            </w:r>
          </w:p>
          <w:p w14:paraId="2CD60D06" w14:textId="77777777" w:rsidR="009D00F4" w:rsidRPr="00257FB3" w:rsidRDefault="00654418" w:rsidP="009D00F4">
            <w:pPr>
              <w:spacing w:line="240" w:lineRule="atLeast"/>
              <w:ind w:left="-44" w:firstLine="44"/>
              <w:jc w:val="both"/>
            </w:pPr>
            <w:r>
              <w:rPr>
                <w:noProof/>
              </w:rPr>
              <w:pict w14:anchorId="6CD52A45">
                <v:shapetype id="_x0000_t32" coordsize="21600,21600" o:spt="32" o:oned="t" path="m,l21600,21600e" filled="f">
                  <v:path arrowok="t" fillok="f" o:connecttype="none"/>
                  <o:lock v:ext="edit" shapetype="t"/>
                </v:shapetype>
                <v:shape id="_x0000_s1039" type="#_x0000_t32" style="position:absolute;left:0;text-align:left;margin-left:.1pt;margin-top:5.4pt;width:58.2pt;height:0;z-index:251678720" o:connectortype="straight"/>
              </w:pict>
            </w:r>
          </w:p>
          <w:p w14:paraId="2ABE7739" w14:textId="77777777" w:rsidR="009D00F4" w:rsidRPr="00257FB3" w:rsidRDefault="009D00F4" w:rsidP="009D00F4">
            <w:pPr>
              <w:pStyle w:val="Textpoznmkypodiarou"/>
              <w:jc w:val="both"/>
              <w:rPr>
                <w:rFonts w:eastAsia="Calibri"/>
                <w:sz w:val="18"/>
                <w:szCs w:val="18"/>
                <w:lang w:eastAsia="sk-SK"/>
              </w:rPr>
            </w:pPr>
            <w:r w:rsidRPr="00257FB3">
              <w:rPr>
                <w:sz w:val="18"/>
                <w:szCs w:val="18"/>
                <w:vertAlign w:val="superscript"/>
              </w:rPr>
              <w:t>4</w:t>
            </w:r>
            <w:r>
              <w:rPr>
                <w:sz w:val="18"/>
                <w:szCs w:val="18"/>
                <w:vertAlign w:val="superscript"/>
              </w:rPr>
              <w:t>4</w:t>
            </w:r>
            <w:r w:rsidRPr="00257FB3">
              <w:rPr>
                <w:sz w:val="18"/>
                <w:szCs w:val="18"/>
              </w:rPr>
              <w:t xml:space="preserve">) </w:t>
            </w:r>
            <w:r>
              <w:rPr>
                <w:rFonts w:eastAsia="Calibri"/>
                <w:sz w:val="18"/>
                <w:szCs w:val="18"/>
                <w:lang w:eastAsia="sk-SK"/>
              </w:rPr>
              <w:t>STN EN 228 + A1</w:t>
            </w:r>
            <w:r w:rsidRPr="00257FB3">
              <w:rPr>
                <w:rFonts w:eastAsia="Calibri"/>
                <w:sz w:val="18"/>
                <w:szCs w:val="18"/>
                <w:lang w:eastAsia="sk-SK"/>
              </w:rPr>
              <w:t xml:space="preserve"> Automobilové palivá. Bezolovnatý benzín. Požiadavky a skúšobné metódy (65 6505).   </w:t>
            </w:r>
          </w:p>
          <w:p w14:paraId="67F08997" w14:textId="77777777" w:rsidR="009D00F4" w:rsidRPr="00931C1D" w:rsidRDefault="009D00F4" w:rsidP="009D00F4">
            <w:pPr>
              <w:pStyle w:val="Textpoznmkypodiarou"/>
              <w:jc w:val="both"/>
              <w:rPr>
                <w:strike/>
              </w:rPr>
            </w:pPr>
            <w:r>
              <w:rPr>
                <w:sz w:val="18"/>
                <w:szCs w:val="18"/>
                <w:vertAlign w:val="superscript"/>
              </w:rPr>
              <w:t>45</w:t>
            </w:r>
            <w:r w:rsidRPr="00257FB3">
              <w:rPr>
                <w:sz w:val="18"/>
                <w:szCs w:val="18"/>
              </w:rPr>
              <w:t xml:space="preserve">) </w:t>
            </w:r>
            <w:r w:rsidRPr="0097586D">
              <w:rPr>
                <w:rFonts w:eastAsia="Calibri"/>
                <w:sz w:val="18"/>
                <w:szCs w:val="18"/>
                <w:lang w:eastAsia="sk-SK"/>
              </w:rPr>
              <w:t>Súbor STN EN ISO 4259 Ropné výrobky a príbuzné výrobky. Zhodnosť metód merania a výsledkov merania (65 6004).</w:t>
            </w:r>
          </w:p>
          <w:p w14:paraId="2FB0B06A" w14:textId="77777777" w:rsidR="009D00F4" w:rsidRPr="0029105C" w:rsidRDefault="009D00F4" w:rsidP="009D00F4">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lang w:eastAsia="sk-SK"/>
              </w:rPr>
            </w:pPr>
          </w:p>
        </w:tc>
        <w:tc>
          <w:tcPr>
            <w:tcW w:w="849" w:type="dxa"/>
            <w:tcBorders>
              <w:top w:val="single" w:sz="4" w:space="0" w:color="auto"/>
              <w:left w:val="single" w:sz="4" w:space="0" w:color="auto"/>
              <w:bottom w:val="single" w:sz="4" w:space="0" w:color="auto"/>
              <w:right w:val="single" w:sz="4" w:space="0" w:color="auto"/>
            </w:tcBorders>
          </w:tcPr>
          <w:p w14:paraId="286CA48E" w14:textId="58085413"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Ú</w:t>
            </w:r>
          </w:p>
        </w:tc>
        <w:tc>
          <w:tcPr>
            <w:tcW w:w="1360" w:type="dxa"/>
            <w:tcBorders>
              <w:top w:val="single" w:sz="4" w:space="0" w:color="auto"/>
              <w:left w:val="single" w:sz="4" w:space="0" w:color="auto"/>
              <w:bottom w:val="single" w:sz="4" w:space="0" w:color="auto"/>
              <w:right w:val="single" w:sz="4" w:space="0" w:color="auto"/>
            </w:tcBorders>
          </w:tcPr>
          <w:p w14:paraId="6AF1B174" w14:textId="6DFB4AF4" w:rsidR="009D00F4" w:rsidRPr="0029105C"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EB77CF">
              <w:rPr>
                <w:rFonts w:ascii="Times New Roman" w:eastAsia="Times New Roman" w:hAnsi="Times New Roman" w:cs="Times New Roman"/>
                <w:color w:val="000000" w:themeColor="text1"/>
                <w:sz w:val="20"/>
                <w:szCs w:val="20"/>
                <w:lang w:eastAsia="sk-SK"/>
              </w:rPr>
              <w:t>Bez potreby legislatívnej úpravy vyhlášky č. 251/2023 Z. z. - technické normy prebraté bez roku vydania, platí aktuálne platná daná technická norma.</w:t>
            </w:r>
          </w:p>
        </w:tc>
        <w:tc>
          <w:tcPr>
            <w:tcW w:w="1360" w:type="dxa"/>
            <w:tcBorders>
              <w:top w:val="single" w:sz="4" w:space="0" w:color="auto"/>
              <w:left w:val="single" w:sz="4" w:space="0" w:color="auto"/>
              <w:bottom w:val="single" w:sz="4" w:space="0" w:color="auto"/>
              <w:right w:val="single" w:sz="4" w:space="0" w:color="auto"/>
            </w:tcBorders>
          </w:tcPr>
          <w:p w14:paraId="55318F1F" w14:textId="6AF88D6B"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694C8C53" w14:textId="77777777" w:rsidR="009D00F4" w:rsidRPr="0029105C"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9D00F4" w:rsidRPr="0029105C" w14:paraId="124197C2" w14:textId="77777777" w:rsidTr="0017306B">
        <w:tc>
          <w:tcPr>
            <w:tcW w:w="1005" w:type="dxa"/>
            <w:tcBorders>
              <w:top w:val="single" w:sz="4" w:space="0" w:color="auto"/>
              <w:left w:val="single" w:sz="12" w:space="0" w:color="auto"/>
              <w:bottom w:val="single" w:sz="4" w:space="0" w:color="auto"/>
              <w:right w:val="single" w:sz="4" w:space="0" w:color="auto"/>
            </w:tcBorders>
          </w:tcPr>
          <w:p w14:paraId="616BF5D3"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Príloha II</w:t>
            </w:r>
          </w:p>
          <w:p w14:paraId="68A11584"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51692C77" w14:textId="75C26F5A"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b</w:t>
            </w:r>
          </w:p>
        </w:tc>
        <w:tc>
          <w:tcPr>
            <w:tcW w:w="3421" w:type="dxa"/>
            <w:tcBorders>
              <w:top w:val="single" w:sz="4" w:space="0" w:color="auto"/>
              <w:left w:val="single" w:sz="4" w:space="0" w:color="auto"/>
              <w:bottom w:val="single" w:sz="4" w:space="0" w:color="auto"/>
              <w:right w:val="single" w:sz="4" w:space="0" w:color="auto"/>
            </w:tcBorders>
          </w:tcPr>
          <w:p w14:paraId="6BE0504B" w14:textId="77777777" w:rsidR="009D00F4" w:rsidRPr="00EB77CF"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 xml:space="preserve">b) </w:t>
            </w:r>
            <w:r w:rsidRPr="00EB77CF">
              <w:rPr>
                <w:rFonts w:ascii="Times New Roman" w:eastAsia="Times New Roman" w:hAnsi="Times New Roman" w:cs="Times New Roman"/>
                <w:bCs/>
                <w:color w:val="000000" w:themeColor="text1"/>
                <w:sz w:val="20"/>
                <w:szCs w:val="20"/>
                <w:lang w:eastAsia="sk-SK"/>
              </w:rPr>
              <w:t>Poznámka pod čiarou č. 2 sa nahrádza takto:</w:t>
            </w:r>
          </w:p>
          <w:p w14:paraId="177540DD" w14:textId="77777777"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EB77CF">
              <w:rPr>
                <w:rFonts w:ascii="Times New Roman" w:eastAsia="Times New Roman" w:hAnsi="Times New Roman" w:cs="Times New Roman"/>
                <w:bCs/>
                <w:color w:val="000000" w:themeColor="text1"/>
                <w:sz w:val="20"/>
                <w:szCs w:val="20"/>
                <w:lang w:eastAsia="sk-SK"/>
              </w:rPr>
              <w:t>„(2) Hodnoty uvedené v špecifikácii sú „skutočné hodnoty“. Pri stanovení ich limitných hodnôt sa použili podmienky normy EN ISO 4259-1:2017/A1:2021 „Ropné a príbuzné výrobky. Zhodnosť metód merania a výsledkov merania Časť 1: Určovanie údajov zhodnosti vo vzťahu k skúšobným metódam“ a pri stanovení minimálnej hodnoty sa zohľadnil minimálny rozdiel 2R nad nulou (R = reprodukovateľnosť). Výsledky jednotlivých meraní sa interpretujú na základe kritérií uvedených v norme EN ISO 4259-2:2017/A1:2019“.</w:t>
            </w:r>
          </w:p>
          <w:p w14:paraId="08461C41" w14:textId="77777777"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04B6A569" w14:textId="77777777" w:rsidR="009D00F4" w:rsidRPr="00EB77CF"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c)</w:t>
            </w:r>
            <w:r>
              <w:t xml:space="preserve"> </w:t>
            </w:r>
            <w:r w:rsidRPr="00EB77CF">
              <w:rPr>
                <w:rFonts w:ascii="Times New Roman" w:eastAsia="Times New Roman" w:hAnsi="Times New Roman" w:cs="Times New Roman"/>
                <w:bCs/>
                <w:color w:val="000000" w:themeColor="text1"/>
                <w:sz w:val="20"/>
                <w:szCs w:val="20"/>
                <w:lang w:eastAsia="sk-SK"/>
              </w:rPr>
              <w:t>Poznámka pod čiarou č. 6 sa nahrádza takto:</w:t>
            </w:r>
          </w:p>
          <w:p w14:paraId="4ADBAFB7" w14:textId="6DF45EAB"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EB77CF">
              <w:rPr>
                <w:rFonts w:ascii="Times New Roman" w:eastAsia="Times New Roman" w:hAnsi="Times New Roman" w:cs="Times New Roman"/>
                <w:bCs/>
                <w:color w:val="000000" w:themeColor="text1"/>
                <w:sz w:val="20"/>
                <w:szCs w:val="20"/>
                <w:lang w:eastAsia="sk-SK"/>
              </w:rPr>
              <w:t xml:space="preserve">„(6) Ďalšie </w:t>
            </w:r>
            <w:proofErr w:type="spellStart"/>
            <w:r w:rsidRPr="00EB77CF">
              <w:rPr>
                <w:rFonts w:ascii="Times New Roman" w:eastAsia="Times New Roman" w:hAnsi="Times New Roman" w:cs="Times New Roman"/>
                <w:bCs/>
                <w:color w:val="000000" w:themeColor="text1"/>
                <w:sz w:val="20"/>
                <w:szCs w:val="20"/>
                <w:lang w:eastAsia="sk-SK"/>
              </w:rPr>
              <w:t>monoalkoholy</w:t>
            </w:r>
            <w:proofErr w:type="spellEnd"/>
            <w:r w:rsidRPr="00EB77CF">
              <w:rPr>
                <w:rFonts w:ascii="Times New Roman" w:eastAsia="Times New Roman" w:hAnsi="Times New Roman" w:cs="Times New Roman"/>
                <w:bCs/>
                <w:color w:val="000000" w:themeColor="text1"/>
                <w:sz w:val="20"/>
                <w:szCs w:val="20"/>
                <w:lang w:eastAsia="sk-SK"/>
              </w:rPr>
              <w:t xml:space="preserve"> a étery s koncovým destilačným bodom nie vyšším než destilačný bod podľa normy EN 228:2012 +A1:2017.“</w:t>
            </w:r>
          </w:p>
        </w:tc>
        <w:tc>
          <w:tcPr>
            <w:tcW w:w="794" w:type="dxa"/>
            <w:tcBorders>
              <w:top w:val="single" w:sz="4" w:space="0" w:color="auto"/>
              <w:left w:val="single" w:sz="4" w:space="0" w:color="auto"/>
              <w:bottom w:val="single" w:sz="4" w:space="0" w:color="auto"/>
              <w:right w:val="single" w:sz="12" w:space="0" w:color="auto"/>
            </w:tcBorders>
          </w:tcPr>
          <w:p w14:paraId="68F0DB31" w14:textId="3F36B885"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7B15CD39" w14:textId="136D49BB"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Vyhláška MŽP č. 251/2023</w:t>
            </w:r>
          </w:p>
        </w:tc>
        <w:tc>
          <w:tcPr>
            <w:tcW w:w="900" w:type="dxa"/>
            <w:tcBorders>
              <w:top w:val="single" w:sz="4" w:space="0" w:color="auto"/>
              <w:left w:val="single" w:sz="4" w:space="0" w:color="auto"/>
              <w:bottom w:val="single" w:sz="4" w:space="0" w:color="auto"/>
              <w:right w:val="single" w:sz="4" w:space="0" w:color="auto"/>
            </w:tcBorders>
          </w:tcPr>
          <w:p w14:paraId="0E6F0F87" w14:textId="69C3A2D1"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Príloha č. 1</w:t>
            </w:r>
          </w:p>
        </w:tc>
        <w:tc>
          <w:tcPr>
            <w:tcW w:w="4540" w:type="dxa"/>
            <w:tcBorders>
              <w:top w:val="single" w:sz="4" w:space="0" w:color="auto"/>
              <w:bottom w:val="single" w:sz="4" w:space="0" w:color="auto"/>
            </w:tcBorders>
          </w:tcPr>
          <w:p w14:paraId="0DD1877A" w14:textId="77777777" w:rsidR="009D00F4" w:rsidRPr="00EC1834"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EC1834">
              <w:rPr>
                <w:rFonts w:ascii="Times New Roman" w:eastAsia="Times New Roman" w:hAnsi="Times New Roman" w:cs="Times New Roman"/>
                <w:color w:val="000000" w:themeColor="text1"/>
                <w:sz w:val="20"/>
                <w:szCs w:val="20"/>
                <w:lang w:eastAsia="sk-SK"/>
              </w:rPr>
              <w:t>Príloha č. 1</w:t>
            </w:r>
          </w:p>
          <w:p w14:paraId="3A46F9AF" w14:textId="77777777" w:rsidR="009D00F4" w:rsidRPr="00EC1834"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EC1834">
              <w:rPr>
                <w:rFonts w:ascii="Times New Roman" w:eastAsia="Times New Roman" w:hAnsi="Times New Roman" w:cs="Times New Roman"/>
                <w:color w:val="000000" w:themeColor="text1"/>
                <w:sz w:val="20"/>
                <w:szCs w:val="20"/>
                <w:lang w:eastAsia="sk-SK"/>
              </w:rPr>
              <w:t xml:space="preserve">Požiadavky na kvalitu automobilového benzínu </w:t>
            </w:r>
          </w:p>
          <w:p w14:paraId="4FE5886A" w14:textId="77777777" w:rsidR="009D00F4" w:rsidRPr="00257FB3" w:rsidRDefault="009D00F4" w:rsidP="009D00F4">
            <w:pPr>
              <w:jc w:val="both"/>
              <w:rPr>
                <w:sz w:val="20"/>
                <w:lang w:eastAsia="sk-SK"/>
              </w:rPr>
            </w:pPr>
          </w:p>
          <w:tbl>
            <w:tblPr>
              <w:tblW w:w="4006"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877"/>
              <w:gridCol w:w="467"/>
              <w:gridCol w:w="551"/>
              <w:gridCol w:w="671"/>
            </w:tblGrid>
            <w:tr w:rsidR="009D00F4" w:rsidRPr="00257FB3" w14:paraId="66DB533C" w14:textId="77777777" w:rsidTr="0017306B">
              <w:trPr>
                <w:tblCellSpacing w:w="0" w:type="dxa"/>
                <w:jc w:val="center"/>
              </w:trPr>
              <w:tc>
                <w:tcPr>
                  <w:tcW w:w="2632" w:type="pct"/>
                  <w:vMerge w:val="restart"/>
                  <w:tcBorders>
                    <w:left w:val="nil"/>
                    <w:bottom w:val="single" w:sz="2" w:space="0" w:color="auto"/>
                    <w:right w:val="nil"/>
                  </w:tcBorders>
                  <w:vAlign w:val="center"/>
                </w:tcPr>
                <w:p w14:paraId="33AF1C2E" w14:textId="77777777" w:rsidR="009D00F4" w:rsidRPr="00257FB3" w:rsidRDefault="009D00F4" w:rsidP="00654418">
                  <w:pPr>
                    <w:framePr w:hSpace="141" w:wrap="around" w:hAnchor="margin" w:xAlign="center" w:y="-1415"/>
                    <w:jc w:val="center"/>
                    <w:rPr>
                      <w:b/>
                      <w:sz w:val="16"/>
                      <w:szCs w:val="16"/>
                    </w:rPr>
                  </w:pPr>
                  <w:proofErr w:type="spellStart"/>
                  <w:r w:rsidRPr="00257FB3">
                    <w:rPr>
                      <w:b/>
                      <w:bCs/>
                      <w:sz w:val="16"/>
                      <w:szCs w:val="16"/>
                    </w:rPr>
                    <w:t>Parameter</w:t>
                  </w:r>
                  <w:r w:rsidRPr="00257FB3">
                    <w:rPr>
                      <w:b/>
                      <w:bCs/>
                      <w:sz w:val="16"/>
                      <w:szCs w:val="16"/>
                      <w:vertAlign w:val="superscript"/>
                    </w:rPr>
                    <w:t>a</w:t>
                  </w:r>
                  <w:proofErr w:type="spellEnd"/>
                  <w:r w:rsidRPr="00257FB3">
                    <w:rPr>
                      <w:b/>
                      <w:bCs/>
                      <w:sz w:val="16"/>
                      <w:szCs w:val="16"/>
                    </w:rPr>
                    <w:t>)</w:t>
                  </w:r>
                </w:p>
              </w:tc>
              <w:tc>
                <w:tcPr>
                  <w:tcW w:w="655" w:type="pct"/>
                  <w:vMerge w:val="restart"/>
                  <w:tcBorders>
                    <w:left w:val="single" w:sz="2" w:space="0" w:color="auto"/>
                    <w:bottom w:val="single" w:sz="2" w:space="0" w:color="auto"/>
                    <w:right w:val="nil"/>
                  </w:tcBorders>
                  <w:vAlign w:val="center"/>
                </w:tcPr>
                <w:p w14:paraId="5FD8EA19" w14:textId="77777777" w:rsidR="009D00F4" w:rsidRPr="00257FB3" w:rsidRDefault="009D00F4" w:rsidP="00654418">
                  <w:pPr>
                    <w:framePr w:hSpace="141" w:wrap="around" w:hAnchor="margin" w:xAlign="center" w:y="-1415"/>
                    <w:jc w:val="center"/>
                    <w:rPr>
                      <w:b/>
                      <w:sz w:val="16"/>
                      <w:szCs w:val="16"/>
                    </w:rPr>
                  </w:pPr>
                  <w:r w:rsidRPr="00257FB3">
                    <w:rPr>
                      <w:b/>
                      <w:bCs/>
                      <w:sz w:val="16"/>
                      <w:szCs w:val="16"/>
                    </w:rPr>
                    <w:t>Jednotka</w:t>
                  </w:r>
                </w:p>
              </w:tc>
              <w:tc>
                <w:tcPr>
                  <w:tcW w:w="1713" w:type="pct"/>
                  <w:gridSpan w:val="2"/>
                  <w:tcBorders>
                    <w:left w:val="single" w:sz="2" w:space="0" w:color="auto"/>
                    <w:bottom w:val="nil"/>
                  </w:tcBorders>
                  <w:vAlign w:val="center"/>
                </w:tcPr>
                <w:p w14:paraId="1F99B5AC" w14:textId="77777777" w:rsidR="009D00F4" w:rsidRPr="00257FB3" w:rsidRDefault="009D00F4" w:rsidP="00654418">
                  <w:pPr>
                    <w:framePr w:hSpace="141" w:wrap="around" w:hAnchor="margin" w:xAlign="center" w:y="-1415"/>
                    <w:jc w:val="center"/>
                    <w:rPr>
                      <w:b/>
                      <w:sz w:val="16"/>
                      <w:szCs w:val="16"/>
                    </w:rPr>
                  </w:pPr>
                  <w:r w:rsidRPr="00257FB3">
                    <w:rPr>
                      <w:b/>
                      <w:bCs/>
                      <w:sz w:val="16"/>
                      <w:szCs w:val="16"/>
                    </w:rPr>
                    <w:t>Limity</w:t>
                  </w:r>
                  <w:r w:rsidRPr="00257FB3">
                    <w:rPr>
                      <w:b/>
                      <w:bCs/>
                      <w:sz w:val="16"/>
                      <w:szCs w:val="16"/>
                      <w:vertAlign w:val="superscript"/>
                    </w:rPr>
                    <w:t xml:space="preserve"> b</w:t>
                  </w:r>
                  <w:r w:rsidRPr="00257FB3">
                    <w:rPr>
                      <w:b/>
                      <w:bCs/>
                      <w:sz w:val="16"/>
                      <w:szCs w:val="16"/>
                    </w:rPr>
                    <w:t>)</w:t>
                  </w:r>
                </w:p>
              </w:tc>
            </w:tr>
            <w:tr w:rsidR="009D00F4" w:rsidRPr="00257FB3" w14:paraId="403EE082" w14:textId="77777777" w:rsidTr="0017306B">
              <w:trPr>
                <w:tblCellSpacing w:w="0" w:type="dxa"/>
                <w:jc w:val="center"/>
              </w:trPr>
              <w:tc>
                <w:tcPr>
                  <w:tcW w:w="2632" w:type="pct"/>
                  <w:vMerge/>
                  <w:tcBorders>
                    <w:top w:val="single" w:sz="2" w:space="0" w:color="auto"/>
                    <w:left w:val="nil"/>
                    <w:right w:val="nil"/>
                  </w:tcBorders>
                  <w:vAlign w:val="center"/>
                </w:tcPr>
                <w:p w14:paraId="07151724" w14:textId="77777777" w:rsidR="009D00F4" w:rsidRPr="00257FB3" w:rsidRDefault="009D00F4" w:rsidP="00654418">
                  <w:pPr>
                    <w:framePr w:hSpace="141" w:wrap="around" w:hAnchor="margin" w:xAlign="center" w:y="-1415"/>
                    <w:jc w:val="center"/>
                    <w:rPr>
                      <w:b/>
                      <w:sz w:val="16"/>
                      <w:szCs w:val="16"/>
                    </w:rPr>
                  </w:pPr>
                </w:p>
              </w:tc>
              <w:tc>
                <w:tcPr>
                  <w:tcW w:w="655" w:type="pct"/>
                  <w:vMerge/>
                  <w:tcBorders>
                    <w:top w:val="single" w:sz="2" w:space="0" w:color="auto"/>
                    <w:left w:val="single" w:sz="2" w:space="0" w:color="auto"/>
                    <w:right w:val="nil"/>
                  </w:tcBorders>
                  <w:vAlign w:val="center"/>
                </w:tcPr>
                <w:p w14:paraId="4F257A99" w14:textId="77777777" w:rsidR="009D00F4" w:rsidRPr="00257FB3" w:rsidRDefault="009D00F4" w:rsidP="00654418">
                  <w:pPr>
                    <w:framePr w:hSpace="141" w:wrap="around" w:hAnchor="margin" w:xAlign="center" w:y="-1415"/>
                    <w:jc w:val="center"/>
                    <w:rPr>
                      <w:b/>
                      <w:sz w:val="16"/>
                      <w:szCs w:val="16"/>
                    </w:rPr>
                  </w:pPr>
                </w:p>
              </w:tc>
              <w:tc>
                <w:tcPr>
                  <w:tcW w:w="772" w:type="pct"/>
                  <w:tcBorders>
                    <w:left w:val="single" w:sz="2" w:space="0" w:color="auto"/>
                  </w:tcBorders>
                  <w:vAlign w:val="center"/>
                </w:tcPr>
                <w:p w14:paraId="6BDD1419" w14:textId="77777777" w:rsidR="009D00F4" w:rsidRPr="00257FB3" w:rsidRDefault="009D00F4" w:rsidP="00654418">
                  <w:pPr>
                    <w:framePr w:hSpace="141" w:wrap="around" w:hAnchor="margin" w:xAlign="center" w:y="-1415"/>
                    <w:jc w:val="center"/>
                    <w:rPr>
                      <w:b/>
                      <w:sz w:val="16"/>
                      <w:szCs w:val="16"/>
                    </w:rPr>
                  </w:pPr>
                  <w:r w:rsidRPr="00257FB3">
                    <w:rPr>
                      <w:b/>
                      <w:bCs/>
                      <w:sz w:val="16"/>
                      <w:szCs w:val="16"/>
                    </w:rPr>
                    <w:t>Najmenej</w:t>
                  </w:r>
                </w:p>
              </w:tc>
              <w:tc>
                <w:tcPr>
                  <w:tcW w:w="941" w:type="pct"/>
                  <w:tcBorders>
                    <w:left w:val="nil"/>
                  </w:tcBorders>
                  <w:vAlign w:val="center"/>
                </w:tcPr>
                <w:p w14:paraId="1B58FF17" w14:textId="77777777" w:rsidR="009D00F4" w:rsidRPr="00257FB3" w:rsidRDefault="009D00F4" w:rsidP="00654418">
                  <w:pPr>
                    <w:framePr w:hSpace="141" w:wrap="around" w:hAnchor="margin" w:xAlign="center" w:y="-1415"/>
                    <w:jc w:val="center"/>
                    <w:rPr>
                      <w:b/>
                      <w:sz w:val="16"/>
                      <w:szCs w:val="16"/>
                    </w:rPr>
                  </w:pPr>
                  <w:r w:rsidRPr="00257FB3">
                    <w:rPr>
                      <w:b/>
                      <w:bCs/>
                      <w:sz w:val="16"/>
                      <w:szCs w:val="16"/>
                    </w:rPr>
                    <w:t>Najviac</w:t>
                  </w:r>
                </w:p>
              </w:tc>
            </w:tr>
            <w:tr w:rsidR="009D00F4" w:rsidRPr="00257FB3" w14:paraId="403B3290" w14:textId="77777777" w:rsidTr="0017306B">
              <w:trPr>
                <w:tblCellSpacing w:w="0" w:type="dxa"/>
                <w:jc w:val="center"/>
              </w:trPr>
              <w:tc>
                <w:tcPr>
                  <w:tcW w:w="5000" w:type="pct"/>
                  <w:gridSpan w:val="4"/>
                  <w:tcBorders>
                    <w:top w:val="single" w:sz="2" w:space="0" w:color="auto"/>
                    <w:left w:val="nil"/>
                  </w:tcBorders>
                  <w:vAlign w:val="center"/>
                </w:tcPr>
                <w:p w14:paraId="4737BC2F" w14:textId="77777777" w:rsidR="009D00F4" w:rsidRPr="00257FB3" w:rsidRDefault="009D00F4" w:rsidP="00654418">
                  <w:pPr>
                    <w:framePr w:hSpace="141" w:wrap="around" w:hAnchor="margin" w:xAlign="center" w:y="-1415"/>
                    <w:rPr>
                      <w:b/>
                      <w:bCs/>
                      <w:sz w:val="16"/>
                      <w:szCs w:val="16"/>
                    </w:rPr>
                  </w:pPr>
                  <w:r w:rsidRPr="00257FB3">
                    <w:rPr>
                      <w:sz w:val="16"/>
                      <w:szCs w:val="16"/>
                    </w:rPr>
                    <w:t>BENZÍN</w:t>
                  </w:r>
                </w:p>
              </w:tc>
            </w:tr>
            <w:tr w:rsidR="009D00F4" w:rsidRPr="00257FB3" w14:paraId="2DE9EC95" w14:textId="77777777" w:rsidTr="0017306B">
              <w:trPr>
                <w:tblCellSpacing w:w="0" w:type="dxa"/>
                <w:jc w:val="center"/>
              </w:trPr>
              <w:tc>
                <w:tcPr>
                  <w:tcW w:w="2632" w:type="pct"/>
                  <w:tcBorders>
                    <w:left w:val="nil"/>
                    <w:right w:val="nil"/>
                  </w:tcBorders>
                </w:tcPr>
                <w:p w14:paraId="3A0F8FD6" w14:textId="77777777" w:rsidR="009D00F4" w:rsidRPr="00257FB3" w:rsidRDefault="009D00F4" w:rsidP="00654418">
                  <w:pPr>
                    <w:framePr w:hSpace="141" w:wrap="around" w:hAnchor="margin" w:xAlign="center" w:y="-1415"/>
                    <w:rPr>
                      <w:sz w:val="16"/>
                      <w:szCs w:val="16"/>
                    </w:rPr>
                  </w:pPr>
                  <w:r w:rsidRPr="00257FB3">
                    <w:rPr>
                      <w:sz w:val="16"/>
                      <w:szCs w:val="16"/>
                    </w:rPr>
                    <w:t>Oktánové číslo výskumnou metódou</w:t>
                  </w:r>
                </w:p>
              </w:tc>
              <w:tc>
                <w:tcPr>
                  <w:tcW w:w="655" w:type="pct"/>
                  <w:tcBorders>
                    <w:right w:val="nil"/>
                  </w:tcBorders>
                </w:tcPr>
                <w:p w14:paraId="020DD033" w14:textId="77777777" w:rsidR="009D00F4" w:rsidRPr="00257FB3" w:rsidRDefault="009D00F4" w:rsidP="00654418">
                  <w:pPr>
                    <w:framePr w:hSpace="141" w:wrap="around" w:hAnchor="margin" w:xAlign="center" w:y="-1415"/>
                    <w:rPr>
                      <w:sz w:val="16"/>
                      <w:szCs w:val="16"/>
                    </w:rPr>
                  </w:pPr>
                </w:p>
              </w:tc>
              <w:tc>
                <w:tcPr>
                  <w:tcW w:w="772" w:type="pct"/>
                </w:tcPr>
                <w:p w14:paraId="66F8E4A1" w14:textId="77777777" w:rsidR="009D00F4" w:rsidRPr="00257FB3" w:rsidRDefault="009D00F4" w:rsidP="00654418">
                  <w:pPr>
                    <w:framePr w:hSpace="141" w:wrap="around" w:hAnchor="margin" w:xAlign="center" w:y="-1415"/>
                    <w:jc w:val="center"/>
                    <w:rPr>
                      <w:sz w:val="16"/>
                      <w:szCs w:val="16"/>
                      <w:vertAlign w:val="superscript"/>
                    </w:rPr>
                  </w:pPr>
                  <w:r w:rsidRPr="00257FB3">
                    <w:rPr>
                      <w:sz w:val="16"/>
                      <w:szCs w:val="16"/>
                    </w:rPr>
                    <w:t>95</w:t>
                  </w:r>
                </w:p>
              </w:tc>
              <w:tc>
                <w:tcPr>
                  <w:tcW w:w="941" w:type="pct"/>
                  <w:tcBorders>
                    <w:left w:val="nil"/>
                    <w:right w:val="nil"/>
                  </w:tcBorders>
                </w:tcPr>
                <w:p w14:paraId="7567E5DB" w14:textId="77777777" w:rsidR="009D00F4" w:rsidRPr="00257FB3" w:rsidRDefault="009D00F4" w:rsidP="00654418">
                  <w:pPr>
                    <w:framePr w:hSpace="141" w:wrap="around" w:hAnchor="margin" w:xAlign="center" w:y="-1415"/>
                    <w:jc w:val="center"/>
                    <w:rPr>
                      <w:sz w:val="16"/>
                      <w:szCs w:val="16"/>
                    </w:rPr>
                  </w:pPr>
                </w:p>
              </w:tc>
            </w:tr>
            <w:tr w:rsidR="009D00F4" w:rsidRPr="00257FB3" w14:paraId="70674EEA" w14:textId="77777777" w:rsidTr="0017306B">
              <w:trPr>
                <w:tblCellSpacing w:w="0" w:type="dxa"/>
                <w:jc w:val="center"/>
              </w:trPr>
              <w:tc>
                <w:tcPr>
                  <w:tcW w:w="2632" w:type="pct"/>
                  <w:tcBorders>
                    <w:left w:val="nil"/>
                    <w:right w:val="nil"/>
                  </w:tcBorders>
                </w:tcPr>
                <w:p w14:paraId="0225EADF" w14:textId="77777777" w:rsidR="009D00F4" w:rsidRPr="00257FB3" w:rsidRDefault="009D00F4" w:rsidP="00654418">
                  <w:pPr>
                    <w:framePr w:hSpace="141" w:wrap="around" w:hAnchor="margin" w:xAlign="center" w:y="-1415"/>
                    <w:rPr>
                      <w:sz w:val="16"/>
                      <w:szCs w:val="16"/>
                    </w:rPr>
                  </w:pPr>
                  <w:r w:rsidRPr="00257FB3">
                    <w:rPr>
                      <w:sz w:val="16"/>
                      <w:szCs w:val="16"/>
                    </w:rPr>
                    <w:t>Oktánové číslo motorovou metódou</w:t>
                  </w:r>
                </w:p>
              </w:tc>
              <w:tc>
                <w:tcPr>
                  <w:tcW w:w="655" w:type="pct"/>
                  <w:tcBorders>
                    <w:right w:val="nil"/>
                  </w:tcBorders>
                </w:tcPr>
                <w:p w14:paraId="03B01F38" w14:textId="77777777" w:rsidR="009D00F4" w:rsidRPr="00257FB3" w:rsidRDefault="009D00F4" w:rsidP="00654418">
                  <w:pPr>
                    <w:framePr w:hSpace="141" w:wrap="around" w:hAnchor="margin" w:xAlign="center" w:y="-1415"/>
                    <w:rPr>
                      <w:sz w:val="16"/>
                      <w:szCs w:val="16"/>
                    </w:rPr>
                  </w:pPr>
                </w:p>
              </w:tc>
              <w:tc>
                <w:tcPr>
                  <w:tcW w:w="772" w:type="pct"/>
                </w:tcPr>
                <w:p w14:paraId="16AA4F49" w14:textId="77777777" w:rsidR="009D00F4" w:rsidRPr="00257FB3" w:rsidRDefault="009D00F4" w:rsidP="00654418">
                  <w:pPr>
                    <w:framePr w:hSpace="141" w:wrap="around" w:hAnchor="margin" w:xAlign="center" w:y="-1415"/>
                    <w:jc w:val="center"/>
                    <w:rPr>
                      <w:sz w:val="16"/>
                      <w:szCs w:val="16"/>
                    </w:rPr>
                  </w:pPr>
                  <w:r w:rsidRPr="00257FB3">
                    <w:rPr>
                      <w:sz w:val="16"/>
                      <w:szCs w:val="16"/>
                    </w:rPr>
                    <w:t>85</w:t>
                  </w:r>
                </w:p>
              </w:tc>
              <w:tc>
                <w:tcPr>
                  <w:tcW w:w="941" w:type="pct"/>
                  <w:tcBorders>
                    <w:left w:val="nil"/>
                    <w:right w:val="nil"/>
                  </w:tcBorders>
                </w:tcPr>
                <w:p w14:paraId="1EB066E0" w14:textId="77777777" w:rsidR="009D00F4" w:rsidRPr="00257FB3" w:rsidRDefault="009D00F4" w:rsidP="00654418">
                  <w:pPr>
                    <w:framePr w:hSpace="141" w:wrap="around" w:hAnchor="margin" w:xAlign="center" w:y="-1415"/>
                    <w:jc w:val="center"/>
                    <w:rPr>
                      <w:sz w:val="16"/>
                      <w:szCs w:val="16"/>
                    </w:rPr>
                  </w:pPr>
                </w:p>
              </w:tc>
            </w:tr>
            <w:tr w:rsidR="009D00F4" w:rsidRPr="00257FB3" w14:paraId="60B53056" w14:textId="77777777" w:rsidTr="0017306B">
              <w:trPr>
                <w:tblCellSpacing w:w="0" w:type="dxa"/>
                <w:jc w:val="center"/>
              </w:trPr>
              <w:tc>
                <w:tcPr>
                  <w:tcW w:w="2632" w:type="pct"/>
                  <w:tcBorders>
                    <w:left w:val="nil"/>
                    <w:bottom w:val="single" w:sz="2" w:space="0" w:color="auto"/>
                    <w:right w:val="nil"/>
                  </w:tcBorders>
                </w:tcPr>
                <w:p w14:paraId="464B5DA8" w14:textId="77777777" w:rsidR="009D00F4" w:rsidRPr="00257FB3" w:rsidRDefault="009D00F4" w:rsidP="00654418">
                  <w:pPr>
                    <w:framePr w:hSpace="141" w:wrap="around" w:hAnchor="margin" w:xAlign="center" w:y="-1415"/>
                    <w:rPr>
                      <w:sz w:val="16"/>
                      <w:szCs w:val="16"/>
                    </w:rPr>
                  </w:pPr>
                  <w:r w:rsidRPr="00257FB3">
                    <w:rPr>
                      <w:sz w:val="16"/>
                      <w:szCs w:val="16"/>
                    </w:rPr>
                    <w:t xml:space="preserve">Tlak pár pre letné </w:t>
                  </w:r>
                  <w:proofErr w:type="spellStart"/>
                  <w:r w:rsidRPr="00257FB3">
                    <w:rPr>
                      <w:sz w:val="16"/>
                      <w:szCs w:val="16"/>
                    </w:rPr>
                    <w:t>obdobie</w:t>
                  </w:r>
                  <w:r w:rsidRPr="00257FB3">
                    <w:rPr>
                      <w:sz w:val="16"/>
                      <w:szCs w:val="16"/>
                      <w:vertAlign w:val="superscript"/>
                    </w:rPr>
                    <w:t>c</w:t>
                  </w:r>
                  <w:proofErr w:type="spellEnd"/>
                  <w:r w:rsidRPr="00257FB3">
                    <w:rPr>
                      <w:sz w:val="16"/>
                      <w:szCs w:val="16"/>
                    </w:rPr>
                    <w:t>)</w:t>
                  </w:r>
                </w:p>
              </w:tc>
              <w:tc>
                <w:tcPr>
                  <w:tcW w:w="655" w:type="pct"/>
                  <w:tcBorders>
                    <w:bottom w:val="nil"/>
                    <w:right w:val="nil"/>
                  </w:tcBorders>
                </w:tcPr>
                <w:p w14:paraId="5454D4D1" w14:textId="77777777" w:rsidR="009D00F4" w:rsidRPr="00257FB3" w:rsidRDefault="009D00F4" w:rsidP="00654418">
                  <w:pPr>
                    <w:framePr w:hSpace="141" w:wrap="around" w:hAnchor="margin" w:xAlign="center" w:y="-1415"/>
                    <w:jc w:val="center"/>
                    <w:rPr>
                      <w:sz w:val="16"/>
                      <w:szCs w:val="16"/>
                    </w:rPr>
                  </w:pPr>
                  <w:r w:rsidRPr="00257FB3">
                    <w:rPr>
                      <w:sz w:val="16"/>
                      <w:szCs w:val="16"/>
                    </w:rPr>
                    <w:t>kPa</w:t>
                  </w:r>
                </w:p>
              </w:tc>
              <w:tc>
                <w:tcPr>
                  <w:tcW w:w="772" w:type="pct"/>
                  <w:tcBorders>
                    <w:bottom w:val="nil"/>
                  </w:tcBorders>
                </w:tcPr>
                <w:p w14:paraId="55752726" w14:textId="77777777" w:rsidR="009D00F4" w:rsidRPr="00257FB3" w:rsidRDefault="009D00F4" w:rsidP="00654418">
                  <w:pPr>
                    <w:framePr w:hSpace="141" w:wrap="around" w:hAnchor="margin" w:xAlign="center" w:y="-1415"/>
                    <w:jc w:val="center"/>
                    <w:rPr>
                      <w:sz w:val="16"/>
                      <w:szCs w:val="16"/>
                    </w:rPr>
                  </w:pPr>
                  <w:r w:rsidRPr="00257FB3">
                    <w:rPr>
                      <w:sz w:val="16"/>
                      <w:szCs w:val="16"/>
                    </w:rPr>
                    <w:t> </w:t>
                  </w:r>
                </w:p>
              </w:tc>
              <w:tc>
                <w:tcPr>
                  <w:tcW w:w="941" w:type="pct"/>
                  <w:tcBorders>
                    <w:left w:val="nil"/>
                    <w:bottom w:val="nil"/>
                    <w:right w:val="nil"/>
                  </w:tcBorders>
                </w:tcPr>
                <w:p w14:paraId="0A6BB2C0" w14:textId="77777777" w:rsidR="009D00F4" w:rsidRPr="00257FB3" w:rsidRDefault="009D00F4" w:rsidP="00654418">
                  <w:pPr>
                    <w:framePr w:hSpace="141" w:wrap="around" w:hAnchor="margin" w:xAlign="center" w:y="-1415"/>
                    <w:jc w:val="center"/>
                    <w:rPr>
                      <w:sz w:val="16"/>
                      <w:szCs w:val="16"/>
                      <w:vertAlign w:val="superscript"/>
                    </w:rPr>
                  </w:pPr>
                  <w:r w:rsidRPr="00257FB3">
                    <w:rPr>
                      <w:sz w:val="16"/>
                      <w:szCs w:val="16"/>
                    </w:rPr>
                    <w:t>60,0</w:t>
                  </w:r>
                </w:p>
              </w:tc>
            </w:tr>
            <w:tr w:rsidR="009D00F4" w:rsidRPr="00257FB3" w14:paraId="4B776A47" w14:textId="77777777" w:rsidTr="0017306B">
              <w:trPr>
                <w:tblCellSpacing w:w="0" w:type="dxa"/>
                <w:jc w:val="center"/>
              </w:trPr>
              <w:tc>
                <w:tcPr>
                  <w:tcW w:w="5000" w:type="pct"/>
                  <w:gridSpan w:val="4"/>
                  <w:tcBorders>
                    <w:left w:val="nil"/>
                    <w:bottom w:val="single" w:sz="2" w:space="0" w:color="auto"/>
                    <w:right w:val="nil"/>
                  </w:tcBorders>
                </w:tcPr>
                <w:p w14:paraId="220C431D" w14:textId="77777777" w:rsidR="009D00F4" w:rsidRPr="00257FB3" w:rsidRDefault="009D00F4" w:rsidP="00654418">
                  <w:pPr>
                    <w:framePr w:hSpace="141" w:wrap="around" w:hAnchor="margin" w:xAlign="center" w:y="-1415"/>
                    <w:rPr>
                      <w:sz w:val="16"/>
                      <w:szCs w:val="16"/>
                    </w:rPr>
                  </w:pPr>
                  <w:r w:rsidRPr="00257FB3">
                    <w:rPr>
                      <w:sz w:val="16"/>
                      <w:szCs w:val="16"/>
                    </w:rPr>
                    <w:t>Destilácia:</w:t>
                  </w:r>
                </w:p>
              </w:tc>
            </w:tr>
            <w:tr w:rsidR="009D00F4" w:rsidRPr="00257FB3" w14:paraId="65650C93" w14:textId="77777777" w:rsidTr="0017306B">
              <w:trPr>
                <w:trHeight w:val="406"/>
                <w:tblCellSpacing w:w="0" w:type="dxa"/>
                <w:jc w:val="center"/>
              </w:trPr>
              <w:tc>
                <w:tcPr>
                  <w:tcW w:w="2632" w:type="pct"/>
                  <w:tcBorders>
                    <w:left w:val="nil"/>
                    <w:right w:val="nil"/>
                  </w:tcBorders>
                </w:tcPr>
                <w:p w14:paraId="3F350F38" w14:textId="77777777" w:rsidR="009D00F4" w:rsidRPr="00257FB3" w:rsidRDefault="009D00F4" w:rsidP="00654418">
                  <w:pPr>
                    <w:framePr w:hSpace="141" w:wrap="around" w:hAnchor="margin" w:xAlign="center" w:y="-1415"/>
                    <w:rPr>
                      <w:sz w:val="16"/>
                      <w:szCs w:val="16"/>
                    </w:rPr>
                  </w:pPr>
                  <w:r w:rsidRPr="00257FB3">
                    <w:rPr>
                      <w:sz w:val="16"/>
                      <w:szCs w:val="16"/>
                    </w:rPr>
                    <w:t>odparené percento do 100 °C</w:t>
                  </w:r>
                </w:p>
              </w:tc>
              <w:tc>
                <w:tcPr>
                  <w:tcW w:w="655" w:type="pct"/>
                  <w:vMerge w:val="restart"/>
                  <w:tcBorders>
                    <w:left w:val="single" w:sz="2" w:space="0" w:color="auto"/>
                    <w:right w:val="single" w:sz="2" w:space="0" w:color="auto"/>
                  </w:tcBorders>
                  <w:vAlign w:val="center"/>
                </w:tcPr>
                <w:p w14:paraId="7195A09F" w14:textId="77777777" w:rsidR="009D00F4" w:rsidRPr="00257FB3" w:rsidRDefault="009D00F4" w:rsidP="00654418">
                  <w:pPr>
                    <w:framePr w:hSpace="141" w:wrap="around" w:hAnchor="margin" w:xAlign="center" w:y="-1415"/>
                    <w:jc w:val="center"/>
                    <w:rPr>
                      <w:sz w:val="16"/>
                      <w:szCs w:val="16"/>
                    </w:rPr>
                  </w:pPr>
                  <w:r w:rsidRPr="00257FB3">
                    <w:rPr>
                      <w:sz w:val="16"/>
                      <w:szCs w:val="16"/>
                    </w:rPr>
                    <w:t>% objemu</w:t>
                  </w:r>
                </w:p>
              </w:tc>
              <w:tc>
                <w:tcPr>
                  <w:tcW w:w="772" w:type="pct"/>
                  <w:tcBorders>
                    <w:left w:val="nil"/>
                    <w:right w:val="nil"/>
                  </w:tcBorders>
                </w:tcPr>
                <w:p w14:paraId="143FE655" w14:textId="77777777" w:rsidR="009D00F4" w:rsidRPr="00257FB3" w:rsidRDefault="009D00F4" w:rsidP="00654418">
                  <w:pPr>
                    <w:framePr w:hSpace="141" w:wrap="around" w:hAnchor="margin" w:xAlign="center" w:y="-1415"/>
                    <w:jc w:val="center"/>
                    <w:rPr>
                      <w:sz w:val="16"/>
                      <w:szCs w:val="16"/>
                    </w:rPr>
                  </w:pPr>
                  <w:r w:rsidRPr="00257FB3">
                    <w:rPr>
                      <w:sz w:val="16"/>
                      <w:szCs w:val="16"/>
                    </w:rPr>
                    <w:t>46,0</w:t>
                  </w:r>
                </w:p>
              </w:tc>
              <w:tc>
                <w:tcPr>
                  <w:tcW w:w="941" w:type="pct"/>
                  <w:tcBorders>
                    <w:left w:val="single" w:sz="2" w:space="0" w:color="auto"/>
                    <w:right w:val="single" w:sz="2" w:space="0" w:color="auto"/>
                  </w:tcBorders>
                </w:tcPr>
                <w:p w14:paraId="7273F403" w14:textId="77777777" w:rsidR="009D00F4" w:rsidRPr="00257FB3" w:rsidRDefault="009D00F4" w:rsidP="00654418">
                  <w:pPr>
                    <w:framePr w:hSpace="141" w:wrap="around" w:hAnchor="margin" w:xAlign="center" w:y="-1415"/>
                    <w:spacing w:after="240"/>
                    <w:jc w:val="center"/>
                    <w:rPr>
                      <w:sz w:val="16"/>
                      <w:szCs w:val="16"/>
                    </w:rPr>
                  </w:pPr>
                </w:p>
              </w:tc>
            </w:tr>
            <w:tr w:rsidR="009D00F4" w:rsidRPr="00257FB3" w14:paraId="44750D99" w14:textId="77777777" w:rsidTr="0017306B">
              <w:trPr>
                <w:trHeight w:val="385"/>
                <w:tblCellSpacing w:w="0" w:type="dxa"/>
                <w:jc w:val="center"/>
              </w:trPr>
              <w:tc>
                <w:tcPr>
                  <w:tcW w:w="2632" w:type="pct"/>
                  <w:tcBorders>
                    <w:left w:val="nil"/>
                    <w:right w:val="nil"/>
                  </w:tcBorders>
                </w:tcPr>
                <w:p w14:paraId="70A05C69" w14:textId="77777777" w:rsidR="009D00F4" w:rsidRPr="00257FB3" w:rsidRDefault="009D00F4" w:rsidP="00654418">
                  <w:pPr>
                    <w:framePr w:hSpace="141" w:wrap="around" w:hAnchor="margin" w:xAlign="center" w:y="-1415"/>
                    <w:rPr>
                      <w:sz w:val="16"/>
                      <w:szCs w:val="16"/>
                    </w:rPr>
                  </w:pPr>
                  <w:r w:rsidRPr="00257FB3">
                    <w:rPr>
                      <w:sz w:val="16"/>
                      <w:szCs w:val="16"/>
                    </w:rPr>
                    <w:t>odparené percento do 150 °C</w:t>
                  </w:r>
                </w:p>
              </w:tc>
              <w:tc>
                <w:tcPr>
                  <w:tcW w:w="655" w:type="pct"/>
                  <w:vMerge/>
                  <w:tcBorders>
                    <w:left w:val="single" w:sz="2" w:space="0" w:color="auto"/>
                    <w:right w:val="single" w:sz="2" w:space="0" w:color="auto"/>
                  </w:tcBorders>
                </w:tcPr>
                <w:p w14:paraId="53060F65" w14:textId="77777777" w:rsidR="009D00F4" w:rsidRPr="00257FB3" w:rsidRDefault="009D00F4" w:rsidP="00654418">
                  <w:pPr>
                    <w:framePr w:hSpace="141" w:wrap="around" w:hAnchor="margin" w:xAlign="center" w:y="-1415"/>
                    <w:jc w:val="center"/>
                    <w:rPr>
                      <w:sz w:val="16"/>
                      <w:szCs w:val="16"/>
                    </w:rPr>
                  </w:pPr>
                </w:p>
              </w:tc>
              <w:tc>
                <w:tcPr>
                  <w:tcW w:w="772" w:type="pct"/>
                  <w:tcBorders>
                    <w:left w:val="nil"/>
                    <w:right w:val="nil"/>
                  </w:tcBorders>
                </w:tcPr>
                <w:p w14:paraId="2A897B39" w14:textId="77777777" w:rsidR="009D00F4" w:rsidRPr="00257FB3" w:rsidRDefault="009D00F4" w:rsidP="00654418">
                  <w:pPr>
                    <w:framePr w:hSpace="141" w:wrap="around" w:hAnchor="margin" w:xAlign="center" w:y="-1415"/>
                    <w:jc w:val="center"/>
                    <w:rPr>
                      <w:sz w:val="16"/>
                      <w:szCs w:val="16"/>
                    </w:rPr>
                  </w:pPr>
                  <w:r w:rsidRPr="00257FB3">
                    <w:rPr>
                      <w:sz w:val="16"/>
                      <w:szCs w:val="16"/>
                    </w:rPr>
                    <w:t>75,0</w:t>
                  </w:r>
                </w:p>
              </w:tc>
              <w:tc>
                <w:tcPr>
                  <w:tcW w:w="941" w:type="pct"/>
                  <w:tcBorders>
                    <w:left w:val="single" w:sz="2" w:space="0" w:color="auto"/>
                    <w:right w:val="single" w:sz="2" w:space="0" w:color="auto"/>
                  </w:tcBorders>
                </w:tcPr>
                <w:p w14:paraId="7748F1E6" w14:textId="77777777" w:rsidR="009D00F4" w:rsidRPr="00257FB3" w:rsidRDefault="009D00F4" w:rsidP="00654418">
                  <w:pPr>
                    <w:framePr w:hSpace="141" w:wrap="around" w:hAnchor="margin" w:xAlign="center" w:y="-1415"/>
                    <w:spacing w:after="240"/>
                    <w:jc w:val="center"/>
                    <w:rPr>
                      <w:sz w:val="16"/>
                      <w:szCs w:val="16"/>
                    </w:rPr>
                  </w:pPr>
                </w:p>
              </w:tc>
            </w:tr>
            <w:tr w:rsidR="009D00F4" w:rsidRPr="00257FB3" w14:paraId="256E322A" w14:textId="77777777" w:rsidTr="0017306B">
              <w:trPr>
                <w:trHeight w:val="356"/>
                <w:tblCellSpacing w:w="0" w:type="dxa"/>
                <w:jc w:val="center"/>
              </w:trPr>
              <w:tc>
                <w:tcPr>
                  <w:tcW w:w="5000" w:type="pct"/>
                  <w:gridSpan w:val="4"/>
                  <w:tcBorders>
                    <w:left w:val="nil"/>
                    <w:right w:val="single" w:sz="2" w:space="0" w:color="auto"/>
                  </w:tcBorders>
                </w:tcPr>
                <w:p w14:paraId="599788F6" w14:textId="77777777" w:rsidR="009D00F4" w:rsidRPr="00257FB3" w:rsidRDefault="009D00F4" w:rsidP="00654418">
                  <w:pPr>
                    <w:framePr w:hSpace="141" w:wrap="around" w:hAnchor="margin" w:xAlign="center" w:y="-1415"/>
                    <w:spacing w:after="240"/>
                    <w:rPr>
                      <w:sz w:val="16"/>
                      <w:szCs w:val="16"/>
                    </w:rPr>
                  </w:pPr>
                  <w:r w:rsidRPr="00257FB3">
                    <w:rPr>
                      <w:sz w:val="16"/>
                      <w:szCs w:val="16"/>
                    </w:rPr>
                    <w:lastRenderedPageBreak/>
                    <w:t>Obsah uhľovodíkových skupín:</w:t>
                  </w:r>
                </w:p>
              </w:tc>
            </w:tr>
            <w:tr w:rsidR="009D00F4" w:rsidRPr="00257FB3" w14:paraId="1B4FE467" w14:textId="77777777" w:rsidTr="0017306B">
              <w:trPr>
                <w:trHeight w:val="398"/>
                <w:tblCellSpacing w:w="0" w:type="dxa"/>
                <w:jc w:val="center"/>
              </w:trPr>
              <w:tc>
                <w:tcPr>
                  <w:tcW w:w="2632" w:type="pct"/>
                  <w:tcBorders>
                    <w:left w:val="nil"/>
                    <w:right w:val="nil"/>
                  </w:tcBorders>
                </w:tcPr>
                <w:p w14:paraId="0F874536"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olefíny</w:t>
                  </w:r>
                  <w:proofErr w:type="spellEnd"/>
                </w:p>
              </w:tc>
              <w:tc>
                <w:tcPr>
                  <w:tcW w:w="655" w:type="pct"/>
                  <w:vMerge w:val="restart"/>
                  <w:tcBorders>
                    <w:left w:val="single" w:sz="2" w:space="0" w:color="auto"/>
                    <w:right w:val="nil"/>
                  </w:tcBorders>
                  <w:vAlign w:val="center"/>
                </w:tcPr>
                <w:p w14:paraId="5376D4D3" w14:textId="77777777" w:rsidR="009D00F4" w:rsidRPr="00257FB3" w:rsidRDefault="009D00F4" w:rsidP="00654418">
                  <w:pPr>
                    <w:framePr w:hSpace="141" w:wrap="around" w:hAnchor="margin" w:xAlign="center" w:y="-1415"/>
                    <w:jc w:val="center"/>
                    <w:rPr>
                      <w:sz w:val="16"/>
                      <w:szCs w:val="16"/>
                    </w:rPr>
                  </w:pPr>
                  <w:r w:rsidRPr="00257FB3">
                    <w:rPr>
                      <w:sz w:val="16"/>
                      <w:szCs w:val="16"/>
                    </w:rPr>
                    <w:t>% objemu</w:t>
                  </w:r>
                </w:p>
              </w:tc>
              <w:tc>
                <w:tcPr>
                  <w:tcW w:w="772" w:type="pct"/>
                  <w:tcBorders>
                    <w:left w:val="single" w:sz="2" w:space="0" w:color="auto"/>
                    <w:right w:val="single" w:sz="2" w:space="0" w:color="auto"/>
                  </w:tcBorders>
                </w:tcPr>
                <w:p w14:paraId="10CF82F0"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right w:val="nil"/>
                  </w:tcBorders>
                </w:tcPr>
                <w:p w14:paraId="03DEF454" w14:textId="77777777" w:rsidR="009D00F4" w:rsidRPr="00257FB3" w:rsidRDefault="009D00F4" w:rsidP="00654418">
                  <w:pPr>
                    <w:framePr w:hSpace="141" w:wrap="around" w:hAnchor="margin" w:xAlign="center" w:y="-1415"/>
                    <w:jc w:val="center"/>
                    <w:rPr>
                      <w:sz w:val="16"/>
                      <w:szCs w:val="16"/>
                    </w:rPr>
                  </w:pPr>
                  <w:r w:rsidRPr="00257FB3">
                    <w:rPr>
                      <w:sz w:val="16"/>
                      <w:szCs w:val="16"/>
                    </w:rPr>
                    <w:t>18,0</w:t>
                  </w:r>
                </w:p>
              </w:tc>
            </w:tr>
            <w:tr w:rsidR="009D00F4" w:rsidRPr="00257FB3" w14:paraId="66A45D20" w14:textId="77777777" w:rsidTr="0017306B">
              <w:trPr>
                <w:trHeight w:val="378"/>
                <w:tblCellSpacing w:w="0" w:type="dxa"/>
                <w:jc w:val="center"/>
              </w:trPr>
              <w:tc>
                <w:tcPr>
                  <w:tcW w:w="2632" w:type="pct"/>
                  <w:tcBorders>
                    <w:top w:val="single" w:sz="2" w:space="0" w:color="auto"/>
                    <w:left w:val="nil"/>
                    <w:right w:val="nil"/>
                  </w:tcBorders>
                </w:tcPr>
                <w:p w14:paraId="62FA0B7F"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aromáty</w:t>
                  </w:r>
                  <w:proofErr w:type="spellEnd"/>
                </w:p>
              </w:tc>
              <w:tc>
                <w:tcPr>
                  <w:tcW w:w="655" w:type="pct"/>
                  <w:vMerge/>
                  <w:tcBorders>
                    <w:top w:val="single" w:sz="2" w:space="0" w:color="auto"/>
                    <w:left w:val="single" w:sz="2" w:space="0" w:color="auto"/>
                    <w:right w:val="nil"/>
                  </w:tcBorders>
                </w:tcPr>
                <w:p w14:paraId="2D97FD4D" w14:textId="77777777" w:rsidR="009D00F4" w:rsidRPr="00257FB3" w:rsidRDefault="009D00F4" w:rsidP="00654418">
                  <w:pPr>
                    <w:framePr w:hSpace="141" w:wrap="around" w:hAnchor="margin" w:xAlign="center" w:y="-1415"/>
                    <w:jc w:val="center"/>
                    <w:rPr>
                      <w:sz w:val="16"/>
                      <w:szCs w:val="16"/>
                    </w:rPr>
                  </w:pPr>
                </w:p>
              </w:tc>
              <w:tc>
                <w:tcPr>
                  <w:tcW w:w="772" w:type="pct"/>
                  <w:tcBorders>
                    <w:top w:val="single" w:sz="2" w:space="0" w:color="auto"/>
                    <w:left w:val="single" w:sz="2" w:space="0" w:color="auto"/>
                  </w:tcBorders>
                </w:tcPr>
                <w:p w14:paraId="3ADD379C"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top w:val="single" w:sz="2" w:space="0" w:color="auto"/>
                    <w:left w:val="nil"/>
                    <w:right w:val="nil"/>
                  </w:tcBorders>
                </w:tcPr>
                <w:p w14:paraId="53AB1DD5" w14:textId="77777777" w:rsidR="009D00F4" w:rsidRPr="00257FB3" w:rsidRDefault="009D00F4" w:rsidP="00654418">
                  <w:pPr>
                    <w:framePr w:hSpace="141" w:wrap="around" w:hAnchor="margin" w:xAlign="center" w:y="-1415"/>
                    <w:jc w:val="center"/>
                    <w:rPr>
                      <w:sz w:val="16"/>
                      <w:szCs w:val="16"/>
                    </w:rPr>
                  </w:pPr>
                  <w:r w:rsidRPr="00257FB3">
                    <w:rPr>
                      <w:sz w:val="16"/>
                      <w:szCs w:val="16"/>
                    </w:rPr>
                    <w:t>35,0</w:t>
                  </w:r>
                </w:p>
              </w:tc>
            </w:tr>
            <w:tr w:rsidR="009D00F4" w:rsidRPr="00257FB3" w14:paraId="3677813B" w14:textId="77777777" w:rsidTr="0017306B">
              <w:trPr>
                <w:trHeight w:val="372"/>
                <w:tblCellSpacing w:w="0" w:type="dxa"/>
                <w:jc w:val="center"/>
              </w:trPr>
              <w:tc>
                <w:tcPr>
                  <w:tcW w:w="2632" w:type="pct"/>
                  <w:tcBorders>
                    <w:top w:val="single" w:sz="2" w:space="0" w:color="auto"/>
                    <w:left w:val="nil"/>
                    <w:right w:val="nil"/>
                  </w:tcBorders>
                </w:tcPr>
                <w:p w14:paraId="4A959248" w14:textId="77777777" w:rsidR="009D00F4" w:rsidRPr="00257FB3" w:rsidRDefault="009D00F4" w:rsidP="00654418">
                  <w:pPr>
                    <w:framePr w:hSpace="141" w:wrap="around" w:hAnchor="margin" w:xAlign="center" w:y="-1415"/>
                    <w:rPr>
                      <w:sz w:val="16"/>
                      <w:szCs w:val="16"/>
                    </w:rPr>
                  </w:pPr>
                  <w:r w:rsidRPr="00257FB3">
                    <w:rPr>
                      <w:sz w:val="16"/>
                      <w:szCs w:val="16"/>
                    </w:rPr>
                    <w:t>benzén</w:t>
                  </w:r>
                </w:p>
              </w:tc>
              <w:tc>
                <w:tcPr>
                  <w:tcW w:w="655" w:type="pct"/>
                  <w:vMerge/>
                  <w:tcBorders>
                    <w:top w:val="single" w:sz="2" w:space="0" w:color="auto"/>
                    <w:left w:val="single" w:sz="2" w:space="0" w:color="auto"/>
                    <w:right w:val="nil"/>
                  </w:tcBorders>
                </w:tcPr>
                <w:p w14:paraId="67199F15" w14:textId="77777777" w:rsidR="009D00F4" w:rsidRPr="00257FB3" w:rsidRDefault="009D00F4" w:rsidP="00654418">
                  <w:pPr>
                    <w:framePr w:hSpace="141" w:wrap="around" w:hAnchor="margin" w:xAlign="center" w:y="-1415"/>
                    <w:jc w:val="center"/>
                    <w:rPr>
                      <w:sz w:val="16"/>
                      <w:szCs w:val="16"/>
                    </w:rPr>
                  </w:pPr>
                </w:p>
              </w:tc>
              <w:tc>
                <w:tcPr>
                  <w:tcW w:w="772" w:type="pct"/>
                  <w:tcBorders>
                    <w:top w:val="single" w:sz="2" w:space="0" w:color="auto"/>
                    <w:left w:val="single" w:sz="2" w:space="0" w:color="auto"/>
                  </w:tcBorders>
                </w:tcPr>
                <w:p w14:paraId="5CF8DB0B"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top w:val="single" w:sz="2" w:space="0" w:color="auto"/>
                    <w:left w:val="nil"/>
                    <w:right w:val="nil"/>
                  </w:tcBorders>
                </w:tcPr>
                <w:p w14:paraId="51F81CD9" w14:textId="77777777" w:rsidR="009D00F4" w:rsidRPr="00257FB3" w:rsidRDefault="009D00F4" w:rsidP="00654418">
                  <w:pPr>
                    <w:framePr w:hSpace="141" w:wrap="around" w:hAnchor="margin" w:xAlign="center" w:y="-1415"/>
                    <w:jc w:val="center"/>
                    <w:rPr>
                      <w:sz w:val="16"/>
                      <w:szCs w:val="16"/>
                    </w:rPr>
                  </w:pPr>
                  <w:r w:rsidRPr="00257FB3">
                    <w:rPr>
                      <w:sz w:val="16"/>
                      <w:szCs w:val="16"/>
                    </w:rPr>
                    <w:t>1,0</w:t>
                  </w:r>
                </w:p>
              </w:tc>
            </w:tr>
            <w:tr w:rsidR="009D00F4" w:rsidRPr="00257FB3" w14:paraId="5E70B807" w14:textId="77777777" w:rsidTr="0017306B">
              <w:trPr>
                <w:tblCellSpacing w:w="0" w:type="dxa"/>
                <w:jc w:val="center"/>
              </w:trPr>
              <w:tc>
                <w:tcPr>
                  <w:tcW w:w="2632" w:type="pct"/>
                  <w:tcBorders>
                    <w:left w:val="nil"/>
                    <w:bottom w:val="nil"/>
                    <w:right w:val="nil"/>
                  </w:tcBorders>
                </w:tcPr>
                <w:p w14:paraId="21A58A74" w14:textId="77777777" w:rsidR="009D00F4" w:rsidRPr="00257FB3" w:rsidRDefault="009D00F4" w:rsidP="00654418">
                  <w:pPr>
                    <w:framePr w:hSpace="141" w:wrap="around" w:hAnchor="margin" w:xAlign="center" w:y="-1415"/>
                    <w:rPr>
                      <w:sz w:val="16"/>
                      <w:szCs w:val="16"/>
                    </w:rPr>
                  </w:pPr>
                  <w:r w:rsidRPr="00257FB3">
                    <w:rPr>
                      <w:sz w:val="16"/>
                      <w:szCs w:val="16"/>
                    </w:rPr>
                    <w:t>Obsah kyslíka</w:t>
                  </w:r>
                </w:p>
              </w:tc>
              <w:tc>
                <w:tcPr>
                  <w:tcW w:w="655" w:type="pct"/>
                  <w:tcBorders>
                    <w:bottom w:val="nil"/>
                  </w:tcBorders>
                </w:tcPr>
                <w:p w14:paraId="66BD4BB2" w14:textId="77777777" w:rsidR="009D00F4" w:rsidRPr="00257FB3" w:rsidRDefault="009D00F4" w:rsidP="00654418">
                  <w:pPr>
                    <w:framePr w:hSpace="141" w:wrap="around" w:hAnchor="margin" w:xAlign="center" w:y="-1415"/>
                    <w:jc w:val="center"/>
                    <w:rPr>
                      <w:sz w:val="16"/>
                      <w:szCs w:val="16"/>
                    </w:rPr>
                  </w:pPr>
                  <w:r w:rsidRPr="00257FB3">
                    <w:rPr>
                      <w:sz w:val="16"/>
                      <w:szCs w:val="16"/>
                    </w:rPr>
                    <w:t>% hmotnosti</w:t>
                  </w:r>
                </w:p>
              </w:tc>
              <w:tc>
                <w:tcPr>
                  <w:tcW w:w="772" w:type="pct"/>
                  <w:tcBorders>
                    <w:left w:val="nil"/>
                    <w:bottom w:val="nil"/>
                  </w:tcBorders>
                </w:tcPr>
                <w:p w14:paraId="070DD76A" w14:textId="77777777" w:rsidR="009D00F4" w:rsidRPr="00257FB3" w:rsidRDefault="009D00F4" w:rsidP="00654418">
                  <w:pPr>
                    <w:framePr w:hSpace="141" w:wrap="around" w:hAnchor="margin" w:xAlign="center" w:y="-1415"/>
                    <w:jc w:val="center"/>
                    <w:rPr>
                      <w:sz w:val="16"/>
                      <w:szCs w:val="16"/>
                    </w:rPr>
                  </w:pPr>
                </w:p>
              </w:tc>
              <w:tc>
                <w:tcPr>
                  <w:tcW w:w="941" w:type="pct"/>
                  <w:tcBorders>
                    <w:left w:val="nil"/>
                    <w:bottom w:val="nil"/>
                    <w:right w:val="nil"/>
                  </w:tcBorders>
                </w:tcPr>
                <w:p w14:paraId="390DB8A1" w14:textId="77777777" w:rsidR="009D00F4" w:rsidRPr="00257FB3" w:rsidRDefault="009D00F4" w:rsidP="00654418">
                  <w:pPr>
                    <w:framePr w:hSpace="141" w:wrap="around" w:hAnchor="margin" w:xAlign="center" w:y="-1415"/>
                    <w:jc w:val="center"/>
                    <w:rPr>
                      <w:sz w:val="16"/>
                      <w:szCs w:val="16"/>
                    </w:rPr>
                  </w:pPr>
                  <w:r w:rsidRPr="00257FB3">
                    <w:rPr>
                      <w:sz w:val="16"/>
                      <w:szCs w:val="16"/>
                    </w:rPr>
                    <w:t>3,7</w:t>
                  </w:r>
                </w:p>
              </w:tc>
            </w:tr>
            <w:tr w:rsidR="009D00F4" w:rsidRPr="00257FB3" w14:paraId="25D28535" w14:textId="77777777" w:rsidTr="0017306B">
              <w:trPr>
                <w:tblCellSpacing w:w="0" w:type="dxa"/>
                <w:jc w:val="center"/>
              </w:trPr>
              <w:tc>
                <w:tcPr>
                  <w:tcW w:w="5000" w:type="pct"/>
                  <w:gridSpan w:val="4"/>
                  <w:tcBorders>
                    <w:left w:val="nil"/>
                    <w:bottom w:val="nil"/>
                    <w:right w:val="nil"/>
                  </w:tcBorders>
                </w:tcPr>
                <w:p w14:paraId="2550BF95" w14:textId="77777777" w:rsidR="009D00F4" w:rsidRPr="00257FB3" w:rsidRDefault="009D00F4" w:rsidP="00654418">
                  <w:pPr>
                    <w:framePr w:hSpace="141" w:wrap="around" w:hAnchor="margin" w:xAlign="center" w:y="-1415"/>
                    <w:rPr>
                      <w:sz w:val="16"/>
                      <w:szCs w:val="16"/>
                    </w:rPr>
                  </w:pPr>
                  <w:r w:rsidRPr="00257FB3">
                    <w:rPr>
                      <w:sz w:val="16"/>
                      <w:szCs w:val="16"/>
                    </w:rPr>
                    <w:t>Obsah kyslíkatých zlúčenín:</w:t>
                  </w:r>
                </w:p>
              </w:tc>
            </w:tr>
            <w:tr w:rsidR="009D00F4" w:rsidRPr="00257FB3" w14:paraId="1D9B424A" w14:textId="77777777" w:rsidTr="0017306B">
              <w:trPr>
                <w:cantSplit/>
                <w:tblCellSpacing w:w="0" w:type="dxa"/>
                <w:jc w:val="center"/>
              </w:trPr>
              <w:tc>
                <w:tcPr>
                  <w:tcW w:w="2632" w:type="pct"/>
                  <w:tcBorders>
                    <w:left w:val="nil"/>
                    <w:bottom w:val="single" w:sz="2" w:space="0" w:color="auto"/>
                    <w:right w:val="nil"/>
                  </w:tcBorders>
                </w:tcPr>
                <w:p w14:paraId="184D0013"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metanol</w:t>
                  </w:r>
                  <w:proofErr w:type="spellEnd"/>
                </w:p>
              </w:tc>
              <w:tc>
                <w:tcPr>
                  <w:tcW w:w="655" w:type="pct"/>
                  <w:vMerge w:val="restart"/>
                  <w:tcBorders>
                    <w:left w:val="single" w:sz="2" w:space="0" w:color="auto"/>
                    <w:right w:val="nil"/>
                  </w:tcBorders>
                  <w:vAlign w:val="center"/>
                </w:tcPr>
                <w:p w14:paraId="5D0886C2" w14:textId="77777777" w:rsidR="009D00F4" w:rsidRPr="00257FB3" w:rsidRDefault="009D00F4" w:rsidP="00654418">
                  <w:pPr>
                    <w:framePr w:hSpace="141" w:wrap="around" w:hAnchor="margin" w:xAlign="center" w:y="-1415"/>
                    <w:jc w:val="center"/>
                    <w:rPr>
                      <w:sz w:val="16"/>
                      <w:szCs w:val="16"/>
                    </w:rPr>
                  </w:pPr>
                  <w:r w:rsidRPr="00257FB3">
                    <w:rPr>
                      <w:sz w:val="16"/>
                      <w:szCs w:val="16"/>
                    </w:rPr>
                    <w:t>% objemu</w:t>
                  </w:r>
                </w:p>
              </w:tc>
              <w:tc>
                <w:tcPr>
                  <w:tcW w:w="772" w:type="pct"/>
                  <w:tcBorders>
                    <w:left w:val="single" w:sz="2" w:space="0" w:color="auto"/>
                    <w:bottom w:val="single" w:sz="2" w:space="0" w:color="auto"/>
                    <w:right w:val="single" w:sz="2" w:space="0" w:color="auto"/>
                  </w:tcBorders>
                </w:tcPr>
                <w:p w14:paraId="2B26A09C"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bottom w:val="single" w:sz="2" w:space="0" w:color="auto"/>
                    <w:right w:val="nil"/>
                  </w:tcBorders>
                </w:tcPr>
                <w:p w14:paraId="03EC5C3D" w14:textId="77777777" w:rsidR="009D00F4" w:rsidRPr="00257FB3" w:rsidRDefault="009D00F4" w:rsidP="00654418">
                  <w:pPr>
                    <w:framePr w:hSpace="141" w:wrap="around" w:hAnchor="margin" w:xAlign="center" w:y="-1415"/>
                    <w:jc w:val="center"/>
                    <w:rPr>
                      <w:sz w:val="16"/>
                      <w:szCs w:val="16"/>
                    </w:rPr>
                  </w:pPr>
                  <w:r w:rsidRPr="00257FB3">
                    <w:rPr>
                      <w:sz w:val="16"/>
                      <w:szCs w:val="16"/>
                    </w:rPr>
                    <w:t>3,0</w:t>
                  </w:r>
                </w:p>
              </w:tc>
            </w:tr>
            <w:tr w:rsidR="009D00F4" w:rsidRPr="00257FB3" w14:paraId="105E9298" w14:textId="77777777" w:rsidTr="0017306B">
              <w:trPr>
                <w:cantSplit/>
                <w:tblCellSpacing w:w="0" w:type="dxa"/>
                <w:jc w:val="center"/>
              </w:trPr>
              <w:tc>
                <w:tcPr>
                  <w:tcW w:w="2632" w:type="pct"/>
                  <w:tcBorders>
                    <w:left w:val="nil"/>
                    <w:bottom w:val="single" w:sz="2" w:space="0" w:color="auto"/>
                    <w:right w:val="nil"/>
                  </w:tcBorders>
                </w:tcPr>
                <w:p w14:paraId="684AD836" w14:textId="77777777" w:rsidR="009D00F4" w:rsidRPr="00257FB3" w:rsidRDefault="009D00F4" w:rsidP="00654418">
                  <w:pPr>
                    <w:framePr w:hSpace="141" w:wrap="around" w:hAnchor="margin" w:xAlign="center" w:y="-1415"/>
                    <w:rPr>
                      <w:sz w:val="16"/>
                      <w:szCs w:val="16"/>
                    </w:rPr>
                  </w:pPr>
                  <w:r w:rsidRPr="00257FB3">
                    <w:rPr>
                      <w:sz w:val="16"/>
                      <w:szCs w:val="16"/>
                    </w:rPr>
                    <w:t>etanol (môžu sa pridať stabilizátory)</w:t>
                  </w:r>
                </w:p>
              </w:tc>
              <w:tc>
                <w:tcPr>
                  <w:tcW w:w="655" w:type="pct"/>
                  <w:vMerge/>
                  <w:tcBorders>
                    <w:top w:val="single" w:sz="2" w:space="0" w:color="auto"/>
                    <w:left w:val="single" w:sz="2" w:space="0" w:color="auto"/>
                    <w:right w:val="nil"/>
                  </w:tcBorders>
                </w:tcPr>
                <w:p w14:paraId="1A558CD3"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2" w:space="0" w:color="auto"/>
                    <w:bottom w:val="single" w:sz="2" w:space="0" w:color="auto"/>
                  </w:tcBorders>
                </w:tcPr>
                <w:p w14:paraId="5F084222"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bottom w:val="single" w:sz="2" w:space="0" w:color="auto"/>
                    <w:right w:val="nil"/>
                  </w:tcBorders>
                </w:tcPr>
                <w:p w14:paraId="5ADDF721" w14:textId="77777777" w:rsidR="009D00F4" w:rsidRPr="00257FB3" w:rsidRDefault="009D00F4" w:rsidP="00654418">
                  <w:pPr>
                    <w:framePr w:hSpace="141" w:wrap="around" w:hAnchor="margin" w:xAlign="center" w:y="-1415"/>
                    <w:jc w:val="center"/>
                    <w:rPr>
                      <w:sz w:val="16"/>
                      <w:szCs w:val="16"/>
                    </w:rPr>
                  </w:pPr>
                  <w:r w:rsidRPr="00257FB3">
                    <w:rPr>
                      <w:sz w:val="16"/>
                      <w:szCs w:val="16"/>
                    </w:rPr>
                    <w:t>10,0</w:t>
                  </w:r>
                </w:p>
              </w:tc>
            </w:tr>
            <w:tr w:rsidR="009D00F4" w:rsidRPr="00257FB3" w14:paraId="4EB17F95" w14:textId="77777777" w:rsidTr="0017306B">
              <w:trPr>
                <w:trHeight w:val="297"/>
                <w:tblCellSpacing w:w="0" w:type="dxa"/>
                <w:jc w:val="center"/>
              </w:trPr>
              <w:tc>
                <w:tcPr>
                  <w:tcW w:w="2632" w:type="pct"/>
                  <w:tcBorders>
                    <w:left w:val="nil"/>
                    <w:bottom w:val="single" w:sz="2" w:space="0" w:color="auto"/>
                    <w:right w:val="nil"/>
                  </w:tcBorders>
                </w:tcPr>
                <w:p w14:paraId="172A9063"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izo-propylalkohol</w:t>
                  </w:r>
                  <w:proofErr w:type="spellEnd"/>
                </w:p>
              </w:tc>
              <w:tc>
                <w:tcPr>
                  <w:tcW w:w="655" w:type="pct"/>
                  <w:vMerge/>
                  <w:tcBorders>
                    <w:top w:val="single" w:sz="2" w:space="0" w:color="auto"/>
                    <w:left w:val="single" w:sz="2" w:space="0" w:color="auto"/>
                    <w:right w:val="nil"/>
                  </w:tcBorders>
                </w:tcPr>
                <w:p w14:paraId="56F1DE29"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2" w:space="0" w:color="auto"/>
                    <w:bottom w:val="single" w:sz="2" w:space="0" w:color="auto"/>
                  </w:tcBorders>
                </w:tcPr>
                <w:p w14:paraId="17E4AD94"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bottom w:val="single" w:sz="2" w:space="0" w:color="auto"/>
                    <w:right w:val="nil"/>
                  </w:tcBorders>
                </w:tcPr>
                <w:p w14:paraId="3AE3C2B5" w14:textId="77777777" w:rsidR="009D00F4" w:rsidRPr="00257FB3" w:rsidRDefault="009D00F4" w:rsidP="00654418">
                  <w:pPr>
                    <w:framePr w:hSpace="141" w:wrap="around" w:hAnchor="margin" w:xAlign="center" w:y="-1415"/>
                    <w:jc w:val="center"/>
                    <w:rPr>
                      <w:sz w:val="16"/>
                      <w:szCs w:val="16"/>
                    </w:rPr>
                  </w:pPr>
                  <w:r w:rsidRPr="00257FB3">
                    <w:rPr>
                      <w:sz w:val="16"/>
                      <w:szCs w:val="16"/>
                    </w:rPr>
                    <w:t>12,0</w:t>
                  </w:r>
                </w:p>
              </w:tc>
            </w:tr>
            <w:tr w:rsidR="009D00F4" w:rsidRPr="00257FB3" w14:paraId="71C169D3" w14:textId="77777777" w:rsidTr="0017306B">
              <w:trPr>
                <w:trHeight w:val="475"/>
                <w:tblCellSpacing w:w="0" w:type="dxa"/>
                <w:jc w:val="center"/>
              </w:trPr>
              <w:tc>
                <w:tcPr>
                  <w:tcW w:w="2632" w:type="pct"/>
                  <w:tcBorders>
                    <w:left w:val="nil"/>
                    <w:bottom w:val="single" w:sz="2" w:space="0" w:color="auto"/>
                    <w:right w:val="nil"/>
                  </w:tcBorders>
                </w:tcPr>
                <w:p w14:paraId="0A784B34" w14:textId="77777777" w:rsidR="009D00F4" w:rsidRPr="00257FB3" w:rsidRDefault="009D00F4" w:rsidP="00654418">
                  <w:pPr>
                    <w:framePr w:hSpace="141" w:wrap="around" w:hAnchor="margin" w:xAlign="center" w:y="-1415"/>
                    <w:rPr>
                      <w:sz w:val="16"/>
                      <w:szCs w:val="16"/>
                    </w:rPr>
                  </w:pPr>
                  <w:r w:rsidRPr="00257FB3">
                    <w:rPr>
                      <w:sz w:val="16"/>
                      <w:szCs w:val="16"/>
                    </w:rPr>
                    <w:t>terc-</w:t>
                  </w:r>
                  <w:proofErr w:type="spellStart"/>
                  <w:r w:rsidRPr="00257FB3">
                    <w:rPr>
                      <w:sz w:val="16"/>
                      <w:szCs w:val="16"/>
                    </w:rPr>
                    <w:t>butylalkohol</w:t>
                  </w:r>
                  <w:proofErr w:type="spellEnd"/>
                </w:p>
              </w:tc>
              <w:tc>
                <w:tcPr>
                  <w:tcW w:w="655" w:type="pct"/>
                  <w:vMerge/>
                  <w:tcBorders>
                    <w:top w:val="single" w:sz="2" w:space="0" w:color="auto"/>
                    <w:left w:val="single" w:sz="2" w:space="0" w:color="auto"/>
                    <w:right w:val="nil"/>
                  </w:tcBorders>
                </w:tcPr>
                <w:p w14:paraId="43E9B5B9"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2" w:space="0" w:color="auto"/>
                    <w:bottom w:val="single" w:sz="2" w:space="0" w:color="auto"/>
                  </w:tcBorders>
                </w:tcPr>
                <w:p w14:paraId="77ED5E02"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bottom w:val="single" w:sz="2" w:space="0" w:color="auto"/>
                    <w:right w:val="nil"/>
                  </w:tcBorders>
                </w:tcPr>
                <w:p w14:paraId="683C70D4" w14:textId="77777777" w:rsidR="009D00F4" w:rsidRPr="00257FB3" w:rsidRDefault="009D00F4" w:rsidP="00654418">
                  <w:pPr>
                    <w:framePr w:hSpace="141" w:wrap="around" w:hAnchor="margin" w:xAlign="center" w:y="-1415"/>
                    <w:jc w:val="center"/>
                    <w:rPr>
                      <w:sz w:val="16"/>
                      <w:szCs w:val="16"/>
                    </w:rPr>
                  </w:pPr>
                  <w:r w:rsidRPr="00257FB3">
                    <w:rPr>
                      <w:sz w:val="16"/>
                      <w:szCs w:val="16"/>
                    </w:rPr>
                    <w:t>15,0</w:t>
                  </w:r>
                </w:p>
              </w:tc>
            </w:tr>
            <w:tr w:rsidR="009D00F4" w:rsidRPr="00257FB3" w14:paraId="2D7B808D" w14:textId="77777777" w:rsidTr="0017306B">
              <w:trPr>
                <w:trHeight w:val="355"/>
                <w:tblCellSpacing w:w="0" w:type="dxa"/>
                <w:jc w:val="center"/>
              </w:trPr>
              <w:tc>
                <w:tcPr>
                  <w:tcW w:w="2632" w:type="pct"/>
                  <w:tcBorders>
                    <w:left w:val="nil"/>
                    <w:right w:val="nil"/>
                  </w:tcBorders>
                </w:tcPr>
                <w:p w14:paraId="2405CAAD"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izo-butylalkohol</w:t>
                  </w:r>
                  <w:proofErr w:type="spellEnd"/>
                </w:p>
              </w:tc>
              <w:tc>
                <w:tcPr>
                  <w:tcW w:w="655" w:type="pct"/>
                  <w:vMerge/>
                  <w:tcBorders>
                    <w:top w:val="single" w:sz="2" w:space="0" w:color="auto"/>
                    <w:left w:val="single" w:sz="2" w:space="0" w:color="auto"/>
                    <w:right w:val="nil"/>
                  </w:tcBorders>
                </w:tcPr>
                <w:p w14:paraId="0D3D0E9D"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2" w:space="0" w:color="auto"/>
                    <w:right w:val="single" w:sz="2" w:space="0" w:color="auto"/>
                  </w:tcBorders>
                </w:tcPr>
                <w:p w14:paraId="7A66669D"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right w:val="nil"/>
                  </w:tcBorders>
                </w:tcPr>
                <w:p w14:paraId="457B7D1C" w14:textId="77777777" w:rsidR="009D00F4" w:rsidRPr="00257FB3" w:rsidRDefault="009D00F4" w:rsidP="00654418">
                  <w:pPr>
                    <w:framePr w:hSpace="141" w:wrap="around" w:hAnchor="margin" w:xAlign="center" w:y="-1415"/>
                    <w:jc w:val="center"/>
                    <w:rPr>
                      <w:sz w:val="16"/>
                      <w:szCs w:val="16"/>
                    </w:rPr>
                  </w:pPr>
                  <w:r w:rsidRPr="00257FB3">
                    <w:rPr>
                      <w:sz w:val="16"/>
                      <w:szCs w:val="16"/>
                    </w:rPr>
                    <w:t>15,0</w:t>
                  </w:r>
                </w:p>
              </w:tc>
            </w:tr>
            <w:tr w:rsidR="009D00F4" w:rsidRPr="00257FB3" w14:paraId="696A2643" w14:textId="77777777" w:rsidTr="0017306B">
              <w:trPr>
                <w:tblCellSpacing w:w="0" w:type="dxa"/>
                <w:jc w:val="center"/>
              </w:trPr>
              <w:tc>
                <w:tcPr>
                  <w:tcW w:w="2632" w:type="pct"/>
                  <w:tcBorders>
                    <w:left w:val="nil"/>
                    <w:bottom w:val="nil"/>
                    <w:right w:val="nil"/>
                  </w:tcBorders>
                </w:tcPr>
                <w:p w14:paraId="75FF71D8" w14:textId="77777777" w:rsidR="009D00F4" w:rsidRPr="00257FB3" w:rsidRDefault="009D00F4" w:rsidP="00654418">
                  <w:pPr>
                    <w:framePr w:hSpace="141" w:wrap="around" w:hAnchor="margin" w:xAlign="center" w:y="-1415"/>
                    <w:rPr>
                      <w:sz w:val="16"/>
                      <w:szCs w:val="16"/>
                    </w:rPr>
                  </w:pPr>
                  <w:r w:rsidRPr="00257FB3">
                    <w:rPr>
                      <w:sz w:val="16"/>
                      <w:szCs w:val="16"/>
                    </w:rPr>
                    <w:t>étery, obsahujúce 5 a viac atómov uhlíka v molekule</w:t>
                  </w:r>
                </w:p>
              </w:tc>
              <w:tc>
                <w:tcPr>
                  <w:tcW w:w="655" w:type="pct"/>
                  <w:vMerge/>
                  <w:tcBorders>
                    <w:top w:val="single" w:sz="2" w:space="0" w:color="auto"/>
                    <w:left w:val="single" w:sz="2" w:space="0" w:color="auto"/>
                    <w:right w:val="nil"/>
                  </w:tcBorders>
                </w:tcPr>
                <w:p w14:paraId="63BF5664"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4" w:space="0" w:color="auto"/>
                    <w:right w:val="nil"/>
                  </w:tcBorders>
                </w:tcPr>
                <w:p w14:paraId="3E621BF6"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right w:val="single" w:sz="2" w:space="0" w:color="auto"/>
                  </w:tcBorders>
                </w:tcPr>
                <w:p w14:paraId="54D779D8" w14:textId="77777777" w:rsidR="009D00F4" w:rsidRPr="00257FB3" w:rsidRDefault="009D00F4" w:rsidP="00654418">
                  <w:pPr>
                    <w:framePr w:hSpace="141" w:wrap="around" w:hAnchor="margin" w:xAlign="center" w:y="-1415"/>
                    <w:jc w:val="center"/>
                    <w:rPr>
                      <w:sz w:val="16"/>
                      <w:szCs w:val="16"/>
                    </w:rPr>
                  </w:pPr>
                  <w:r w:rsidRPr="00257FB3">
                    <w:rPr>
                      <w:sz w:val="16"/>
                      <w:szCs w:val="16"/>
                    </w:rPr>
                    <w:t>22,0</w:t>
                  </w:r>
                </w:p>
              </w:tc>
            </w:tr>
            <w:tr w:rsidR="009D00F4" w:rsidRPr="00257FB3" w14:paraId="331359F0" w14:textId="77777777" w:rsidTr="0017306B">
              <w:trPr>
                <w:tblCellSpacing w:w="0" w:type="dxa"/>
                <w:jc w:val="center"/>
              </w:trPr>
              <w:tc>
                <w:tcPr>
                  <w:tcW w:w="2632" w:type="pct"/>
                  <w:tcBorders>
                    <w:left w:val="nil"/>
                    <w:bottom w:val="nil"/>
                    <w:right w:val="nil"/>
                  </w:tcBorders>
                </w:tcPr>
                <w:p w14:paraId="284ACD88" w14:textId="77777777" w:rsidR="009D00F4" w:rsidRPr="00257FB3" w:rsidRDefault="009D00F4" w:rsidP="00654418">
                  <w:pPr>
                    <w:framePr w:hSpace="141" w:wrap="around" w:hAnchor="margin" w:xAlign="center" w:y="-1415"/>
                    <w:rPr>
                      <w:sz w:val="16"/>
                      <w:szCs w:val="16"/>
                    </w:rPr>
                  </w:pPr>
                  <w:r w:rsidRPr="00257FB3">
                    <w:rPr>
                      <w:sz w:val="16"/>
                      <w:szCs w:val="16"/>
                    </w:rPr>
                    <w:t xml:space="preserve">Iné kyslíkaté </w:t>
                  </w:r>
                  <w:proofErr w:type="spellStart"/>
                  <w:r w:rsidRPr="00257FB3">
                    <w:rPr>
                      <w:sz w:val="16"/>
                      <w:szCs w:val="16"/>
                    </w:rPr>
                    <w:t>zlúčeniny</w:t>
                  </w:r>
                  <w:r w:rsidRPr="00257FB3">
                    <w:rPr>
                      <w:sz w:val="16"/>
                      <w:szCs w:val="16"/>
                      <w:vertAlign w:val="superscript"/>
                    </w:rPr>
                    <w:t>d</w:t>
                  </w:r>
                  <w:proofErr w:type="spellEnd"/>
                  <w:r w:rsidRPr="00257FB3">
                    <w:rPr>
                      <w:sz w:val="16"/>
                      <w:szCs w:val="16"/>
                    </w:rPr>
                    <w:t>)</w:t>
                  </w:r>
                </w:p>
              </w:tc>
              <w:tc>
                <w:tcPr>
                  <w:tcW w:w="655" w:type="pct"/>
                  <w:tcBorders>
                    <w:right w:val="nil"/>
                  </w:tcBorders>
                  <w:vAlign w:val="center"/>
                </w:tcPr>
                <w:p w14:paraId="58BB912D" w14:textId="77777777" w:rsidR="009D00F4" w:rsidRPr="00257FB3" w:rsidRDefault="009D00F4" w:rsidP="00654418">
                  <w:pPr>
                    <w:framePr w:hSpace="141" w:wrap="around" w:hAnchor="margin" w:xAlign="center" w:y="-1415"/>
                    <w:jc w:val="center"/>
                    <w:rPr>
                      <w:sz w:val="16"/>
                      <w:szCs w:val="16"/>
                    </w:rPr>
                  </w:pPr>
                  <w:r w:rsidRPr="00257FB3">
                    <w:rPr>
                      <w:sz w:val="16"/>
                      <w:szCs w:val="16"/>
                    </w:rPr>
                    <w:t>% objemu</w:t>
                  </w:r>
                </w:p>
              </w:tc>
              <w:tc>
                <w:tcPr>
                  <w:tcW w:w="772" w:type="pct"/>
                  <w:tcBorders>
                    <w:left w:val="single" w:sz="4" w:space="0" w:color="auto"/>
                    <w:right w:val="nil"/>
                  </w:tcBorders>
                  <w:vAlign w:val="center"/>
                </w:tcPr>
                <w:p w14:paraId="2EBD6316" w14:textId="77777777" w:rsidR="009D00F4" w:rsidRPr="00257FB3" w:rsidRDefault="009D00F4" w:rsidP="00654418">
                  <w:pPr>
                    <w:framePr w:hSpace="141" w:wrap="around" w:hAnchor="margin" w:xAlign="center" w:y="-1415"/>
                    <w:jc w:val="center"/>
                    <w:rPr>
                      <w:sz w:val="16"/>
                      <w:szCs w:val="16"/>
                    </w:rPr>
                  </w:pPr>
                  <w:r w:rsidRPr="00257FB3">
                    <w:rPr>
                      <w:sz w:val="16"/>
                      <w:szCs w:val="16"/>
                    </w:rPr>
                    <w:t> </w:t>
                  </w:r>
                </w:p>
              </w:tc>
              <w:tc>
                <w:tcPr>
                  <w:tcW w:w="941" w:type="pct"/>
                  <w:tcBorders>
                    <w:right w:val="single" w:sz="2" w:space="0" w:color="auto"/>
                  </w:tcBorders>
                  <w:vAlign w:val="center"/>
                </w:tcPr>
                <w:p w14:paraId="328F0082" w14:textId="77777777" w:rsidR="009D00F4" w:rsidRPr="00257FB3" w:rsidRDefault="009D00F4" w:rsidP="00654418">
                  <w:pPr>
                    <w:framePr w:hSpace="141" w:wrap="around" w:hAnchor="margin" w:xAlign="center" w:y="-1415"/>
                    <w:jc w:val="center"/>
                    <w:rPr>
                      <w:sz w:val="16"/>
                      <w:szCs w:val="16"/>
                    </w:rPr>
                  </w:pPr>
                  <w:r w:rsidRPr="00257FB3">
                    <w:rPr>
                      <w:sz w:val="16"/>
                      <w:szCs w:val="16"/>
                    </w:rPr>
                    <w:t>15,0</w:t>
                  </w:r>
                </w:p>
              </w:tc>
            </w:tr>
            <w:tr w:rsidR="009D00F4" w:rsidRPr="00257FB3" w14:paraId="5D3F45AA" w14:textId="77777777" w:rsidTr="0017306B">
              <w:trPr>
                <w:tblCellSpacing w:w="0" w:type="dxa"/>
                <w:jc w:val="center"/>
              </w:trPr>
              <w:tc>
                <w:tcPr>
                  <w:tcW w:w="2632" w:type="pct"/>
                  <w:tcBorders>
                    <w:left w:val="nil"/>
                    <w:bottom w:val="nil"/>
                    <w:right w:val="nil"/>
                  </w:tcBorders>
                </w:tcPr>
                <w:p w14:paraId="086E1672" w14:textId="77777777" w:rsidR="009D00F4" w:rsidRPr="00257FB3" w:rsidRDefault="009D00F4" w:rsidP="00654418">
                  <w:pPr>
                    <w:framePr w:hSpace="141" w:wrap="around" w:hAnchor="margin" w:xAlign="center" w:y="-1415"/>
                    <w:rPr>
                      <w:sz w:val="16"/>
                      <w:szCs w:val="16"/>
                    </w:rPr>
                  </w:pPr>
                  <w:r w:rsidRPr="00257FB3">
                    <w:rPr>
                      <w:sz w:val="16"/>
                      <w:szCs w:val="16"/>
                    </w:rPr>
                    <w:t>Obsah síry</w:t>
                  </w:r>
                </w:p>
              </w:tc>
              <w:tc>
                <w:tcPr>
                  <w:tcW w:w="655" w:type="pct"/>
                  <w:tcBorders>
                    <w:right w:val="nil"/>
                  </w:tcBorders>
                  <w:vAlign w:val="center"/>
                </w:tcPr>
                <w:p w14:paraId="025FC71E" w14:textId="77777777" w:rsidR="009D00F4" w:rsidRPr="00257FB3" w:rsidRDefault="009D00F4" w:rsidP="00654418">
                  <w:pPr>
                    <w:framePr w:hSpace="141" w:wrap="around" w:hAnchor="margin" w:xAlign="center" w:y="-1415"/>
                    <w:jc w:val="center"/>
                    <w:rPr>
                      <w:sz w:val="16"/>
                      <w:szCs w:val="16"/>
                    </w:rPr>
                  </w:pPr>
                  <w:r w:rsidRPr="00257FB3">
                    <w:rPr>
                      <w:sz w:val="16"/>
                      <w:szCs w:val="16"/>
                    </w:rPr>
                    <w:t>mg/kg</w:t>
                  </w:r>
                </w:p>
              </w:tc>
              <w:tc>
                <w:tcPr>
                  <w:tcW w:w="772" w:type="pct"/>
                  <w:tcBorders>
                    <w:right w:val="nil"/>
                  </w:tcBorders>
                  <w:vAlign w:val="center"/>
                </w:tcPr>
                <w:p w14:paraId="2F668A1D" w14:textId="77777777" w:rsidR="009D00F4" w:rsidRPr="00257FB3" w:rsidRDefault="009D00F4" w:rsidP="00654418">
                  <w:pPr>
                    <w:framePr w:hSpace="141" w:wrap="around" w:hAnchor="margin" w:xAlign="center" w:y="-1415"/>
                    <w:jc w:val="center"/>
                    <w:rPr>
                      <w:sz w:val="16"/>
                      <w:szCs w:val="16"/>
                    </w:rPr>
                  </w:pPr>
                  <w:r w:rsidRPr="00257FB3">
                    <w:rPr>
                      <w:sz w:val="16"/>
                      <w:szCs w:val="16"/>
                    </w:rPr>
                    <w:t> </w:t>
                  </w:r>
                </w:p>
              </w:tc>
              <w:tc>
                <w:tcPr>
                  <w:tcW w:w="941" w:type="pct"/>
                  <w:tcBorders>
                    <w:right w:val="single" w:sz="2" w:space="0" w:color="auto"/>
                  </w:tcBorders>
                  <w:vAlign w:val="center"/>
                </w:tcPr>
                <w:p w14:paraId="0BCD4791" w14:textId="77777777" w:rsidR="009D00F4" w:rsidRPr="00257FB3" w:rsidRDefault="009D00F4" w:rsidP="00654418">
                  <w:pPr>
                    <w:framePr w:hSpace="141" w:wrap="around" w:hAnchor="margin" w:xAlign="center" w:y="-1415"/>
                    <w:jc w:val="center"/>
                    <w:rPr>
                      <w:sz w:val="16"/>
                      <w:szCs w:val="16"/>
                    </w:rPr>
                  </w:pPr>
                  <w:r w:rsidRPr="00257FB3">
                    <w:rPr>
                      <w:sz w:val="16"/>
                      <w:szCs w:val="16"/>
                    </w:rPr>
                    <w:t>10,0</w:t>
                  </w:r>
                </w:p>
              </w:tc>
            </w:tr>
            <w:tr w:rsidR="009D00F4" w:rsidRPr="00257FB3" w14:paraId="1914277D" w14:textId="77777777" w:rsidTr="0017306B">
              <w:trPr>
                <w:tblCellSpacing w:w="0" w:type="dxa"/>
                <w:jc w:val="center"/>
              </w:trPr>
              <w:tc>
                <w:tcPr>
                  <w:tcW w:w="2632" w:type="pct"/>
                  <w:tcBorders>
                    <w:left w:val="nil"/>
                    <w:right w:val="nil"/>
                  </w:tcBorders>
                </w:tcPr>
                <w:p w14:paraId="5F60693E" w14:textId="77777777" w:rsidR="009D00F4" w:rsidRPr="00257FB3" w:rsidRDefault="009D00F4" w:rsidP="00654418">
                  <w:pPr>
                    <w:framePr w:hSpace="141" w:wrap="around" w:hAnchor="margin" w:xAlign="center" w:y="-1415"/>
                    <w:rPr>
                      <w:sz w:val="16"/>
                      <w:szCs w:val="16"/>
                    </w:rPr>
                  </w:pPr>
                  <w:r w:rsidRPr="00257FB3">
                    <w:rPr>
                      <w:sz w:val="16"/>
                      <w:szCs w:val="16"/>
                    </w:rPr>
                    <w:t>Obsah olova</w:t>
                  </w:r>
                </w:p>
              </w:tc>
              <w:tc>
                <w:tcPr>
                  <w:tcW w:w="655" w:type="pct"/>
                  <w:tcBorders>
                    <w:right w:val="nil"/>
                  </w:tcBorders>
                  <w:vAlign w:val="center"/>
                </w:tcPr>
                <w:p w14:paraId="10B24B3D" w14:textId="77777777" w:rsidR="009D00F4" w:rsidRPr="00257FB3" w:rsidRDefault="009D00F4" w:rsidP="00654418">
                  <w:pPr>
                    <w:framePr w:hSpace="141" w:wrap="around" w:hAnchor="margin" w:xAlign="center" w:y="-1415"/>
                    <w:jc w:val="center"/>
                    <w:rPr>
                      <w:sz w:val="16"/>
                      <w:szCs w:val="16"/>
                    </w:rPr>
                  </w:pPr>
                  <w:r w:rsidRPr="00257FB3">
                    <w:rPr>
                      <w:sz w:val="16"/>
                      <w:szCs w:val="16"/>
                    </w:rPr>
                    <w:t>g/l</w:t>
                  </w:r>
                </w:p>
              </w:tc>
              <w:tc>
                <w:tcPr>
                  <w:tcW w:w="772" w:type="pct"/>
                  <w:tcBorders>
                    <w:bottom w:val="single" w:sz="2" w:space="0" w:color="auto"/>
                    <w:right w:val="nil"/>
                  </w:tcBorders>
                  <w:vAlign w:val="center"/>
                </w:tcPr>
                <w:p w14:paraId="22FD233A" w14:textId="77777777" w:rsidR="009D00F4" w:rsidRPr="00257FB3" w:rsidRDefault="009D00F4" w:rsidP="00654418">
                  <w:pPr>
                    <w:framePr w:hSpace="141" w:wrap="around" w:hAnchor="margin" w:xAlign="center" w:y="-1415"/>
                    <w:jc w:val="center"/>
                    <w:rPr>
                      <w:sz w:val="16"/>
                      <w:szCs w:val="16"/>
                    </w:rPr>
                  </w:pPr>
                  <w:r w:rsidRPr="00257FB3">
                    <w:rPr>
                      <w:sz w:val="16"/>
                      <w:szCs w:val="16"/>
                    </w:rPr>
                    <w:t> </w:t>
                  </w:r>
                </w:p>
              </w:tc>
              <w:tc>
                <w:tcPr>
                  <w:tcW w:w="941" w:type="pct"/>
                  <w:tcBorders>
                    <w:bottom w:val="single" w:sz="2" w:space="0" w:color="auto"/>
                    <w:right w:val="single" w:sz="2" w:space="0" w:color="auto"/>
                  </w:tcBorders>
                  <w:vAlign w:val="center"/>
                </w:tcPr>
                <w:p w14:paraId="643D2728" w14:textId="77777777" w:rsidR="009D00F4" w:rsidRPr="00257FB3" w:rsidRDefault="009D00F4" w:rsidP="00654418">
                  <w:pPr>
                    <w:framePr w:hSpace="141" w:wrap="around" w:hAnchor="margin" w:xAlign="center" w:y="-1415"/>
                    <w:jc w:val="center"/>
                    <w:rPr>
                      <w:sz w:val="16"/>
                      <w:szCs w:val="16"/>
                    </w:rPr>
                  </w:pPr>
                  <w:r w:rsidRPr="00257FB3">
                    <w:rPr>
                      <w:sz w:val="16"/>
                      <w:szCs w:val="16"/>
                    </w:rPr>
                    <w:t>0,005</w:t>
                  </w:r>
                </w:p>
              </w:tc>
            </w:tr>
          </w:tbl>
          <w:p w14:paraId="353BA6D9" w14:textId="77777777" w:rsidR="009D00F4" w:rsidRPr="00257FB3" w:rsidRDefault="009D00F4" w:rsidP="009D00F4">
            <w:pPr>
              <w:ind w:left="-180"/>
              <w:rPr>
                <w:sz w:val="16"/>
                <w:szCs w:val="16"/>
              </w:rPr>
            </w:pPr>
            <w:r w:rsidRPr="00257FB3">
              <w:rPr>
                <w:sz w:val="16"/>
                <w:szCs w:val="16"/>
              </w:rPr>
              <w:t xml:space="preserve">    </w:t>
            </w:r>
            <w:r>
              <w:rPr>
                <w:sz w:val="16"/>
                <w:szCs w:val="16"/>
              </w:rPr>
              <w:t>Vysvetlivky</w:t>
            </w:r>
            <w:r w:rsidRPr="00257FB3">
              <w:rPr>
                <w:sz w:val="16"/>
                <w:szCs w:val="16"/>
              </w:rPr>
              <w:t>:</w:t>
            </w:r>
          </w:p>
          <w:p w14:paraId="4C7CB4C3" w14:textId="77777777" w:rsidR="009D00F4" w:rsidRPr="00257FB3" w:rsidRDefault="009D00F4" w:rsidP="009D00F4">
            <w:pPr>
              <w:keepNext/>
              <w:numPr>
                <w:ilvl w:val="0"/>
                <w:numId w:val="4"/>
              </w:numPr>
              <w:tabs>
                <w:tab w:val="clear" w:pos="1440"/>
              </w:tabs>
              <w:spacing w:before="60" w:after="60" w:line="240" w:lineRule="auto"/>
              <w:ind w:left="351" w:hanging="351"/>
              <w:jc w:val="both"/>
              <w:rPr>
                <w:sz w:val="16"/>
                <w:szCs w:val="16"/>
              </w:rPr>
            </w:pPr>
            <w:r w:rsidRPr="00257FB3">
              <w:rPr>
                <w:sz w:val="16"/>
                <w:szCs w:val="16"/>
              </w:rPr>
              <w:t>Skúšobné metódy sú špecifikované v technickej norme</w:t>
            </w:r>
            <w:r w:rsidRPr="00257FB3">
              <w:rPr>
                <w:sz w:val="16"/>
                <w:szCs w:val="16"/>
                <w:vertAlign w:val="superscript"/>
              </w:rPr>
              <w:t>4</w:t>
            </w:r>
            <w:r>
              <w:rPr>
                <w:sz w:val="16"/>
                <w:szCs w:val="16"/>
                <w:vertAlign w:val="superscript"/>
              </w:rPr>
              <w:t>4</w:t>
            </w:r>
            <w:r w:rsidRPr="00257FB3">
              <w:rPr>
                <w:sz w:val="16"/>
                <w:szCs w:val="16"/>
              </w:rPr>
              <w:t>) alebo inej obdobnej technickej špecifikácii s porovnateľnými alebo prísnejšími požiadavkami.</w:t>
            </w:r>
          </w:p>
          <w:p w14:paraId="672F8630" w14:textId="77777777" w:rsidR="009D00F4" w:rsidRPr="00257FB3" w:rsidRDefault="009D00F4" w:rsidP="009D00F4">
            <w:pPr>
              <w:keepNext/>
              <w:numPr>
                <w:ilvl w:val="0"/>
                <w:numId w:val="4"/>
              </w:numPr>
              <w:tabs>
                <w:tab w:val="clear" w:pos="1440"/>
              </w:tabs>
              <w:spacing w:before="60" w:after="60" w:line="240" w:lineRule="auto"/>
              <w:ind w:left="351" w:hanging="351"/>
              <w:jc w:val="both"/>
              <w:rPr>
                <w:sz w:val="16"/>
                <w:szCs w:val="16"/>
              </w:rPr>
            </w:pPr>
            <w:r w:rsidRPr="00257FB3">
              <w:rPr>
                <w:sz w:val="16"/>
                <w:szCs w:val="16"/>
              </w:rPr>
              <w:t xml:space="preserve">Hodnoty uvedené v špecifikácii sú „skutočné hodnoty“. Pri stanovení ich limitných hodnôt sa použili podmienky technickej </w:t>
            </w:r>
            <w:r w:rsidRPr="00257FB3">
              <w:rPr>
                <w:sz w:val="16"/>
                <w:szCs w:val="16"/>
              </w:rPr>
              <w:lastRenderedPageBreak/>
              <w:t>normy</w:t>
            </w:r>
            <w:r>
              <w:rPr>
                <w:sz w:val="16"/>
                <w:szCs w:val="16"/>
                <w:vertAlign w:val="superscript"/>
              </w:rPr>
              <w:t>45</w:t>
            </w:r>
            <w:r w:rsidRPr="00257FB3">
              <w:rPr>
                <w:sz w:val="16"/>
                <w:szCs w:val="16"/>
              </w:rPr>
              <w:t>) alebo inej obdobnej technickej špecifikácie s porovnateľnými alebo prísnejšími požiadavkami. Pri stanovení najnižšej hodnoty sa zohľadnil najmenší rozdiel 2R nad nulou (R = reprodukovateľnosť). Výsledky jednotlivých meraní sa interpretujú na základe kritérií uvedených v technickej norme</w:t>
            </w:r>
            <w:r>
              <w:rPr>
                <w:sz w:val="16"/>
                <w:szCs w:val="16"/>
                <w:vertAlign w:val="superscript"/>
              </w:rPr>
              <w:t>45</w:t>
            </w:r>
            <w:r w:rsidRPr="00257FB3">
              <w:rPr>
                <w:sz w:val="16"/>
                <w:szCs w:val="16"/>
              </w:rPr>
              <w:t>) alebo inej obdobnej technickej špecifikácii s porovnateľnými alebo prísnejšími požiadavkami.</w:t>
            </w:r>
          </w:p>
          <w:p w14:paraId="253BC81D" w14:textId="77777777" w:rsidR="009D00F4" w:rsidRPr="00257FB3" w:rsidRDefault="009D00F4" w:rsidP="009D00F4">
            <w:pPr>
              <w:keepNext/>
              <w:numPr>
                <w:ilvl w:val="0"/>
                <w:numId w:val="4"/>
              </w:numPr>
              <w:tabs>
                <w:tab w:val="clear" w:pos="1440"/>
              </w:tabs>
              <w:spacing w:before="60" w:after="60" w:line="240" w:lineRule="auto"/>
              <w:ind w:left="351" w:hanging="351"/>
              <w:jc w:val="both"/>
              <w:rPr>
                <w:sz w:val="16"/>
                <w:szCs w:val="16"/>
              </w:rPr>
            </w:pPr>
            <w:r w:rsidRPr="00257FB3">
              <w:rPr>
                <w:sz w:val="16"/>
                <w:szCs w:val="16"/>
              </w:rPr>
              <w:t>Letné obdobie začína najneskôr 1. mája a končí najskôr 30. septembra.</w:t>
            </w:r>
          </w:p>
          <w:p w14:paraId="0178D0DD" w14:textId="77777777" w:rsidR="009D00F4" w:rsidRPr="00257FB3" w:rsidRDefault="009D00F4" w:rsidP="009D00F4">
            <w:pPr>
              <w:keepNext/>
              <w:numPr>
                <w:ilvl w:val="0"/>
                <w:numId w:val="4"/>
              </w:numPr>
              <w:tabs>
                <w:tab w:val="clear" w:pos="1440"/>
              </w:tabs>
              <w:spacing w:before="60" w:after="60" w:line="240" w:lineRule="auto"/>
              <w:ind w:left="351" w:hanging="351"/>
              <w:jc w:val="both"/>
              <w:rPr>
                <w:sz w:val="16"/>
                <w:szCs w:val="16"/>
              </w:rPr>
            </w:pPr>
            <w:r w:rsidRPr="00257FB3">
              <w:rPr>
                <w:sz w:val="16"/>
                <w:szCs w:val="16"/>
              </w:rPr>
              <w:t xml:space="preserve">Ďalšie </w:t>
            </w:r>
            <w:proofErr w:type="spellStart"/>
            <w:r w:rsidRPr="00257FB3">
              <w:rPr>
                <w:sz w:val="16"/>
                <w:szCs w:val="16"/>
              </w:rPr>
              <w:t>monoalkoholy</w:t>
            </w:r>
            <w:proofErr w:type="spellEnd"/>
            <w:r w:rsidRPr="00257FB3">
              <w:rPr>
                <w:sz w:val="16"/>
                <w:szCs w:val="16"/>
              </w:rPr>
              <w:t xml:space="preserve"> a étery s koncovým destilačným bodom nie vyšším ako destilačný bod podľa technickej normy</w:t>
            </w:r>
            <w:r w:rsidRPr="00257FB3">
              <w:rPr>
                <w:sz w:val="16"/>
                <w:szCs w:val="16"/>
                <w:vertAlign w:val="superscript"/>
              </w:rPr>
              <w:t>4</w:t>
            </w:r>
            <w:r>
              <w:rPr>
                <w:sz w:val="16"/>
                <w:szCs w:val="16"/>
                <w:vertAlign w:val="superscript"/>
              </w:rPr>
              <w:t>4</w:t>
            </w:r>
            <w:r w:rsidRPr="00257FB3">
              <w:rPr>
                <w:sz w:val="16"/>
                <w:szCs w:val="16"/>
              </w:rPr>
              <w:t>) alebo inej obdobnej technickej špecifikácie s porovnateľnými alebo prísnejšími požiadavkami.</w:t>
            </w:r>
          </w:p>
          <w:p w14:paraId="12F156F9" w14:textId="77777777" w:rsidR="009D00F4" w:rsidRPr="00257FB3" w:rsidRDefault="00654418" w:rsidP="009D00F4">
            <w:pPr>
              <w:spacing w:line="240" w:lineRule="atLeast"/>
              <w:ind w:left="-44" w:firstLine="44"/>
              <w:jc w:val="both"/>
            </w:pPr>
            <w:r>
              <w:rPr>
                <w:noProof/>
              </w:rPr>
              <w:pict w14:anchorId="30B0E86E">
                <v:shape id="_x0000_s1040" type="#_x0000_t32" style="position:absolute;left:0;text-align:left;margin-left:.1pt;margin-top:5.4pt;width:58.2pt;height:0;z-index:251679744" o:connectortype="straight"/>
              </w:pict>
            </w:r>
          </w:p>
          <w:p w14:paraId="4FA25A23" w14:textId="77777777" w:rsidR="009D00F4" w:rsidRPr="00257FB3" w:rsidRDefault="009D00F4" w:rsidP="009D00F4">
            <w:pPr>
              <w:pStyle w:val="Textpoznmkypodiarou"/>
              <w:jc w:val="both"/>
              <w:rPr>
                <w:rFonts w:eastAsia="Calibri"/>
                <w:sz w:val="18"/>
                <w:szCs w:val="18"/>
                <w:lang w:eastAsia="sk-SK"/>
              </w:rPr>
            </w:pPr>
            <w:r w:rsidRPr="00257FB3">
              <w:rPr>
                <w:sz w:val="18"/>
                <w:szCs w:val="18"/>
                <w:vertAlign w:val="superscript"/>
              </w:rPr>
              <w:t>4</w:t>
            </w:r>
            <w:r>
              <w:rPr>
                <w:sz w:val="18"/>
                <w:szCs w:val="18"/>
                <w:vertAlign w:val="superscript"/>
              </w:rPr>
              <w:t>4</w:t>
            </w:r>
            <w:r w:rsidRPr="00257FB3">
              <w:rPr>
                <w:sz w:val="18"/>
                <w:szCs w:val="18"/>
              </w:rPr>
              <w:t xml:space="preserve">) </w:t>
            </w:r>
            <w:r>
              <w:rPr>
                <w:rFonts w:eastAsia="Calibri"/>
                <w:sz w:val="18"/>
                <w:szCs w:val="18"/>
                <w:lang w:eastAsia="sk-SK"/>
              </w:rPr>
              <w:t>STN EN 228 + A1</w:t>
            </w:r>
            <w:r w:rsidRPr="00257FB3">
              <w:rPr>
                <w:rFonts w:eastAsia="Calibri"/>
                <w:sz w:val="18"/>
                <w:szCs w:val="18"/>
                <w:lang w:eastAsia="sk-SK"/>
              </w:rPr>
              <w:t xml:space="preserve"> Automobilové palivá. Bezolovnatý benzín. Požiadavky a skúšobné metódy (65 6505).   </w:t>
            </w:r>
          </w:p>
          <w:p w14:paraId="2268C13A" w14:textId="77777777" w:rsidR="009D00F4" w:rsidRPr="00931C1D" w:rsidRDefault="009D00F4" w:rsidP="009D00F4">
            <w:pPr>
              <w:pStyle w:val="Textpoznmkypodiarou"/>
              <w:jc w:val="both"/>
              <w:rPr>
                <w:strike/>
              </w:rPr>
            </w:pPr>
            <w:r>
              <w:rPr>
                <w:sz w:val="18"/>
                <w:szCs w:val="18"/>
                <w:vertAlign w:val="superscript"/>
              </w:rPr>
              <w:t>45</w:t>
            </w:r>
            <w:r w:rsidRPr="00257FB3">
              <w:rPr>
                <w:sz w:val="18"/>
                <w:szCs w:val="18"/>
              </w:rPr>
              <w:t xml:space="preserve">) </w:t>
            </w:r>
            <w:r w:rsidRPr="0097586D">
              <w:rPr>
                <w:rFonts w:eastAsia="Calibri"/>
                <w:sz w:val="18"/>
                <w:szCs w:val="18"/>
                <w:lang w:eastAsia="sk-SK"/>
              </w:rPr>
              <w:t>Súbor STN EN ISO 4259 Ropné výrobky a príbuzné výrobky. Zhodnosť metód merania a výsledkov merania (65 6004).</w:t>
            </w:r>
          </w:p>
          <w:p w14:paraId="55B35F6B" w14:textId="77777777" w:rsidR="009D00F4" w:rsidRPr="0029105C" w:rsidRDefault="009D00F4" w:rsidP="009D00F4">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lang w:eastAsia="sk-SK"/>
              </w:rPr>
            </w:pPr>
          </w:p>
        </w:tc>
        <w:tc>
          <w:tcPr>
            <w:tcW w:w="849" w:type="dxa"/>
            <w:tcBorders>
              <w:top w:val="single" w:sz="4" w:space="0" w:color="auto"/>
              <w:left w:val="single" w:sz="4" w:space="0" w:color="auto"/>
              <w:bottom w:val="single" w:sz="4" w:space="0" w:color="auto"/>
              <w:right w:val="single" w:sz="4" w:space="0" w:color="auto"/>
            </w:tcBorders>
          </w:tcPr>
          <w:p w14:paraId="5D60809C" w14:textId="27C99B66"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Ú</w:t>
            </w:r>
          </w:p>
        </w:tc>
        <w:tc>
          <w:tcPr>
            <w:tcW w:w="1360" w:type="dxa"/>
            <w:tcBorders>
              <w:top w:val="single" w:sz="4" w:space="0" w:color="auto"/>
              <w:left w:val="single" w:sz="4" w:space="0" w:color="auto"/>
              <w:bottom w:val="single" w:sz="4" w:space="0" w:color="auto"/>
              <w:right w:val="single" w:sz="4" w:space="0" w:color="auto"/>
            </w:tcBorders>
          </w:tcPr>
          <w:p w14:paraId="5A32BA5C" w14:textId="528E3970" w:rsidR="009D00F4" w:rsidRPr="00EB77CF"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EB77CF">
              <w:rPr>
                <w:rFonts w:ascii="Times New Roman" w:eastAsia="Times New Roman" w:hAnsi="Times New Roman" w:cs="Times New Roman"/>
                <w:color w:val="000000" w:themeColor="text1"/>
                <w:sz w:val="20"/>
                <w:szCs w:val="20"/>
                <w:lang w:eastAsia="sk-SK"/>
              </w:rPr>
              <w:t>Bez potreby legislatívnej úpravy vyhlášky č. 251/2023 Z. z. - technické normy prebraté bez roku vydania, platí aktuálne platná daná technická norma.</w:t>
            </w:r>
          </w:p>
        </w:tc>
        <w:tc>
          <w:tcPr>
            <w:tcW w:w="1360" w:type="dxa"/>
            <w:tcBorders>
              <w:top w:val="single" w:sz="4" w:space="0" w:color="auto"/>
              <w:left w:val="single" w:sz="4" w:space="0" w:color="auto"/>
              <w:bottom w:val="single" w:sz="4" w:space="0" w:color="auto"/>
              <w:right w:val="single" w:sz="4" w:space="0" w:color="auto"/>
            </w:tcBorders>
          </w:tcPr>
          <w:p w14:paraId="67244585" w14:textId="33D3BB1A"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758BE0F2" w14:textId="77777777" w:rsidR="009D00F4" w:rsidRPr="0029105C"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9D00F4" w:rsidRPr="0029105C" w14:paraId="685360F0" w14:textId="77777777" w:rsidTr="0017306B">
        <w:tc>
          <w:tcPr>
            <w:tcW w:w="1005" w:type="dxa"/>
            <w:tcBorders>
              <w:top w:val="single" w:sz="4" w:space="0" w:color="auto"/>
              <w:left w:val="single" w:sz="12" w:space="0" w:color="auto"/>
              <w:bottom w:val="single" w:sz="4" w:space="0" w:color="auto"/>
              <w:right w:val="single" w:sz="4" w:space="0" w:color="auto"/>
            </w:tcBorders>
          </w:tcPr>
          <w:p w14:paraId="62C6A5A6"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Príloha II</w:t>
            </w:r>
          </w:p>
          <w:p w14:paraId="59208F70"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1</w:t>
            </w:r>
          </w:p>
          <w:p w14:paraId="60E25C79" w14:textId="1DA710A4"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c</w:t>
            </w:r>
          </w:p>
        </w:tc>
        <w:tc>
          <w:tcPr>
            <w:tcW w:w="3421" w:type="dxa"/>
            <w:tcBorders>
              <w:top w:val="single" w:sz="4" w:space="0" w:color="auto"/>
              <w:left w:val="single" w:sz="4" w:space="0" w:color="auto"/>
              <w:bottom w:val="single" w:sz="4" w:space="0" w:color="auto"/>
              <w:right w:val="single" w:sz="4" w:space="0" w:color="auto"/>
            </w:tcBorders>
          </w:tcPr>
          <w:p w14:paraId="6EE42656" w14:textId="77777777" w:rsidR="009D00F4" w:rsidRPr="00FC6B08"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FC6B08">
              <w:rPr>
                <w:rFonts w:ascii="Times New Roman" w:eastAsia="Times New Roman" w:hAnsi="Times New Roman" w:cs="Times New Roman"/>
                <w:bCs/>
                <w:color w:val="000000" w:themeColor="text1"/>
                <w:sz w:val="20"/>
                <w:szCs w:val="20"/>
                <w:lang w:eastAsia="sk-SK"/>
              </w:rPr>
              <w:t>c) Poznámka pod čiarou č. 6 sa nahrádza takto:</w:t>
            </w:r>
          </w:p>
          <w:p w14:paraId="270B0CB7" w14:textId="35E09E63" w:rsidR="009D00F4" w:rsidRPr="00FC6B08"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FC6B08">
              <w:rPr>
                <w:rFonts w:ascii="Times New Roman" w:eastAsia="Times New Roman" w:hAnsi="Times New Roman" w:cs="Times New Roman"/>
                <w:bCs/>
                <w:color w:val="000000" w:themeColor="text1"/>
                <w:sz w:val="20"/>
                <w:szCs w:val="20"/>
                <w:lang w:eastAsia="sk-SK"/>
              </w:rPr>
              <w:t xml:space="preserve">„(6) Ďalšie </w:t>
            </w:r>
            <w:proofErr w:type="spellStart"/>
            <w:r w:rsidRPr="00FC6B08">
              <w:rPr>
                <w:rFonts w:ascii="Times New Roman" w:eastAsia="Times New Roman" w:hAnsi="Times New Roman" w:cs="Times New Roman"/>
                <w:bCs/>
                <w:color w:val="000000" w:themeColor="text1"/>
                <w:sz w:val="20"/>
                <w:szCs w:val="20"/>
                <w:lang w:eastAsia="sk-SK"/>
              </w:rPr>
              <w:t>monoalkoholy</w:t>
            </w:r>
            <w:proofErr w:type="spellEnd"/>
            <w:r w:rsidRPr="00FC6B08">
              <w:rPr>
                <w:rFonts w:ascii="Times New Roman" w:eastAsia="Times New Roman" w:hAnsi="Times New Roman" w:cs="Times New Roman"/>
                <w:bCs/>
                <w:color w:val="000000" w:themeColor="text1"/>
                <w:sz w:val="20"/>
                <w:szCs w:val="20"/>
                <w:lang w:eastAsia="sk-SK"/>
              </w:rPr>
              <w:t xml:space="preserve"> a étery s koncovým destilačným bodom nie vyšším než destilačný bod podľa normy </w:t>
            </w:r>
          </w:p>
          <w:p w14:paraId="670288D6" w14:textId="6DF39D26"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FC6B08">
              <w:rPr>
                <w:rFonts w:ascii="Times New Roman" w:eastAsia="Times New Roman" w:hAnsi="Times New Roman" w:cs="Times New Roman"/>
                <w:bCs/>
                <w:color w:val="000000" w:themeColor="text1"/>
                <w:sz w:val="20"/>
                <w:szCs w:val="20"/>
                <w:lang w:eastAsia="sk-SK"/>
              </w:rPr>
              <w:t>EN 228:2012 +A1:2017.“</w:t>
            </w:r>
          </w:p>
        </w:tc>
        <w:tc>
          <w:tcPr>
            <w:tcW w:w="794" w:type="dxa"/>
            <w:tcBorders>
              <w:top w:val="single" w:sz="4" w:space="0" w:color="auto"/>
              <w:left w:val="single" w:sz="4" w:space="0" w:color="auto"/>
              <w:bottom w:val="single" w:sz="4" w:space="0" w:color="auto"/>
              <w:right w:val="single" w:sz="12" w:space="0" w:color="auto"/>
            </w:tcBorders>
          </w:tcPr>
          <w:p w14:paraId="674875BF" w14:textId="0528FEE1"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61DA11D4" w14:textId="63131A0F"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 xml:space="preserve">Vyhláška MŽP č. 251/2023 </w:t>
            </w:r>
          </w:p>
        </w:tc>
        <w:tc>
          <w:tcPr>
            <w:tcW w:w="900" w:type="dxa"/>
            <w:tcBorders>
              <w:top w:val="single" w:sz="4" w:space="0" w:color="auto"/>
              <w:left w:val="single" w:sz="4" w:space="0" w:color="auto"/>
              <w:bottom w:val="single" w:sz="4" w:space="0" w:color="auto"/>
              <w:right w:val="single" w:sz="4" w:space="0" w:color="auto"/>
            </w:tcBorders>
          </w:tcPr>
          <w:p w14:paraId="05EACC02" w14:textId="7B46FBD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Príloha č. 1</w:t>
            </w:r>
          </w:p>
        </w:tc>
        <w:tc>
          <w:tcPr>
            <w:tcW w:w="4540" w:type="dxa"/>
            <w:tcBorders>
              <w:top w:val="single" w:sz="4" w:space="0" w:color="auto"/>
              <w:bottom w:val="single" w:sz="4" w:space="0" w:color="auto"/>
            </w:tcBorders>
          </w:tcPr>
          <w:p w14:paraId="14EDBA8B" w14:textId="77777777" w:rsidR="009D00F4" w:rsidRPr="00B3683B"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B3683B">
              <w:rPr>
                <w:rFonts w:ascii="Times New Roman" w:eastAsia="Times New Roman" w:hAnsi="Times New Roman" w:cs="Times New Roman"/>
                <w:color w:val="000000" w:themeColor="text1"/>
                <w:sz w:val="20"/>
                <w:szCs w:val="20"/>
                <w:lang w:eastAsia="sk-SK"/>
              </w:rPr>
              <w:t>Príloha č. 1</w:t>
            </w:r>
          </w:p>
          <w:p w14:paraId="7F1A3265" w14:textId="77777777" w:rsidR="009D00F4" w:rsidRPr="00B3683B"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B3683B">
              <w:rPr>
                <w:rFonts w:ascii="Times New Roman" w:eastAsia="Times New Roman" w:hAnsi="Times New Roman" w:cs="Times New Roman"/>
                <w:color w:val="000000" w:themeColor="text1"/>
                <w:sz w:val="20"/>
                <w:szCs w:val="20"/>
                <w:lang w:eastAsia="sk-SK"/>
              </w:rPr>
              <w:t xml:space="preserve">Požiadavky na kvalitu automobilového benzínu </w:t>
            </w:r>
          </w:p>
          <w:p w14:paraId="2B0C4CF8" w14:textId="77777777" w:rsidR="009D00F4" w:rsidRPr="00257FB3" w:rsidRDefault="009D00F4" w:rsidP="009D00F4">
            <w:pPr>
              <w:jc w:val="both"/>
              <w:rPr>
                <w:sz w:val="20"/>
                <w:lang w:eastAsia="sk-SK"/>
              </w:rPr>
            </w:pPr>
          </w:p>
          <w:tbl>
            <w:tblPr>
              <w:tblW w:w="4006"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877"/>
              <w:gridCol w:w="467"/>
              <w:gridCol w:w="551"/>
              <w:gridCol w:w="671"/>
            </w:tblGrid>
            <w:tr w:rsidR="009D00F4" w:rsidRPr="00257FB3" w14:paraId="46101019" w14:textId="77777777" w:rsidTr="0017306B">
              <w:trPr>
                <w:tblCellSpacing w:w="0" w:type="dxa"/>
                <w:jc w:val="center"/>
              </w:trPr>
              <w:tc>
                <w:tcPr>
                  <w:tcW w:w="2632" w:type="pct"/>
                  <w:vMerge w:val="restart"/>
                  <w:tcBorders>
                    <w:left w:val="nil"/>
                    <w:bottom w:val="single" w:sz="2" w:space="0" w:color="auto"/>
                    <w:right w:val="nil"/>
                  </w:tcBorders>
                  <w:vAlign w:val="center"/>
                </w:tcPr>
                <w:p w14:paraId="11F19EBD" w14:textId="77777777" w:rsidR="009D00F4" w:rsidRPr="00257FB3" w:rsidRDefault="009D00F4" w:rsidP="00654418">
                  <w:pPr>
                    <w:framePr w:hSpace="141" w:wrap="around" w:hAnchor="margin" w:xAlign="center" w:y="-1415"/>
                    <w:jc w:val="center"/>
                    <w:rPr>
                      <w:b/>
                      <w:sz w:val="16"/>
                      <w:szCs w:val="16"/>
                    </w:rPr>
                  </w:pPr>
                  <w:proofErr w:type="spellStart"/>
                  <w:r w:rsidRPr="00257FB3">
                    <w:rPr>
                      <w:b/>
                      <w:bCs/>
                      <w:sz w:val="16"/>
                      <w:szCs w:val="16"/>
                    </w:rPr>
                    <w:t>Parameter</w:t>
                  </w:r>
                  <w:r w:rsidRPr="00257FB3">
                    <w:rPr>
                      <w:b/>
                      <w:bCs/>
                      <w:sz w:val="16"/>
                      <w:szCs w:val="16"/>
                      <w:vertAlign w:val="superscript"/>
                    </w:rPr>
                    <w:t>a</w:t>
                  </w:r>
                  <w:proofErr w:type="spellEnd"/>
                  <w:r w:rsidRPr="00257FB3">
                    <w:rPr>
                      <w:b/>
                      <w:bCs/>
                      <w:sz w:val="16"/>
                      <w:szCs w:val="16"/>
                    </w:rPr>
                    <w:t>)</w:t>
                  </w:r>
                </w:p>
              </w:tc>
              <w:tc>
                <w:tcPr>
                  <w:tcW w:w="655" w:type="pct"/>
                  <w:vMerge w:val="restart"/>
                  <w:tcBorders>
                    <w:left w:val="single" w:sz="2" w:space="0" w:color="auto"/>
                    <w:bottom w:val="single" w:sz="2" w:space="0" w:color="auto"/>
                    <w:right w:val="nil"/>
                  </w:tcBorders>
                  <w:vAlign w:val="center"/>
                </w:tcPr>
                <w:p w14:paraId="7D636790" w14:textId="77777777" w:rsidR="009D00F4" w:rsidRPr="00257FB3" w:rsidRDefault="009D00F4" w:rsidP="00654418">
                  <w:pPr>
                    <w:framePr w:hSpace="141" w:wrap="around" w:hAnchor="margin" w:xAlign="center" w:y="-1415"/>
                    <w:jc w:val="center"/>
                    <w:rPr>
                      <w:b/>
                      <w:sz w:val="16"/>
                      <w:szCs w:val="16"/>
                    </w:rPr>
                  </w:pPr>
                  <w:r w:rsidRPr="00257FB3">
                    <w:rPr>
                      <w:b/>
                      <w:bCs/>
                      <w:sz w:val="16"/>
                      <w:szCs w:val="16"/>
                    </w:rPr>
                    <w:t>Jednotka</w:t>
                  </w:r>
                </w:p>
              </w:tc>
              <w:tc>
                <w:tcPr>
                  <w:tcW w:w="1713" w:type="pct"/>
                  <w:gridSpan w:val="2"/>
                  <w:tcBorders>
                    <w:left w:val="single" w:sz="2" w:space="0" w:color="auto"/>
                    <w:bottom w:val="nil"/>
                  </w:tcBorders>
                  <w:vAlign w:val="center"/>
                </w:tcPr>
                <w:p w14:paraId="6988F446" w14:textId="77777777" w:rsidR="009D00F4" w:rsidRPr="00257FB3" w:rsidRDefault="009D00F4" w:rsidP="00654418">
                  <w:pPr>
                    <w:framePr w:hSpace="141" w:wrap="around" w:hAnchor="margin" w:xAlign="center" w:y="-1415"/>
                    <w:jc w:val="center"/>
                    <w:rPr>
                      <w:b/>
                      <w:sz w:val="16"/>
                      <w:szCs w:val="16"/>
                    </w:rPr>
                  </w:pPr>
                  <w:r w:rsidRPr="00257FB3">
                    <w:rPr>
                      <w:b/>
                      <w:bCs/>
                      <w:sz w:val="16"/>
                      <w:szCs w:val="16"/>
                    </w:rPr>
                    <w:t>Limity</w:t>
                  </w:r>
                  <w:r w:rsidRPr="00257FB3">
                    <w:rPr>
                      <w:b/>
                      <w:bCs/>
                      <w:sz w:val="16"/>
                      <w:szCs w:val="16"/>
                      <w:vertAlign w:val="superscript"/>
                    </w:rPr>
                    <w:t xml:space="preserve"> b</w:t>
                  </w:r>
                  <w:r w:rsidRPr="00257FB3">
                    <w:rPr>
                      <w:b/>
                      <w:bCs/>
                      <w:sz w:val="16"/>
                      <w:szCs w:val="16"/>
                    </w:rPr>
                    <w:t>)</w:t>
                  </w:r>
                </w:p>
              </w:tc>
            </w:tr>
            <w:tr w:rsidR="009D00F4" w:rsidRPr="00257FB3" w14:paraId="51E751C4" w14:textId="77777777" w:rsidTr="0017306B">
              <w:trPr>
                <w:tblCellSpacing w:w="0" w:type="dxa"/>
                <w:jc w:val="center"/>
              </w:trPr>
              <w:tc>
                <w:tcPr>
                  <w:tcW w:w="2632" w:type="pct"/>
                  <w:vMerge/>
                  <w:tcBorders>
                    <w:top w:val="single" w:sz="2" w:space="0" w:color="auto"/>
                    <w:left w:val="nil"/>
                    <w:right w:val="nil"/>
                  </w:tcBorders>
                  <w:vAlign w:val="center"/>
                </w:tcPr>
                <w:p w14:paraId="714673C8" w14:textId="77777777" w:rsidR="009D00F4" w:rsidRPr="00257FB3" w:rsidRDefault="009D00F4" w:rsidP="00654418">
                  <w:pPr>
                    <w:framePr w:hSpace="141" w:wrap="around" w:hAnchor="margin" w:xAlign="center" w:y="-1415"/>
                    <w:jc w:val="center"/>
                    <w:rPr>
                      <w:b/>
                      <w:sz w:val="16"/>
                      <w:szCs w:val="16"/>
                    </w:rPr>
                  </w:pPr>
                </w:p>
              </w:tc>
              <w:tc>
                <w:tcPr>
                  <w:tcW w:w="655" w:type="pct"/>
                  <w:vMerge/>
                  <w:tcBorders>
                    <w:top w:val="single" w:sz="2" w:space="0" w:color="auto"/>
                    <w:left w:val="single" w:sz="2" w:space="0" w:color="auto"/>
                    <w:right w:val="nil"/>
                  </w:tcBorders>
                  <w:vAlign w:val="center"/>
                </w:tcPr>
                <w:p w14:paraId="36D4C4A8" w14:textId="77777777" w:rsidR="009D00F4" w:rsidRPr="00257FB3" w:rsidRDefault="009D00F4" w:rsidP="00654418">
                  <w:pPr>
                    <w:framePr w:hSpace="141" w:wrap="around" w:hAnchor="margin" w:xAlign="center" w:y="-1415"/>
                    <w:jc w:val="center"/>
                    <w:rPr>
                      <w:b/>
                      <w:sz w:val="16"/>
                      <w:szCs w:val="16"/>
                    </w:rPr>
                  </w:pPr>
                </w:p>
              </w:tc>
              <w:tc>
                <w:tcPr>
                  <w:tcW w:w="772" w:type="pct"/>
                  <w:tcBorders>
                    <w:left w:val="single" w:sz="2" w:space="0" w:color="auto"/>
                  </w:tcBorders>
                  <w:vAlign w:val="center"/>
                </w:tcPr>
                <w:p w14:paraId="1B892465" w14:textId="77777777" w:rsidR="009D00F4" w:rsidRPr="00257FB3" w:rsidRDefault="009D00F4" w:rsidP="00654418">
                  <w:pPr>
                    <w:framePr w:hSpace="141" w:wrap="around" w:hAnchor="margin" w:xAlign="center" w:y="-1415"/>
                    <w:jc w:val="center"/>
                    <w:rPr>
                      <w:b/>
                      <w:sz w:val="16"/>
                      <w:szCs w:val="16"/>
                    </w:rPr>
                  </w:pPr>
                  <w:r w:rsidRPr="00257FB3">
                    <w:rPr>
                      <w:b/>
                      <w:bCs/>
                      <w:sz w:val="16"/>
                      <w:szCs w:val="16"/>
                    </w:rPr>
                    <w:t>Najmenej</w:t>
                  </w:r>
                </w:p>
              </w:tc>
              <w:tc>
                <w:tcPr>
                  <w:tcW w:w="941" w:type="pct"/>
                  <w:tcBorders>
                    <w:left w:val="nil"/>
                  </w:tcBorders>
                  <w:vAlign w:val="center"/>
                </w:tcPr>
                <w:p w14:paraId="7745F57A" w14:textId="77777777" w:rsidR="009D00F4" w:rsidRPr="00257FB3" w:rsidRDefault="009D00F4" w:rsidP="00654418">
                  <w:pPr>
                    <w:framePr w:hSpace="141" w:wrap="around" w:hAnchor="margin" w:xAlign="center" w:y="-1415"/>
                    <w:jc w:val="center"/>
                    <w:rPr>
                      <w:b/>
                      <w:sz w:val="16"/>
                      <w:szCs w:val="16"/>
                    </w:rPr>
                  </w:pPr>
                  <w:r w:rsidRPr="00257FB3">
                    <w:rPr>
                      <w:b/>
                      <w:bCs/>
                      <w:sz w:val="16"/>
                      <w:szCs w:val="16"/>
                    </w:rPr>
                    <w:t>Najviac</w:t>
                  </w:r>
                </w:p>
              </w:tc>
            </w:tr>
            <w:tr w:rsidR="009D00F4" w:rsidRPr="00257FB3" w14:paraId="40F394EE" w14:textId="77777777" w:rsidTr="0017306B">
              <w:trPr>
                <w:tblCellSpacing w:w="0" w:type="dxa"/>
                <w:jc w:val="center"/>
              </w:trPr>
              <w:tc>
                <w:tcPr>
                  <w:tcW w:w="5000" w:type="pct"/>
                  <w:gridSpan w:val="4"/>
                  <w:tcBorders>
                    <w:top w:val="single" w:sz="2" w:space="0" w:color="auto"/>
                    <w:left w:val="nil"/>
                  </w:tcBorders>
                  <w:vAlign w:val="center"/>
                </w:tcPr>
                <w:p w14:paraId="32389D34" w14:textId="77777777" w:rsidR="009D00F4" w:rsidRPr="00257FB3" w:rsidRDefault="009D00F4" w:rsidP="00654418">
                  <w:pPr>
                    <w:framePr w:hSpace="141" w:wrap="around" w:hAnchor="margin" w:xAlign="center" w:y="-1415"/>
                    <w:rPr>
                      <w:b/>
                      <w:bCs/>
                      <w:sz w:val="16"/>
                      <w:szCs w:val="16"/>
                    </w:rPr>
                  </w:pPr>
                  <w:r w:rsidRPr="00257FB3">
                    <w:rPr>
                      <w:sz w:val="16"/>
                      <w:szCs w:val="16"/>
                    </w:rPr>
                    <w:t>BENZÍN</w:t>
                  </w:r>
                </w:p>
              </w:tc>
            </w:tr>
            <w:tr w:rsidR="009D00F4" w:rsidRPr="00257FB3" w14:paraId="666D7CF6" w14:textId="77777777" w:rsidTr="0017306B">
              <w:trPr>
                <w:tblCellSpacing w:w="0" w:type="dxa"/>
                <w:jc w:val="center"/>
              </w:trPr>
              <w:tc>
                <w:tcPr>
                  <w:tcW w:w="2632" w:type="pct"/>
                  <w:tcBorders>
                    <w:left w:val="nil"/>
                    <w:right w:val="nil"/>
                  </w:tcBorders>
                </w:tcPr>
                <w:p w14:paraId="5BA53B69" w14:textId="77777777" w:rsidR="009D00F4" w:rsidRPr="00257FB3" w:rsidRDefault="009D00F4" w:rsidP="00654418">
                  <w:pPr>
                    <w:framePr w:hSpace="141" w:wrap="around" w:hAnchor="margin" w:xAlign="center" w:y="-1415"/>
                    <w:rPr>
                      <w:sz w:val="16"/>
                      <w:szCs w:val="16"/>
                    </w:rPr>
                  </w:pPr>
                  <w:r w:rsidRPr="00257FB3">
                    <w:rPr>
                      <w:sz w:val="16"/>
                      <w:szCs w:val="16"/>
                    </w:rPr>
                    <w:t>Oktánové číslo výskumnou metódou</w:t>
                  </w:r>
                </w:p>
              </w:tc>
              <w:tc>
                <w:tcPr>
                  <w:tcW w:w="655" w:type="pct"/>
                  <w:tcBorders>
                    <w:right w:val="nil"/>
                  </w:tcBorders>
                </w:tcPr>
                <w:p w14:paraId="6CE519E3" w14:textId="77777777" w:rsidR="009D00F4" w:rsidRPr="00257FB3" w:rsidRDefault="009D00F4" w:rsidP="00654418">
                  <w:pPr>
                    <w:framePr w:hSpace="141" w:wrap="around" w:hAnchor="margin" w:xAlign="center" w:y="-1415"/>
                    <w:rPr>
                      <w:sz w:val="16"/>
                      <w:szCs w:val="16"/>
                    </w:rPr>
                  </w:pPr>
                </w:p>
              </w:tc>
              <w:tc>
                <w:tcPr>
                  <w:tcW w:w="772" w:type="pct"/>
                </w:tcPr>
                <w:p w14:paraId="2C1F0523" w14:textId="77777777" w:rsidR="009D00F4" w:rsidRPr="00257FB3" w:rsidRDefault="009D00F4" w:rsidP="00654418">
                  <w:pPr>
                    <w:framePr w:hSpace="141" w:wrap="around" w:hAnchor="margin" w:xAlign="center" w:y="-1415"/>
                    <w:jc w:val="center"/>
                    <w:rPr>
                      <w:sz w:val="16"/>
                      <w:szCs w:val="16"/>
                      <w:vertAlign w:val="superscript"/>
                    </w:rPr>
                  </w:pPr>
                  <w:r w:rsidRPr="00257FB3">
                    <w:rPr>
                      <w:sz w:val="16"/>
                      <w:szCs w:val="16"/>
                    </w:rPr>
                    <w:t>95</w:t>
                  </w:r>
                </w:p>
              </w:tc>
              <w:tc>
                <w:tcPr>
                  <w:tcW w:w="941" w:type="pct"/>
                  <w:tcBorders>
                    <w:left w:val="nil"/>
                    <w:right w:val="nil"/>
                  </w:tcBorders>
                </w:tcPr>
                <w:p w14:paraId="3D14EA4E" w14:textId="77777777" w:rsidR="009D00F4" w:rsidRPr="00257FB3" w:rsidRDefault="009D00F4" w:rsidP="00654418">
                  <w:pPr>
                    <w:framePr w:hSpace="141" w:wrap="around" w:hAnchor="margin" w:xAlign="center" w:y="-1415"/>
                    <w:jc w:val="center"/>
                    <w:rPr>
                      <w:sz w:val="16"/>
                      <w:szCs w:val="16"/>
                    </w:rPr>
                  </w:pPr>
                </w:p>
              </w:tc>
            </w:tr>
            <w:tr w:rsidR="009D00F4" w:rsidRPr="00257FB3" w14:paraId="6E36B8A8" w14:textId="77777777" w:rsidTr="0017306B">
              <w:trPr>
                <w:tblCellSpacing w:w="0" w:type="dxa"/>
                <w:jc w:val="center"/>
              </w:trPr>
              <w:tc>
                <w:tcPr>
                  <w:tcW w:w="2632" w:type="pct"/>
                  <w:tcBorders>
                    <w:left w:val="nil"/>
                    <w:right w:val="nil"/>
                  </w:tcBorders>
                </w:tcPr>
                <w:p w14:paraId="115FE647" w14:textId="77777777" w:rsidR="009D00F4" w:rsidRPr="00257FB3" w:rsidRDefault="009D00F4" w:rsidP="00654418">
                  <w:pPr>
                    <w:framePr w:hSpace="141" w:wrap="around" w:hAnchor="margin" w:xAlign="center" w:y="-1415"/>
                    <w:rPr>
                      <w:sz w:val="16"/>
                      <w:szCs w:val="16"/>
                    </w:rPr>
                  </w:pPr>
                  <w:r w:rsidRPr="00257FB3">
                    <w:rPr>
                      <w:sz w:val="16"/>
                      <w:szCs w:val="16"/>
                    </w:rPr>
                    <w:t>Oktánové číslo motorovou metódou</w:t>
                  </w:r>
                </w:p>
              </w:tc>
              <w:tc>
                <w:tcPr>
                  <w:tcW w:w="655" w:type="pct"/>
                  <w:tcBorders>
                    <w:right w:val="nil"/>
                  </w:tcBorders>
                </w:tcPr>
                <w:p w14:paraId="2711DD67" w14:textId="77777777" w:rsidR="009D00F4" w:rsidRPr="00257FB3" w:rsidRDefault="009D00F4" w:rsidP="00654418">
                  <w:pPr>
                    <w:framePr w:hSpace="141" w:wrap="around" w:hAnchor="margin" w:xAlign="center" w:y="-1415"/>
                    <w:rPr>
                      <w:sz w:val="16"/>
                      <w:szCs w:val="16"/>
                    </w:rPr>
                  </w:pPr>
                </w:p>
              </w:tc>
              <w:tc>
                <w:tcPr>
                  <w:tcW w:w="772" w:type="pct"/>
                </w:tcPr>
                <w:p w14:paraId="73678751" w14:textId="77777777" w:rsidR="009D00F4" w:rsidRPr="00257FB3" w:rsidRDefault="009D00F4" w:rsidP="00654418">
                  <w:pPr>
                    <w:framePr w:hSpace="141" w:wrap="around" w:hAnchor="margin" w:xAlign="center" w:y="-1415"/>
                    <w:jc w:val="center"/>
                    <w:rPr>
                      <w:sz w:val="16"/>
                      <w:szCs w:val="16"/>
                    </w:rPr>
                  </w:pPr>
                  <w:r w:rsidRPr="00257FB3">
                    <w:rPr>
                      <w:sz w:val="16"/>
                      <w:szCs w:val="16"/>
                    </w:rPr>
                    <w:t>85</w:t>
                  </w:r>
                </w:p>
              </w:tc>
              <w:tc>
                <w:tcPr>
                  <w:tcW w:w="941" w:type="pct"/>
                  <w:tcBorders>
                    <w:left w:val="nil"/>
                    <w:right w:val="nil"/>
                  </w:tcBorders>
                </w:tcPr>
                <w:p w14:paraId="65BF1287" w14:textId="77777777" w:rsidR="009D00F4" w:rsidRPr="00257FB3" w:rsidRDefault="009D00F4" w:rsidP="00654418">
                  <w:pPr>
                    <w:framePr w:hSpace="141" w:wrap="around" w:hAnchor="margin" w:xAlign="center" w:y="-1415"/>
                    <w:jc w:val="center"/>
                    <w:rPr>
                      <w:sz w:val="16"/>
                      <w:szCs w:val="16"/>
                    </w:rPr>
                  </w:pPr>
                </w:p>
              </w:tc>
            </w:tr>
            <w:tr w:rsidR="009D00F4" w:rsidRPr="00257FB3" w14:paraId="32398C74" w14:textId="77777777" w:rsidTr="0017306B">
              <w:trPr>
                <w:tblCellSpacing w:w="0" w:type="dxa"/>
                <w:jc w:val="center"/>
              </w:trPr>
              <w:tc>
                <w:tcPr>
                  <w:tcW w:w="2632" w:type="pct"/>
                  <w:tcBorders>
                    <w:left w:val="nil"/>
                    <w:bottom w:val="single" w:sz="2" w:space="0" w:color="auto"/>
                    <w:right w:val="nil"/>
                  </w:tcBorders>
                </w:tcPr>
                <w:p w14:paraId="4456E949" w14:textId="77777777" w:rsidR="009D00F4" w:rsidRPr="00257FB3" w:rsidRDefault="009D00F4" w:rsidP="00654418">
                  <w:pPr>
                    <w:framePr w:hSpace="141" w:wrap="around" w:hAnchor="margin" w:xAlign="center" w:y="-1415"/>
                    <w:rPr>
                      <w:sz w:val="16"/>
                      <w:szCs w:val="16"/>
                    </w:rPr>
                  </w:pPr>
                  <w:r w:rsidRPr="00257FB3">
                    <w:rPr>
                      <w:sz w:val="16"/>
                      <w:szCs w:val="16"/>
                    </w:rPr>
                    <w:t xml:space="preserve">Tlak pár pre letné </w:t>
                  </w:r>
                  <w:proofErr w:type="spellStart"/>
                  <w:r w:rsidRPr="00257FB3">
                    <w:rPr>
                      <w:sz w:val="16"/>
                      <w:szCs w:val="16"/>
                    </w:rPr>
                    <w:t>obdobie</w:t>
                  </w:r>
                  <w:r w:rsidRPr="00257FB3">
                    <w:rPr>
                      <w:sz w:val="16"/>
                      <w:szCs w:val="16"/>
                      <w:vertAlign w:val="superscript"/>
                    </w:rPr>
                    <w:t>c</w:t>
                  </w:r>
                  <w:proofErr w:type="spellEnd"/>
                  <w:r w:rsidRPr="00257FB3">
                    <w:rPr>
                      <w:sz w:val="16"/>
                      <w:szCs w:val="16"/>
                    </w:rPr>
                    <w:t>)</w:t>
                  </w:r>
                </w:p>
              </w:tc>
              <w:tc>
                <w:tcPr>
                  <w:tcW w:w="655" w:type="pct"/>
                  <w:tcBorders>
                    <w:bottom w:val="nil"/>
                    <w:right w:val="nil"/>
                  </w:tcBorders>
                </w:tcPr>
                <w:p w14:paraId="554070DB" w14:textId="77777777" w:rsidR="009D00F4" w:rsidRPr="00257FB3" w:rsidRDefault="009D00F4" w:rsidP="00654418">
                  <w:pPr>
                    <w:framePr w:hSpace="141" w:wrap="around" w:hAnchor="margin" w:xAlign="center" w:y="-1415"/>
                    <w:jc w:val="center"/>
                    <w:rPr>
                      <w:sz w:val="16"/>
                      <w:szCs w:val="16"/>
                    </w:rPr>
                  </w:pPr>
                  <w:r w:rsidRPr="00257FB3">
                    <w:rPr>
                      <w:sz w:val="16"/>
                      <w:szCs w:val="16"/>
                    </w:rPr>
                    <w:t>kPa</w:t>
                  </w:r>
                </w:p>
              </w:tc>
              <w:tc>
                <w:tcPr>
                  <w:tcW w:w="772" w:type="pct"/>
                  <w:tcBorders>
                    <w:bottom w:val="nil"/>
                  </w:tcBorders>
                </w:tcPr>
                <w:p w14:paraId="24366B82" w14:textId="77777777" w:rsidR="009D00F4" w:rsidRPr="00257FB3" w:rsidRDefault="009D00F4" w:rsidP="00654418">
                  <w:pPr>
                    <w:framePr w:hSpace="141" w:wrap="around" w:hAnchor="margin" w:xAlign="center" w:y="-1415"/>
                    <w:jc w:val="center"/>
                    <w:rPr>
                      <w:sz w:val="16"/>
                      <w:szCs w:val="16"/>
                    </w:rPr>
                  </w:pPr>
                  <w:r w:rsidRPr="00257FB3">
                    <w:rPr>
                      <w:sz w:val="16"/>
                      <w:szCs w:val="16"/>
                    </w:rPr>
                    <w:t> </w:t>
                  </w:r>
                </w:p>
              </w:tc>
              <w:tc>
                <w:tcPr>
                  <w:tcW w:w="941" w:type="pct"/>
                  <w:tcBorders>
                    <w:left w:val="nil"/>
                    <w:bottom w:val="nil"/>
                    <w:right w:val="nil"/>
                  </w:tcBorders>
                </w:tcPr>
                <w:p w14:paraId="56C72DEC" w14:textId="77777777" w:rsidR="009D00F4" w:rsidRPr="00257FB3" w:rsidRDefault="009D00F4" w:rsidP="00654418">
                  <w:pPr>
                    <w:framePr w:hSpace="141" w:wrap="around" w:hAnchor="margin" w:xAlign="center" w:y="-1415"/>
                    <w:jc w:val="center"/>
                    <w:rPr>
                      <w:sz w:val="16"/>
                      <w:szCs w:val="16"/>
                      <w:vertAlign w:val="superscript"/>
                    </w:rPr>
                  </w:pPr>
                  <w:r w:rsidRPr="00257FB3">
                    <w:rPr>
                      <w:sz w:val="16"/>
                      <w:szCs w:val="16"/>
                    </w:rPr>
                    <w:t>60,0</w:t>
                  </w:r>
                </w:p>
              </w:tc>
            </w:tr>
            <w:tr w:rsidR="009D00F4" w:rsidRPr="00257FB3" w14:paraId="504FD74E" w14:textId="77777777" w:rsidTr="0017306B">
              <w:trPr>
                <w:tblCellSpacing w:w="0" w:type="dxa"/>
                <w:jc w:val="center"/>
              </w:trPr>
              <w:tc>
                <w:tcPr>
                  <w:tcW w:w="5000" w:type="pct"/>
                  <w:gridSpan w:val="4"/>
                  <w:tcBorders>
                    <w:left w:val="nil"/>
                    <w:bottom w:val="single" w:sz="2" w:space="0" w:color="auto"/>
                    <w:right w:val="nil"/>
                  </w:tcBorders>
                </w:tcPr>
                <w:p w14:paraId="64CE102F" w14:textId="77777777" w:rsidR="009D00F4" w:rsidRPr="00257FB3" w:rsidRDefault="009D00F4" w:rsidP="00654418">
                  <w:pPr>
                    <w:framePr w:hSpace="141" w:wrap="around" w:hAnchor="margin" w:xAlign="center" w:y="-1415"/>
                    <w:rPr>
                      <w:sz w:val="16"/>
                      <w:szCs w:val="16"/>
                    </w:rPr>
                  </w:pPr>
                  <w:r w:rsidRPr="00257FB3">
                    <w:rPr>
                      <w:sz w:val="16"/>
                      <w:szCs w:val="16"/>
                    </w:rPr>
                    <w:t>Destilácia:</w:t>
                  </w:r>
                </w:p>
              </w:tc>
            </w:tr>
            <w:tr w:rsidR="009D00F4" w:rsidRPr="00257FB3" w14:paraId="706856B2" w14:textId="77777777" w:rsidTr="0017306B">
              <w:trPr>
                <w:trHeight w:val="406"/>
                <w:tblCellSpacing w:w="0" w:type="dxa"/>
                <w:jc w:val="center"/>
              </w:trPr>
              <w:tc>
                <w:tcPr>
                  <w:tcW w:w="2632" w:type="pct"/>
                  <w:tcBorders>
                    <w:left w:val="nil"/>
                    <w:right w:val="nil"/>
                  </w:tcBorders>
                </w:tcPr>
                <w:p w14:paraId="2203AB52" w14:textId="77777777" w:rsidR="009D00F4" w:rsidRPr="00257FB3" w:rsidRDefault="009D00F4" w:rsidP="00654418">
                  <w:pPr>
                    <w:framePr w:hSpace="141" w:wrap="around" w:hAnchor="margin" w:xAlign="center" w:y="-1415"/>
                    <w:rPr>
                      <w:sz w:val="16"/>
                      <w:szCs w:val="16"/>
                    </w:rPr>
                  </w:pPr>
                  <w:r w:rsidRPr="00257FB3">
                    <w:rPr>
                      <w:sz w:val="16"/>
                      <w:szCs w:val="16"/>
                    </w:rPr>
                    <w:t>odparené percento do 100 °C</w:t>
                  </w:r>
                </w:p>
              </w:tc>
              <w:tc>
                <w:tcPr>
                  <w:tcW w:w="655" w:type="pct"/>
                  <w:vMerge w:val="restart"/>
                  <w:tcBorders>
                    <w:left w:val="single" w:sz="2" w:space="0" w:color="auto"/>
                    <w:right w:val="single" w:sz="2" w:space="0" w:color="auto"/>
                  </w:tcBorders>
                  <w:vAlign w:val="center"/>
                </w:tcPr>
                <w:p w14:paraId="01D0366B" w14:textId="77777777" w:rsidR="009D00F4" w:rsidRPr="00257FB3" w:rsidRDefault="009D00F4" w:rsidP="00654418">
                  <w:pPr>
                    <w:framePr w:hSpace="141" w:wrap="around" w:hAnchor="margin" w:xAlign="center" w:y="-1415"/>
                    <w:jc w:val="center"/>
                    <w:rPr>
                      <w:sz w:val="16"/>
                      <w:szCs w:val="16"/>
                    </w:rPr>
                  </w:pPr>
                  <w:r w:rsidRPr="00257FB3">
                    <w:rPr>
                      <w:sz w:val="16"/>
                      <w:szCs w:val="16"/>
                    </w:rPr>
                    <w:t>% objemu</w:t>
                  </w:r>
                </w:p>
              </w:tc>
              <w:tc>
                <w:tcPr>
                  <w:tcW w:w="772" w:type="pct"/>
                  <w:tcBorders>
                    <w:left w:val="nil"/>
                    <w:right w:val="nil"/>
                  </w:tcBorders>
                </w:tcPr>
                <w:p w14:paraId="2BC4613E" w14:textId="77777777" w:rsidR="009D00F4" w:rsidRPr="00257FB3" w:rsidRDefault="009D00F4" w:rsidP="00654418">
                  <w:pPr>
                    <w:framePr w:hSpace="141" w:wrap="around" w:hAnchor="margin" w:xAlign="center" w:y="-1415"/>
                    <w:jc w:val="center"/>
                    <w:rPr>
                      <w:sz w:val="16"/>
                      <w:szCs w:val="16"/>
                    </w:rPr>
                  </w:pPr>
                  <w:r w:rsidRPr="00257FB3">
                    <w:rPr>
                      <w:sz w:val="16"/>
                      <w:szCs w:val="16"/>
                    </w:rPr>
                    <w:t>46,0</w:t>
                  </w:r>
                </w:p>
              </w:tc>
              <w:tc>
                <w:tcPr>
                  <w:tcW w:w="941" w:type="pct"/>
                  <w:tcBorders>
                    <w:left w:val="single" w:sz="2" w:space="0" w:color="auto"/>
                    <w:right w:val="single" w:sz="2" w:space="0" w:color="auto"/>
                  </w:tcBorders>
                </w:tcPr>
                <w:p w14:paraId="27D34E1C" w14:textId="77777777" w:rsidR="009D00F4" w:rsidRPr="00257FB3" w:rsidRDefault="009D00F4" w:rsidP="00654418">
                  <w:pPr>
                    <w:framePr w:hSpace="141" w:wrap="around" w:hAnchor="margin" w:xAlign="center" w:y="-1415"/>
                    <w:spacing w:after="240"/>
                    <w:jc w:val="center"/>
                    <w:rPr>
                      <w:sz w:val="16"/>
                      <w:szCs w:val="16"/>
                    </w:rPr>
                  </w:pPr>
                </w:p>
              </w:tc>
            </w:tr>
            <w:tr w:rsidR="009D00F4" w:rsidRPr="00257FB3" w14:paraId="34442901" w14:textId="77777777" w:rsidTr="0017306B">
              <w:trPr>
                <w:trHeight w:val="385"/>
                <w:tblCellSpacing w:w="0" w:type="dxa"/>
                <w:jc w:val="center"/>
              </w:trPr>
              <w:tc>
                <w:tcPr>
                  <w:tcW w:w="2632" w:type="pct"/>
                  <w:tcBorders>
                    <w:left w:val="nil"/>
                    <w:right w:val="nil"/>
                  </w:tcBorders>
                </w:tcPr>
                <w:p w14:paraId="6DD2D24A" w14:textId="77777777" w:rsidR="009D00F4" w:rsidRPr="00257FB3" w:rsidRDefault="009D00F4" w:rsidP="00654418">
                  <w:pPr>
                    <w:framePr w:hSpace="141" w:wrap="around" w:hAnchor="margin" w:xAlign="center" w:y="-1415"/>
                    <w:rPr>
                      <w:sz w:val="16"/>
                      <w:szCs w:val="16"/>
                    </w:rPr>
                  </w:pPr>
                  <w:r w:rsidRPr="00257FB3">
                    <w:rPr>
                      <w:sz w:val="16"/>
                      <w:szCs w:val="16"/>
                    </w:rPr>
                    <w:lastRenderedPageBreak/>
                    <w:t>odparené percento do 150 °C</w:t>
                  </w:r>
                </w:p>
              </w:tc>
              <w:tc>
                <w:tcPr>
                  <w:tcW w:w="655" w:type="pct"/>
                  <w:vMerge/>
                  <w:tcBorders>
                    <w:left w:val="single" w:sz="2" w:space="0" w:color="auto"/>
                    <w:right w:val="single" w:sz="2" w:space="0" w:color="auto"/>
                  </w:tcBorders>
                </w:tcPr>
                <w:p w14:paraId="4BDA42D0" w14:textId="77777777" w:rsidR="009D00F4" w:rsidRPr="00257FB3" w:rsidRDefault="009D00F4" w:rsidP="00654418">
                  <w:pPr>
                    <w:framePr w:hSpace="141" w:wrap="around" w:hAnchor="margin" w:xAlign="center" w:y="-1415"/>
                    <w:jc w:val="center"/>
                    <w:rPr>
                      <w:sz w:val="16"/>
                      <w:szCs w:val="16"/>
                    </w:rPr>
                  </w:pPr>
                </w:p>
              </w:tc>
              <w:tc>
                <w:tcPr>
                  <w:tcW w:w="772" w:type="pct"/>
                  <w:tcBorders>
                    <w:left w:val="nil"/>
                    <w:right w:val="nil"/>
                  </w:tcBorders>
                </w:tcPr>
                <w:p w14:paraId="0F420EFD" w14:textId="77777777" w:rsidR="009D00F4" w:rsidRPr="00257FB3" w:rsidRDefault="009D00F4" w:rsidP="00654418">
                  <w:pPr>
                    <w:framePr w:hSpace="141" w:wrap="around" w:hAnchor="margin" w:xAlign="center" w:y="-1415"/>
                    <w:jc w:val="center"/>
                    <w:rPr>
                      <w:sz w:val="16"/>
                      <w:szCs w:val="16"/>
                    </w:rPr>
                  </w:pPr>
                  <w:r w:rsidRPr="00257FB3">
                    <w:rPr>
                      <w:sz w:val="16"/>
                      <w:szCs w:val="16"/>
                    </w:rPr>
                    <w:t>75,0</w:t>
                  </w:r>
                </w:p>
              </w:tc>
              <w:tc>
                <w:tcPr>
                  <w:tcW w:w="941" w:type="pct"/>
                  <w:tcBorders>
                    <w:left w:val="single" w:sz="2" w:space="0" w:color="auto"/>
                    <w:right w:val="single" w:sz="2" w:space="0" w:color="auto"/>
                  </w:tcBorders>
                </w:tcPr>
                <w:p w14:paraId="7445C930" w14:textId="77777777" w:rsidR="009D00F4" w:rsidRPr="00257FB3" w:rsidRDefault="009D00F4" w:rsidP="00654418">
                  <w:pPr>
                    <w:framePr w:hSpace="141" w:wrap="around" w:hAnchor="margin" w:xAlign="center" w:y="-1415"/>
                    <w:spacing w:after="240"/>
                    <w:jc w:val="center"/>
                    <w:rPr>
                      <w:sz w:val="16"/>
                      <w:szCs w:val="16"/>
                    </w:rPr>
                  </w:pPr>
                </w:p>
              </w:tc>
            </w:tr>
            <w:tr w:rsidR="009D00F4" w:rsidRPr="00257FB3" w14:paraId="4E0A1F69" w14:textId="77777777" w:rsidTr="0017306B">
              <w:trPr>
                <w:trHeight w:val="356"/>
                <w:tblCellSpacing w:w="0" w:type="dxa"/>
                <w:jc w:val="center"/>
              </w:trPr>
              <w:tc>
                <w:tcPr>
                  <w:tcW w:w="5000" w:type="pct"/>
                  <w:gridSpan w:val="4"/>
                  <w:tcBorders>
                    <w:left w:val="nil"/>
                    <w:right w:val="single" w:sz="2" w:space="0" w:color="auto"/>
                  </w:tcBorders>
                </w:tcPr>
                <w:p w14:paraId="35E5DADD" w14:textId="77777777" w:rsidR="009D00F4" w:rsidRPr="00257FB3" w:rsidRDefault="009D00F4" w:rsidP="00654418">
                  <w:pPr>
                    <w:framePr w:hSpace="141" w:wrap="around" w:hAnchor="margin" w:xAlign="center" w:y="-1415"/>
                    <w:spacing w:after="240"/>
                    <w:rPr>
                      <w:sz w:val="16"/>
                      <w:szCs w:val="16"/>
                    </w:rPr>
                  </w:pPr>
                  <w:r w:rsidRPr="00257FB3">
                    <w:rPr>
                      <w:sz w:val="16"/>
                      <w:szCs w:val="16"/>
                    </w:rPr>
                    <w:t>Obsah uhľovodíkových skupín:</w:t>
                  </w:r>
                </w:p>
              </w:tc>
            </w:tr>
            <w:tr w:rsidR="009D00F4" w:rsidRPr="00257FB3" w14:paraId="40E1E8CA" w14:textId="77777777" w:rsidTr="0017306B">
              <w:trPr>
                <w:trHeight w:val="398"/>
                <w:tblCellSpacing w:w="0" w:type="dxa"/>
                <w:jc w:val="center"/>
              </w:trPr>
              <w:tc>
                <w:tcPr>
                  <w:tcW w:w="2632" w:type="pct"/>
                  <w:tcBorders>
                    <w:left w:val="nil"/>
                    <w:right w:val="nil"/>
                  </w:tcBorders>
                </w:tcPr>
                <w:p w14:paraId="7563D1CA"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olefíny</w:t>
                  </w:r>
                  <w:proofErr w:type="spellEnd"/>
                </w:p>
              </w:tc>
              <w:tc>
                <w:tcPr>
                  <w:tcW w:w="655" w:type="pct"/>
                  <w:vMerge w:val="restart"/>
                  <w:tcBorders>
                    <w:left w:val="single" w:sz="2" w:space="0" w:color="auto"/>
                    <w:right w:val="nil"/>
                  </w:tcBorders>
                  <w:vAlign w:val="center"/>
                </w:tcPr>
                <w:p w14:paraId="117419A3" w14:textId="77777777" w:rsidR="009D00F4" w:rsidRPr="00257FB3" w:rsidRDefault="009D00F4" w:rsidP="00654418">
                  <w:pPr>
                    <w:framePr w:hSpace="141" w:wrap="around" w:hAnchor="margin" w:xAlign="center" w:y="-1415"/>
                    <w:jc w:val="center"/>
                    <w:rPr>
                      <w:sz w:val="16"/>
                      <w:szCs w:val="16"/>
                    </w:rPr>
                  </w:pPr>
                  <w:r w:rsidRPr="00257FB3">
                    <w:rPr>
                      <w:sz w:val="16"/>
                      <w:szCs w:val="16"/>
                    </w:rPr>
                    <w:t>% objemu</w:t>
                  </w:r>
                </w:p>
              </w:tc>
              <w:tc>
                <w:tcPr>
                  <w:tcW w:w="772" w:type="pct"/>
                  <w:tcBorders>
                    <w:left w:val="single" w:sz="2" w:space="0" w:color="auto"/>
                    <w:right w:val="single" w:sz="2" w:space="0" w:color="auto"/>
                  </w:tcBorders>
                </w:tcPr>
                <w:p w14:paraId="2E084161"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right w:val="nil"/>
                  </w:tcBorders>
                </w:tcPr>
                <w:p w14:paraId="0DC104CD" w14:textId="77777777" w:rsidR="009D00F4" w:rsidRPr="00257FB3" w:rsidRDefault="009D00F4" w:rsidP="00654418">
                  <w:pPr>
                    <w:framePr w:hSpace="141" w:wrap="around" w:hAnchor="margin" w:xAlign="center" w:y="-1415"/>
                    <w:jc w:val="center"/>
                    <w:rPr>
                      <w:sz w:val="16"/>
                      <w:szCs w:val="16"/>
                    </w:rPr>
                  </w:pPr>
                  <w:r w:rsidRPr="00257FB3">
                    <w:rPr>
                      <w:sz w:val="16"/>
                      <w:szCs w:val="16"/>
                    </w:rPr>
                    <w:t>18,0</w:t>
                  </w:r>
                </w:p>
              </w:tc>
            </w:tr>
            <w:tr w:rsidR="009D00F4" w:rsidRPr="00257FB3" w14:paraId="183B93EF" w14:textId="77777777" w:rsidTr="0017306B">
              <w:trPr>
                <w:trHeight w:val="378"/>
                <w:tblCellSpacing w:w="0" w:type="dxa"/>
                <w:jc w:val="center"/>
              </w:trPr>
              <w:tc>
                <w:tcPr>
                  <w:tcW w:w="2632" w:type="pct"/>
                  <w:tcBorders>
                    <w:top w:val="single" w:sz="2" w:space="0" w:color="auto"/>
                    <w:left w:val="nil"/>
                    <w:right w:val="nil"/>
                  </w:tcBorders>
                </w:tcPr>
                <w:p w14:paraId="35AC6FB1"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aromáty</w:t>
                  </w:r>
                  <w:proofErr w:type="spellEnd"/>
                </w:p>
              </w:tc>
              <w:tc>
                <w:tcPr>
                  <w:tcW w:w="655" w:type="pct"/>
                  <w:vMerge/>
                  <w:tcBorders>
                    <w:top w:val="single" w:sz="2" w:space="0" w:color="auto"/>
                    <w:left w:val="single" w:sz="2" w:space="0" w:color="auto"/>
                    <w:right w:val="nil"/>
                  </w:tcBorders>
                </w:tcPr>
                <w:p w14:paraId="334598C4" w14:textId="77777777" w:rsidR="009D00F4" w:rsidRPr="00257FB3" w:rsidRDefault="009D00F4" w:rsidP="00654418">
                  <w:pPr>
                    <w:framePr w:hSpace="141" w:wrap="around" w:hAnchor="margin" w:xAlign="center" w:y="-1415"/>
                    <w:jc w:val="center"/>
                    <w:rPr>
                      <w:sz w:val="16"/>
                      <w:szCs w:val="16"/>
                    </w:rPr>
                  </w:pPr>
                </w:p>
              </w:tc>
              <w:tc>
                <w:tcPr>
                  <w:tcW w:w="772" w:type="pct"/>
                  <w:tcBorders>
                    <w:top w:val="single" w:sz="2" w:space="0" w:color="auto"/>
                    <w:left w:val="single" w:sz="2" w:space="0" w:color="auto"/>
                  </w:tcBorders>
                </w:tcPr>
                <w:p w14:paraId="10026B47"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top w:val="single" w:sz="2" w:space="0" w:color="auto"/>
                    <w:left w:val="nil"/>
                    <w:right w:val="nil"/>
                  </w:tcBorders>
                </w:tcPr>
                <w:p w14:paraId="47DA2EA0" w14:textId="77777777" w:rsidR="009D00F4" w:rsidRPr="00257FB3" w:rsidRDefault="009D00F4" w:rsidP="00654418">
                  <w:pPr>
                    <w:framePr w:hSpace="141" w:wrap="around" w:hAnchor="margin" w:xAlign="center" w:y="-1415"/>
                    <w:jc w:val="center"/>
                    <w:rPr>
                      <w:sz w:val="16"/>
                      <w:szCs w:val="16"/>
                    </w:rPr>
                  </w:pPr>
                  <w:r w:rsidRPr="00257FB3">
                    <w:rPr>
                      <w:sz w:val="16"/>
                      <w:szCs w:val="16"/>
                    </w:rPr>
                    <w:t>35,0</w:t>
                  </w:r>
                </w:p>
              </w:tc>
            </w:tr>
            <w:tr w:rsidR="009D00F4" w:rsidRPr="00257FB3" w14:paraId="1FCED53B" w14:textId="77777777" w:rsidTr="0017306B">
              <w:trPr>
                <w:trHeight w:val="372"/>
                <w:tblCellSpacing w:w="0" w:type="dxa"/>
                <w:jc w:val="center"/>
              </w:trPr>
              <w:tc>
                <w:tcPr>
                  <w:tcW w:w="2632" w:type="pct"/>
                  <w:tcBorders>
                    <w:top w:val="single" w:sz="2" w:space="0" w:color="auto"/>
                    <w:left w:val="nil"/>
                    <w:right w:val="nil"/>
                  </w:tcBorders>
                </w:tcPr>
                <w:p w14:paraId="40A6E934" w14:textId="77777777" w:rsidR="009D00F4" w:rsidRPr="00257FB3" w:rsidRDefault="009D00F4" w:rsidP="00654418">
                  <w:pPr>
                    <w:framePr w:hSpace="141" w:wrap="around" w:hAnchor="margin" w:xAlign="center" w:y="-1415"/>
                    <w:rPr>
                      <w:sz w:val="16"/>
                      <w:szCs w:val="16"/>
                    </w:rPr>
                  </w:pPr>
                  <w:r w:rsidRPr="00257FB3">
                    <w:rPr>
                      <w:sz w:val="16"/>
                      <w:szCs w:val="16"/>
                    </w:rPr>
                    <w:t>benzén</w:t>
                  </w:r>
                </w:p>
              </w:tc>
              <w:tc>
                <w:tcPr>
                  <w:tcW w:w="655" w:type="pct"/>
                  <w:vMerge/>
                  <w:tcBorders>
                    <w:top w:val="single" w:sz="2" w:space="0" w:color="auto"/>
                    <w:left w:val="single" w:sz="2" w:space="0" w:color="auto"/>
                    <w:right w:val="nil"/>
                  </w:tcBorders>
                </w:tcPr>
                <w:p w14:paraId="5E4D3E44" w14:textId="77777777" w:rsidR="009D00F4" w:rsidRPr="00257FB3" w:rsidRDefault="009D00F4" w:rsidP="00654418">
                  <w:pPr>
                    <w:framePr w:hSpace="141" w:wrap="around" w:hAnchor="margin" w:xAlign="center" w:y="-1415"/>
                    <w:jc w:val="center"/>
                    <w:rPr>
                      <w:sz w:val="16"/>
                      <w:szCs w:val="16"/>
                    </w:rPr>
                  </w:pPr>
                </w:p>
              </w:tc>
              <w:tc>
                <w:tcPr>
                  <w:tcW w:w="772" w:type="pct"/>
                  <w:tcBorders>
                    <w:top w:val="single" w:sz="2" w:space="0" w:color="auto"/>
                    <w:left w:val="single" w:sz="2" w:space="0" w:color="auto"/>
                  </w:tcBorders>
                </w:tcPr>
                <w:p w14:paraId="545A9064"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top w:val="single" w:sz="2" w:space="0" w:color="auto"/>
                    <w:left w:val="nil"/>
                    <w:right w:val="nil"/>
                  </w:tcBorders>
                </w:tcPr>
                <w:p w14:paraId="3162366E" w14:textId="77777777" w:rsidR="009D00F4" w:rsidRPr="00257FB3" w:rsidRDefault="009D00F4" w:rsidP="00654418">
                  <w:pPr>
                    <w:framePr w:hSpace="141" w:wrap="around" w:hAnchor="margin" w:xAlign="center" w:y="-1415"/>
                    <w:jc w:val="center"/>
                    <w:rPr>
                      <w:sz w:val="16"/>
                      <w:szCs w:val="16"/>
                    </w:rPr>
                  </w:pPr>
                  <w:r w:rsidRPr="00257FB3">
                    <w:rPr>
                      <w:sz w:val="16"/>
                      <w:szCs w:val="16"/>
                    </w:rPr>
                    <w:t>1,0</w:t>
                  </w:r>
                </w:p>
              </w:tc>
            </w:tr>
            <w:tr w:rsidR="009D00F4" w:rsidRPr="00257FB3" w14:paraId="2A59940A" w14:textId="77777777" w:rsidTr="0017306B">
              <w:trPr>
                <w:tblCellSpacing w:w="0" w:type="dxa"/>
                <w:jc w:val="center"/>
              </w:trPr>
              <w:tc>
                <w:tcPr>
                  <w:tcW w:w="2632" w:type="pct"/>
                  <w:tcBorders>
                    <w:left w:val="nil"/>
                    <w:bottom w:val="nil"/>
                    <w:right w:val="nil"/>
                  </w:tcBorders>
                </w:tcPr>
                <w:p w14:paraId="5CD705E8" w14:textId="77777777" w:rsidR="009D00F4" w:rsidRPr="00257FB3" w:rsidRDefault="009D00F4" w:rsidP="00654418">
                  <w:pPr>
                    <w:framePr w:hSpace="141" w:wrap="around" w:hAnchor="margin" w:xAlign="center" w:y="-1415"/>
                    <w:rPr>
                      <w:sz w:val="16"/>
                      <w:szCs w:val="16"/>
                    </w:rPr>
                  </w:pPr>
                  <w:r w:rsidRPr="00257FB3">
                    <w:rPr>
                      <w:sz w:val="16"/>
                      <w:szCs w:val="16"/>
                    </w:rPr>
                    <w:t>Obsah kyslíka</w:t>
                  </w:r>
                </w:p>
              </w:tc>
              <w:tc>
                <w:tcPr>
                  <w:tcW w:w="655" w:type="pct"/>
                  <w:tcBorders>
                    <w:bottom w:val="nil"/>
                  </w:tcBorders>
                </w:tcPr>
                <w:p w14:paraId="400A8E71" w14:textId="77777777" w:rsidR="009D00F4" w:rsidRPr="00257FB3" w:rsidRDefault="009D00F4" w:rsidP="00654418">
                  <w:pPr>
                    <w:framePr w:hSpace="141" w:wrap="around" w:hAnchor="margin" w:xAlign="center" w:y="-1415"/>
                    <w:jc w:val="center"/>
                    <w:rPr>
                      <w:sz w:val="16"/>
                      <w:szCs w:val="16"/>
                    </w:rPr>
                  </w:pPr>
                  <w:r w:rsidRPr="00257FB3">
                    <w:rPr>
                      <w:sz w:val="16"/>
                      <w:szCs w:val="16"/>
                    </w:rPr>
                    <w:t>% hmotnosti</w:t>
                  </w:r>
                </w:p>
              </w:tc>
              <w:tc>
                <w:tcPr>
                  <w:tcW w:w="772" w:type="pct"/>
                  <w:tcBorders>
                    <w:left w:val="nil"/>
                    <w:bottom w:val="nil"/>
                  </w:tcBorders>
                </w:tcPr>
                <w:p w14:paraId="700753DF" w14:textId="77777777" w:rsidR="009D00F4" w:rsidRPr="00257FB3" w:rsidRDefault="009D00F4" w:rsidP="00654418">
                  <w:pPr>
                    <w:framePr w:hSpace="141" w:wrap="around" w:hAnchor="margin" w:xAlign="center" w:y="-1415"/>
                    <w:jc w:val="center"/>
                    <w:rPr>
                      <w:sz w:val="16"/>
                      <w:szCs w:val="16"/>
                    </w:rPr>
                  </w:pPr>
                </w:p>
              </w:tc>
              <w:tc>
                <w:tcPr>
                  <w:tcW w:w="941" w:type="pct"/>
                  <w:tcBorders>
                    <w:left w:val="nil"/>
                    <w:bottom w:val="nil"/>
                    <w:right w:val="nil"/>
                  </w:tcBorders>
                </w:tcPr>
                <w:p w14:paraId="64299582" w14:textId="77777777" w:rsidR="009D00F4" w:rsidRPr="00257FB3" w:rsidRDefault="009D00F4" w:rsidP="00654418">
                  <w:pPr>
                    <w:framePr w:hSpace="141" w:wrap="around" w:hAnchor="margin" w:xAlign="center" w:y="-1415"/>
                    <w:jc w:val="center"/>
                    <w:rPr>
                      <w:sz w:val="16"/>
                      <w:szCs w:val="16"/>
                    </w:rPr>
                  </w:pPr>
                  <w:r w:rsidRPr="00257FB3">
                    <w:rPr>
                      <w:sz w:val="16"/>
                      <w:szCs w:val="16"/>
                    </w:rPr>
                    <w:t>3,7</w:t>
                  </w:r>
                </w:p>
              </w:tc>
            </w:tr>
            <w:tr w:rsidR="009D00F4" w:rsidRPr="00257FB3" w14:paraId="5BF1417C" w14:textId="77777777" w:rsidTr="0017306B">
              <w:trPr>
                <w:tblCellSpacing w:w="0" w:type="dxa"/>
                <w:jc w:val="center"/>
              </w:trPr>
              <w:tc>
                <w:tcPr>
                  <w:tcW w:w="5000" w:type="pct"/>
                  <w:gridSpan w:val="4"/>
                  <w:tcBorders>
                    <w:left w:val="nil"/>
                    <w:bottom w:val="nil"/>
                    <w:right w:val="nil"/>
                  </w:tcBorders>
                </w:tcPr>
                <w:p w14:paraId="4991081E" w14:textId="77777777" w:rsidR="009D00F4" w:rsidRPr="00257FB3" w:rsidRDefault="009D00F4" w:rsidP="00654418">
                  <w:pPr>
                    <w:framePr w:hSpace="141" w:wrap="around" w:hAnchor="margin" w:xAlign="center" w:y="-1415"/>
                    <w:rPr>
                      <w:sz w:val="16"/>
                      <w:szCs w:val="16"/>
                    </w:rPr>
                  </w:pPr>
                  <w:r w:rsidRPr="00257FB3">
                    <w:rPr>
                      <w:sz w:val="16"/>
                      <w:szCs w:val="16"/>
                    </w:rPr>
                    <w:t>Obsah kyslíkatých zlúčenín:</w:t>
                  </w:r>
                </w:p>
              </w:tc>
            </w:tr>
            <w:tr w:rsidR="009D00F4" w:rsidRPr="00257FB3" w14:paraId="78BA0CDB" w14:textId="77777777" w:rsidTr="0017306B">
              <w:trPr>
                <w:cantSplit/>
                <w:tblCellSpacing w:w="0" w:type="dxa"/>
                <w:jc w:val="center"/>
              </w:trPr>
              <w:tc>
                <w:tcPr>
                  <w:tcW w:w="2632" w:type="pct"/>
                  <w:tcBorders>
                    <w:left w:val="nil"/>
                    <w:bottom w:val="single" w:sz="2" w:space="0" w:color="auto"/>
                    <w:right w:val="nil"/>
                  </w:tcBorders>
                </w:tcPr>
                <w:p w14:paraId="516A230A"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metanol</w:t>
                  </w:r>
                  <w:proofErr w:type="spellEnd"/>
                </w:p>
              </w:tc>
              <w:tc>
                <w:tcPr>
                  <w:tcW w:w="655" w:type="pct"/>
                  <w:vMerge w:val="restart"/>
                  <w:tcBorders>
                    <w:left w:val="single" w:sz="2" w:space="0" w:color="auto"/>
                    <w:right w:val="nil"/>
                  </w:tcBorders>
                  <w:vAlign w:val="center"/>
                </w:tcPr>
                <w:p w14:paraId="6FCF0D2C" w14:textId="77777777" w:rsidR="009D00F4" w:rsidRPr="00257FB3" w:rsidRDefault="009D00F4" w:rsidP="00654418">
                  <w:pPr>
                    <w:framePr w:hSpace="141" w:wrap="around" w:hAnchor="margin" w:xAlign="center" w:y="-1415"/>
                    <w:jc w:val="center"/>
                    <w:rPr>
                      <w:sz w:val="16"/>
                      <w:szCs w:val="16"/>
                    </w:rPr>
                  </w:pPr>
                  <w:r w:rsidRPr="00257FB3">
                    <w:rPr>
                      <w:sz w:val="16"/>
                      <w:szCs w:val="16"/>
                    </w:rPr>
                    <w:t>% objemu</w:t>
                  </w:r>
                </w:p>
              </w:tc>
              <w:tc>
                <w:tcPr>
                  <w:tcW w:w="772" w:type="pct"/>
                  <w:tcBorders>
                    <w:left w:val="single" w:sz="2" w:space="0" w:color="auto"/>
                    <w:bottom w:val="single" w:sz="2" w:space="0" w:color="auto"/>
                    <w:right w:val="single" w:sz="2" w:space="0" w:color="auto"/>
                  </w:tcBorders>
                </w:tcPr>
                <w:p w14:paraId="75394951"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bottom w:val="single" w:sz="2" w:space="0" w:color="auto"/>
                    <w:right w:val="nil"/>
                  </w:tcBorders>
                </w:tcPr>
                <w:p w14:paraId="31BE9DD7" w14:textId="77777777" w:rsidR="009D00F4" w:rsidRPr="00257FB3" w:rsidRDefault="009D00F4" w:rsidP="00654418">
                  <w:pPr>
                    <w:framePr w:hSpace="141" w:wrap="around" w:hAnchor="margin" w:xAlign="center" w:y="-1415"/>
                    <w:jc w:val="center"/>
                    <w:rPr>
                      <w:sz w:val="16"/>
                      <w:szCs w:val="16"/>
                    </w:rPr>
                  </w:pPr>
                  <w:r w:rsidRPr="00257FB3">
                    <w:rPr>
                      <w:sz w:val="16"/>
                      <w:szCs w:val="16"/>
                    </w:rPr>
                    <w:t>3,0</w:t>
                  </w:r>
                </w:p>
              </w:tc>
            </w:tr>
            <w:tr w:rsidR="009D00F4" w:rsidRPr="00257FB3" w14:paraId="6B6C1D09" w14:textId="77777777" w:rsidTr="0017306B">
              <w:trPr>
                <w:cantSplit/>
                <w:tblCellSpacing w:w="0" w:type="dxa"/>
                <w:jc w:val="center"/>
              </w:trPr>
              <w:tc>
                <w:tcPr>
                  <w:tcW w:w="2632" w:type="pct"/>
                  <w:tcBorders>
                    <w:left w:val="nil"/>
                    <w:bottom w:val="single" w:sz="2" w:space="0" w:color="auto"/>
                    <w:right w:val="nil"/>
                  </w:tcBorders>
                </w:tcPr>
                <w:p w14:paraId="148C1FE7" w14:textId="77777777" w:rsidR="009D00F4" w:rsidRPr="00257FB3" w:rsidRDefault="009D00F4" w:rsidP="00654418">
                  <w:pPr>
                    <w:framePr w:hSpace="141" w:wrap="around" w:hAnchor="margin" w:xAlign="center" w:y="-1415"/>
                    <w:rPr>
                      <w:sz w:val="16"/>
                      <w:szCs w:val="16"/>
                    </w:rPr>
                  </w:pPr>
                  <w:r w:rsidRPr="00257FB3">
                    <w:rPr>
                      <w:sz w:val="16"/>
                      <w:szCs w:val="16"/>
                    </w:rPr>
                    <w:t>etanol (môžu sa pridať stabilizátory)</w:t>
                  </w:r>
                </w:p>
              </w:tc>
              <w:tc>
                <w:tcPr>
                  <w:tcW w:w="655" w:type="pct"/>
                  <w:vMerge/>
                  <w:tcBorders>
                    <w:top w:val="single" w:sz="2" w:space="0" w:color="auto"/>
                    <w:left w:val="single" w:sz="2" w:space="0" w:color="auto"/>
                    <w:right w:val="nil"/>
                  </w:tcBorders>
                </w:tcPr>
                <w:p w14:paraId="5EB09B96"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2" w:space="0" w:color="auto"/>
                    <w:bottom w:val="single" w:sz="2" w:space="0" w:color="auto"/>
                  </w:tcBorders>
                </w:tcPr>
                <w:p w14:paraId="384DABF3"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bottom w:val="single" w:sz="2" w:space="0" w:color="auto"/>
                    <w:right w:val="nil"/>
                  </w:tcBorders>
                </w:tcPr>
                <w:p w14:paraId="16CA56AE" w14:textId="77777777" w:rsidR="009D00F4" w:rsidRPr="00257FB3" w:rsidRDefault="009D00F4" w:rsidP="00654418">
                  <w:pPr>
                    <w:framePr w:hSpace="141" w:wrap="around" w:hAnchor="margin" w:xAlign="center" w:y="-1415"/>
                    <w:jc w:val="center"/>
                    <w:rPr>
                      <w:sz w:val="16"/>
                      <w:szCs w:val="16"/>
                    </w:rPr>
                  </w:pPr>
                  <w:r w:rsidRPr="00257FB3">
                    <w:rPr>
                      <w:sz w:val="16"/>
                      <w:szCs w:val="16"/>
                    </w:rPr>
                    <w:t>10,0</w:t>
                  </w:r>
                </w:p>
              </w:tc>
            </w:tr>
            <w:tr w:rsidR="009D00F4" w:rsidRPr="00257FB3" w14:paraId="708CCCBC" w14:textId="77777777" w:rsidTr="0017306B">
              <w:trPr>
                <w:trHeight w:val="297"/>
                <w:tblCellSpacing w:w="0" w:type="dxa"/>
                <w:jc w:val="center"/>
              </w:trPr>
              <w:tc>
                <w:tcPr>
                  <w:tcW w:w="2632" w:type="pct"/>
                  <w:tcBorders>
                    <w:left w:val="nil"/>
                    <w:bottom w:val="single" w:sz="2" w:space="0" w:color="auto"/>
                    <w:right w:val="nil"/>
                  </w:tcBorders>
                </w:tcPr>
                <w:p w14:paraId="2DA2DB94"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izo-propylalkohol</w:t>
                  </w:r>
                  <w:proofErr w:type="spellEnd"/>
                </w:p>
              </w:tc>
              <w:tc>
                <w:tcPr>
                  <w:tcW w:w="655" w:type="pct"/>
                  <w:vMerge/>
                  <w:tcBorders>
                    <w:top w:val="single" w:sz="2" w:space="0" w:color="auto"/>
                    <w:left w:val="single" w:sz="2" w:space="0" w:color="auto"/>
                    <w:right w:val="nil"/>
                  </w:tcBorders>
                </w:tcPr>
                <w:p w14:paraId="5BCE999A"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2" w:space="0" w:color="auto"/>
                    <w:bottom w:val="single" w:sz="2" w:space="0" w:color="auto"/>
                  </w:tcBorders>
                </w:tcPr>
                <w:p w14:paraId="1FE784CF"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bottom w:val="single" w:sz="2" w:space="0" w:color="auto"/>
                    <w:right w:val="nil"/>
                  </w:tcBorders>
                </w:tcPr>
                <w:p w14:paraId="0FDEC734" w14:textId="77777777" w:rsidR="009D00F4" w:rsidRPr="00257FB3" w:rsidRDefault="009D00F4" w:rsidP="00654418">
                  <w:pPr>
                    <w:framePr w:hSpace="141" w:wrap="around" w:hAnchor="margin" w:xAlign="center" w:y="-1415"/>
                    <w:jc w:val="center"/>
                    <w:rPr>
                      <w:sz w:val="16"/>
                      <w:szCs w:val="16"/>
                    </w:rPr>
                  </w:pPr>
                  <w:r w:rsidRPr="00257FB3">
                    <w:rPr>
                      <w:sz w:val="16"/>
                      <w:szCs w:val="16"/>
                    </w:rPr>
                    <w:t>12,0</w:t>
                  </w:r>
                </w:p>
              </w:tc>
            </w:tr>
            <w:tr w:rsidR="009D00F4" w:rsidRPr="00257FB3" w14:paraId="6CBD7C18" w14:textId="77777777" w:rsidTr="0017306B">
              <w:trPr>
                <w:trHeight w:val="475"/>
                <w:tblCellSpacing w:w="0" w:type="dxa"/>
                <w:jc w:val="center"/>
              </w:trPr>
              <w:tc>
                <w:tcPr>
                  <w:tcW w:w="2632" w:type="pct"/>
                  <w:tcBorders>
                    <w:left w:val="nil"/>
                    <w:bottom w:val="single" w:sz="2" w:space="0" w:color="auto"/>
                    <w:right w:val="nil"/>
                  </w:tcBorders>
                </w:tcPr>
                <w:p w14:paraId="64974700" w14:textId="77777777" w:rsidR="009D00F4" w:rsidRPr="00257FB3" w:rsidRDefault="009D00F4" w:rsidP="00654418">
                  <w:pPr>
                    <w:framePr w:hSpace="141" w:wrap="around" w:hAnchor="margin" w:xAlign="center" w:y="-1415"/>
                    <w:rPr>
                      <w:sz w:val="16"/>
                      <w:szCs w:val="16"/>
                    </w:rPr>
                  </w:pPr>
                  <w:r w:rsidRPr="00257FB3">
                    <w:rPr>
                      <w:sz w:val="16"/>
                      <w:szCs w:val="16"/>
                    </w:rPr>
                    <w:t>terc-</w:t>
                  </w:r>
                  <w:proofErr w:type="spellStart"/>
                  <w:r w:rsidRPr="00257FB3">
                    <w:rPr>
                      <w:sz w:val="16"/>
                      <w:szCs w:val="16"/>
                    </w:rPr>
                    <w:t>butylalkohol</w:t>
                  </w:r>
                  <w:proofErr w:type="spellEnd"/>
                </w:p>
              </w:tc>
              <w:tc>
                <w:tcPr>
                  <w:tcW w:w="655" w:type="pct"/>
                  <w:vMerge/>
                  <w:tcBorders>
                    <w:top w:val="single" w:sz="2" w:space="0" w:color="auto"/>
                    <w:left w:val="single" w:sz="2" w:space="0" w:color="auto"/>
                    <w:right w:val="nil"/>
                  </w:tcBorders>
                </w:tcPr>
                <w:p w14:paraId="1A8BAAD6"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2" w:space="0" w:color="auto"/>
                    <w:bottom w:val="single" w:sz="2" w:space="0" w:color="auto"/>
                  </w:tcBorders>
                </w:tcPr>
                <w:p w14:paraId="7B25936E"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bottom w:val="single" w:sz="2" w:space="0" w:color="auto"/>
                    <w:right w:val="nil"/>
                  </w:tcBorders>
                </w:tcPr>
                <w:p w14:paraId="6B95CBEF" w14:textId="77777777" w:rsidR="009D00F4" w:rsidRPr="00257FB3" w:rsidRDefault="009D00F4" w:rsidP="00654418">
                  <w:pPr>
                    <w:framePr w:hSpace="141" w:wrap="around" w:hAnchor="margin" w:xAlign="center" w:y="-1415"/>
                    <w:jc w:val="center"/>
                    <w:rPr>
                      <w:sz w:val="16"/>
                      <w:szCs w:val="16"/>
                    </w:rPr>
                  </w:pPr>
                  <w:r w:rsidRPr="00257FB3">
                    <w:rPr>
                      <w:sz w:val="16"/>
                      <w:szCs w:val="16"/>
                    </w:rPr>
                    <w:t>15,0</w:t>
                  </w:r>
                </w:p>
              </w:tc>
            </w:tr>
            <w:tr w:rsidR="009D00F4" w:rsidRPr="00257FB3" w14:paraId="3A0D11F2" w14:textId="77777777" w:rsidTr="0017306B">
              <w:trPr>
                <w:trHeight w:val="355"/>
                <w:tblCellSpacing w:w="0" w:type="dxa"/>
                <w:jc w:val="center"/>
              </w:trPr>
              <w:tc>
                <w:tcPr>
                  <w:tcW w:w="2632" w:type="pct"/>
                  <w:tcBorders>
                    <w:left w:val="nil"/>
                    <w:right w:val="nil"/>
                  </w:tcBorders>
                </w:tcPr>
                <w:p w14:paraId="3C4E90B1"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izo-butylalkohol</w:t>
                  </w:r>
                  <w:proofErr w:type="spellEnd"/>
                </w:p>
              </w:tc>
              <w:tc>
                <w:tcPr>
                  <w:tcW w:w="655" w:type="pct"/>
                  <w:vMerge/>
                  <w:tcBorders>
                    <w:top w:val="single" w:sz="2" w:space="0" w:color="auto"/>
                    <w:left w:val="single" w:sz="2" w:space="0" w:color="auto"/>
                    <w:right w:val="nil"/>
                  </w:tcBorders>
                </w:tcPr>
                <w:p w14:paraId="2D11A667"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2" w:space="0" w:color="auto"/>
                    <w:right w:val="single" w:sz="2" w:space="0" w:color="auto"/>
                  </w:tcBorders>
                </w:tcPr>
                <w:p w14:paraId="19297791"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left w:val="nil"/>
                    <w:right w:val="nil"/>
                  </w:tcBorders>
                </w:tcPr>
                <w:p w14:paraId="66DCA75A" w14:textId="77777777" w:rsidR="009D00F4" w:rsidRPr="00257FB3" w:rsidRDefault="009D00F4" w:rsidP="00654418">
                  <w:pPr>
                    <w:framePr w:hSpace="141" w:wrap="around" w:hAnchor="margin" w:xAlign="center" w:y="-1415"/>
                    <w:jc w:val="center"/>
                    <w:rPr>
                      <w:sz w:val="16"/>
                      <w:szCs w:val="16"/>
                    </w:rPr>
                  </w:pPr>
                  <w:r w:rsidRPr="00257FB3">
                    <w:rPr>
                      <w:sz w:val="16"/>
                      <w:szCs w:val="16"/>
                    </w:rPr>
                    <w:t>15,0</w:t>
                  </w:r>
                </w:p>
              </w:tc>
            </w:tr>
            <w:tr w:rsidR="009D00F4" w:rsidRPr="00257FB3" w14:paraId="6C203958" w14:textId="77777777" w:rsidTr="0017306B">
              <w:trPr>
                <w:tblCellSpacing w:w="0" w:type="dxa"/>
                <w:jc w:val="center"/>
              </w:trPr>
              <w:tc>
                <w:tcPr>
                  <w:tcW w:w="2632" w:type="pct"/>
                  <w:tcBorders>
                    <w:left w:val="nil"/>
                    <w:bottom w:val="nil"/>
                    <w:right w:val="nil"/>
                  </w:tcBorders>
                </w:tcPr>
                <w:p w14:paraId="22763A1F" w14:textId="77777777" w:rsidR="009D00F4" w:rsidRPr="00257FB3" w:rsidRDefault="009D00F4" w:rsidP="00654418">
                  <w:pPr>
                    <w:framePr w:hSpace="141" w:wrap="around" w:hAnchor="margin" w:xAlign="center" w:y="-1415"/>
                    <w:rPr>
                      <w:sz w:val="16"/>
                      <w:szCs w:val="16"/>
                    </w:rPr>
                  </w:pPr>
                  <w:r w:rsidRPr="00257FB3">
                    <w:rPr>
                      <w:sz w:val="16"/>
                      <w:szCs w:val="16"/>
                    </w:rPr>
                    <w:t>étery, obsahujúce 5 a viac atómov uhlíka v molekule</w:t>
                  </w:r>
                </w:p>
              </w:tc>
              <w:tc>
                <w:tcPr>
                  <w:tcW w:w="655" w:type="pct"/>
                  <w:vMerge/>
                  <w:tcBorders>
                    <w:top w:val="single" w:sz="2" w:space="0" w:color="auto"/>
                    <w:left w:val="single" w:sz="2" w:space="0" w:color="auto"/>
                    <w:right w:val="nil"/>
                  </w:tcBorders>
                </w:tcPr>
                <w:p w14:paraId="2CA07C7F" w14:textId="77777777" w:rsidR="009D00F4" w:rsidRPr="00257FB3" w:rsidRDefault="009D00F4" w:rsidP="00654418">
                  <w:pPr>
                    <w:framePr w:hSpace="141" w:wrap="around" w:hAnchor="margin" w:xAlign="center" w:y="-1415"/>
                    <w:jc w:val="center"/>
                    <w:rPr>
                      <w:sz w:val="16"/>
                      <w:szCs w:val="16"/>
                    </w:rPr>
                  </w:pPr>
                </w:p>
              </w:tc>
              <w:tc>
                <w:tcPr>
                  <w:tcW w:w="772" w:type="pct"/>
                  <w:tcBorders>
                    <w:left w:val="single" w:sz="4" w:space="0" w:color="auto"/>
                    <w:right w:val="nil"/>
                  </w:tcBorders>
                </w:tcPr>
                <w:p w14:paraId="23D4E7AF" w14:textId="77777777" w:rsidR="009D00F4" w:rsidRPr="00257FB3" w:rsidRDefault="009D00F4" w:rsidP="00654418">
                  <w:pPr>
                    <w:framePr w:hSpace="141" w:wrap="around" w:hAnchor="margin" w:xAlign="center" w:y="-1415"/>
                    <w:spacing w:after="240"/>
                    <w:jc w:val="center"/>
                    <w:rPr>
                      <w:sz w:val="16"/>
                      <w:szCs w:val="16"/>
                    </w:rPr>
                  </w:pPr>
                </w:p>
              </w:tc>
              <w:tc>
                <w:tcPr>
                  <w:tcW w:w="941" w:type="pct"/>
                  <w:tcBorders>
                    <w:right w:val="single" w:sz="2" w:space="0" w:color="auto"/>
                  </w:tcBorders>
                </w:tcPr>
                <w:p w14:paraId="39C8EC5B" w14:textId="77777777" w:rsidR="009D00F4" w:rsidRPr="00257FB3" w:rsidRDefault="009D00F4" w:rsidP="00654418">
                  <w:pPr>
                    <w:framePr w:hSpace="141" w:wrap="around" w:hAnchor="margin" w:xAlign="center" w:y="-1415"/>
                    <w:jc w:val="center"/>
                    <w:rPr>
                      <w:sz w:val="16"/>
                      <w:szCs w:val="16"/>
                    </w:rPr>
                  </w:pPr>
                  <w:r w:rsidRPr="00257FB3">
                    <w:rPr>
                      <w:sz w:val="16"/>
                      <w:szCs w:val="16"/>
                    </w:rPr>
                    <w:t>22,0</w:t>
                  </w:r>
                </w:p>
              </w:tc>
            </w:tr>
            <w:tr w:rsidR="009D00F4" w:rsidRPr="00257FB3" w14:paraId="65B31B5F" w14:textId="77777777" w:rsidTr="0017306B">
              <w:trPr>
                <w:tblCellSpacing w:w="0" w:type="dxa"/>
                <w:jc w:val="center"/>
              </w:trPr>
              <w:tc>
                <w:tcPr>
                  <w:tcW w:w="2632" w:type="pct"/>
                  <w:tcBorders>
                    <w:left w:val="nil"/>
                    <w:bottom w:val="nil"/>
                    <w:right w:val="nil"/>
                  </w:tcBorders>
                </w:tcPr>
                <w:p w14:paraId="2B44E074" w14:textId="77777777" w:rsidR="009D00F4" w:rsidRPr="00257FB3" w:rsidRDefault="009D00F4" w:rsidP="00654418">
                  <w:pPr>
                    <w:framePr w:hSpace="141" w:wrap="around" w:hAnchor="margin" w:xAlign="center" w:y="-1415"/>
                    <w:rPr>
                      <w:sz w:val="16"/>
                      <w:szCs w:val="16"/>
                    </w:rPr>
                  </w:pPr>
                  <w:r w:rsidRPr="00257FB3">
                    <w:rPr>
                      <w:sz w:val="16"/>
                      <w:szCs w:val="16"/>
                    </w:rPr>
                    <w:t xml:space="preserve">Iné kyslíkaté </w:t>
                  </w:r>
                  <w:proofErr w:type="spellStart"/>
                  <w:r w:rsidRPr="00257FB3">
                    <w:rPr>
                      <w:sz w:val="16"/>
                      <w:szCs w:val="16"/>
                    </w:rPr>
                    <w:t>zlúčeniny</w:t>
                  </w:r>
                  <w:r w:rsidRPr="00257FB3">
                    <w:rPr>
                      <w:sz w:val="16"/>
                      <w:szCs w:val="16"/>
                      <w:vertAlign w:val="superscript"/>
                    </w:rPr>
                    <w:t>d</w:t>
                  </w:r>
                  <w:proofErr w:type="spellEnd"/>
                  <w:r w:rsidRPr="00257FB3">
                    <w:rPr>
                      <w:sz w:val="16"/>
                      <w:szCs w:val="16"/>
                    </w:rPr>
                    <w:t>)</w:t>
                  </w:r>
                </w:p>
              </w:tc>
              <w:tc>
                <w:tcPr>
                  <w:tcW w:w="655" w:type="pct"/>
                  <w:tcBorders>
                    <w:right w:val="nil"/>
                  </w:tcBorders>
                  <w:vAlign w:val="center"/>
                </w:tcPr>
                <w:p w14:paraId="0C6382CF" w14:textId="77777777" w:rsidR="009D00F4" w:rsidRPr="00257FB3" w:rsidRDefault="009D00F4" w:rsidP="00654418">
                  <w:pPr>
                    <w:framePr w:hSpace="141" w:wrap="around" w:hAnchor="margin" w:xAlign="center" w:y="-1415"/>
                    <w:jc w:val="center"/>
                    <w:rPr>
                      <w:sz w:val="16"/>
                      <w:szCs w:val="16"/>
                    </w:rPr>
                  </w:pPr>
                  <w:r w:rsidRPr="00257FB3">
                    <w:rPr>
                      <w:sz w:val="16"/>
                      <w:szCs w:val="16"/>
                    </w:rPr>
                    <w:t>% objemu</w:t>
                  </w:r>
                </w:p>
              </w:tc>
              <w:tc>
                <w:tcPr>
                  <w:tcW w:w="772" w:type="pct"/>
                  <w:tcBorders>
                    <w:left w:val="single" w:sz="4" w:space="0" w:color="auto"/>
                    <w:right w:val="nil"/>
                  </w:tcBorders>
                  <w:vAlign w:val="center"/>
                </w:tcPr>
                <w:p w14:paraId="609DE94F" w14:textId="77777777" w:rsidR="009D00F4" w:rsidRPr="00257FB3" w:rsidRDefault="009D00F4" w:rsidP="00654418">
                  <w:pPr>
                    <w:framePr w:hSpace="141" w:wrap="around" w:hAnchor="margin" w:xAlign="center" w:y="-1415"/>
                    <w:jc w:val="center"/>
                    <w:rPr>
                      <w:sz w:val="16"/>
                      <w:szCs w:val="16"/>
                    </w:rPr>
                  </w:pPr>
                  <w:r w:rsidRPr="00257FB3">
                    <w:rPr>
                      <w:sz w:val="16"/>
                      <w:szCs w:val="16"/>
                    </w:rPr>
                    <w:t> </w:t>
                  </w:r>
                </w:p>
              </w:tc>
              <w:tc>
                <w:tcPr>
                  <w:tcW w:w="941" w:type="pct"/>
                  <w:tcBorders>
                    <w:right w:val="single" w:sz="2" w:space="0" w:color="auto"/>
                  </w:tcBorders>
                  <w:vAlign w:val="center"/>
                </w:tcPr>
                <w:p w14:paraId="250C58B0" w14:textId="77777777" w:rsidR="009D00F4" w:rsidRPr="00257FB3" w:rsidRDefault="009D00F4" w:rsidP="00654418">
                  <w:pPr>
                    <w:framePr w:hSpace="141" w:wrap="around" w:hAnchor="margin" w:xAlign="center" w:y="-1415"/>
                    <w:jc w:val="center"/>
                    <w:rPr>
                      <w:sz w:val="16"/>
                      <w:szCs w:val="16"/>
                    </w:rPr>
                  </w:pPr>
                  <w:r w:rsidRPr="00257FB3">
                    <w:rPr>
                      <w:sz w:val="16"/>
                      <w:szCs w:val="16"/>
                    </w:rPr>
                    <w:t>15,0</w:t>
                  </w:r>
                </w:p>
              </w:tc>
            </w:tr>
            <w:tr w:rsidR="009D00F4" w:rsidRPr="00257FB3" w14:paraId="69A10935" w14:textId="77777777" w:rsidTr="0017306B">
              <w:trPr>
                <w:tblCellSpacing w:w="0" w:type="dxa"/>
                <w:jc w:val="center"/>
              </w:trPr>
              <w:tc>
                <w:tcPr>
                  <w:tcW w:w="2632" w:type="pct"/>
                  <w:tcBorders>
                    <w:left w:val="nil"/>
                    <w:bottom w:val="nil"/>
                    <w:right w:val="nil"/>
                  </w:tcBorders>
                </w:tcPr>
                <w:p w14:paraId="232DF7A3" w14:textId="77777777" w:rsidR="009D00F4" w:rsidRPr="00257FB3" w:rsidRDefault="009D00F4" w:rsidP="00654418">
                  <w:pPr>
                    <w:framePr w:hSpace="141" w:wrap="around" w:hAnchor="margin" w:xAlign="center" w:y="-1415"/>
                    <w:rPr>
                      <w:sz w:val="16"/>
                      <w:szCs w:val="16"/>
                    </w:rPr>
                  </w:pPr>
                  <w:r w:rsidRPr="00257FB3">
                    <w:rPr>
                      <w:sz w:val="16"/>
                      <w:szCs w:val="16"/>
                    </w:rPr>
                    <w:t>Obsah síry</w:t>
                  </w:r>
                </w:p>
              </w:tc>
              <w:tc>
                <w:tcPr>
                  <w:tcW w:w="655" w:type="pct"/>
                  <w:tcBorders>
                    <w:right w:val="nil"/>
                  </w:tcBorders>
                  <w:vAlign w:val="center"/>
                </w:tcPr>
                <w:p w14:paraId="3581DFD0" w14:textId="77777777" w:rsidR="009D00F4" w:rsidRPr="00257FB3" w:rsidRDefault="009D00F4" w:rsidP="00654418">
                  <w:pPr>
                    <w:framePr w:hSpace="141" w:wrap="around" w:hAnchor="margin" w:xAlign="center" w:y="-1415"/>
                    <w:jc w:val="center"/>
                    <w:rPr>
                      <w:sz w:val="16"/>
                      <w:szCs w:val="16"/>
                    </w:rPr>
                  </w:pPr>
                  <w:r w:rsidRPr="00257FB3">
                    <w:rPr>
                      <w:sz w:val="16"/>
                      <w:szCs w:val="16"/>
                    </w:rPr>
                    <w:t>mg/kg</w:t>
                  </w:r>
                </w:p>
              </w:tc>
              <w:tc>
                <w:tcPr>
                  <w:tcW w:w="772" w:type="pct"/>
                  <w:tcBorders>
                    <w:right w:val="nil"/>
                  </w:tcBorders>
                  <w:vAlign w:val="center"/>
                </w:tcPr>
                <w:p w14:paraId="5273FFDC" w14:textId="77777777" w:rsidR="009D00F4" w:rsidRPr="00257FB3" w:rsidRDefault="009D00F4" w:rsidP="00654418">
                  <w:pPr>
                    <w:framePr w:hSpace="141" w:wrap="around" w:hAnchor="margin" w:xAlign="center" w:y="-1415"/>
                    <w:jc w:val="center"/>
                    <w:rPr>
                      <w:sz w:val="16"/>
                      <w:szCs w:val="16"/>
                    </w:rPr>
                  </w:pPr>
                  <w:r w:rsidRPr="00257FB3">
                    <w:rPr>
                      <w:sz w:val="16"/>
                      <w:szCs w:val="16"/>
                    </w:rPr>
                    <w:t> </w:t>
                  </w:r>
                </w:p>
              </w:tc>
              <w:tc>
                <w:tcPr>
                  <w:tcW w:w="941" w:type="pct"/>
                  <w:tcBorders>
                    <w:right w:val="single" w:sz="2" w:space="0" w:color="auto"/>
                  </w:tcBorders>
                  <w:vAlign w:val="center"/>
                </w:tcPr>
                <w:p w14:paraId="472B77D5" w14:textId="77777777" w:rsidR="009D00F4" w:rsidRPr="00257FB3" w:rsidRDefault="009D00F4" w:rsidP="00654418">
                  <w:pPr>
                    <w:framePr w:hSpace="141" w:wrap="around" w:hAnchor="margin" w:xAlign="center" w:y="-1415"/>
                    <w:jc w:val="center"/>
                    <w:rPr>
                      <w:sz w:val="16"/>
                      <w:szCs w:val="16"/>
                    </w:rPr>
                  </w:pPr>
                  <w:r w:rsidRPr="00257FB3">
                    <w:rPr>
                      <w:sz w:val="16"/>
                      <w:szCs w:val="16"/>
                    </w:rPr>
                    <w:t>10,0</w:t>
                  </w:r>
                </w:p>
              </w:tc>
            </w:tr>
            <w:tr w:rsidR="009D00F4" w:rsidRPr="00257FB3" w14:paraId="3191A59F" w14:textId="77777777" w:rsidTr="0017306B">
              <w:trPr>
                <w:tblCellSpacing w:w="0" w:type="dxa"/>
                <w:jc w:val="center"/>
              </w:trPr>
              <w:tc>
                <w:tcPr>
                  <w:tcW w:w="2632" w:type="pct"/>
                  <w:tcBorders>
                    <w:left w:val="nil"/>
                    <w:right w:val="nil"/>
                  </w:tcBorders>
                </w:tcPr>
                <w:p w14:paraId="61EB267F" w14:textId="77777777" w:rsidR="009D00F4" w:rsidRPr="00257FB3" w:rsidRDefault="009D00F4" w:rsidP="00654418">
                  <w:pPr>
                    <w:framePr w:hSpace="141" w:wrap="around" w:hAnchor="margin" w:xAlign="center" w:y="-1415"/>
                    <w:rPr>
                      <w:sz w:val="16"/>
                      <w:szCs w:val="16"/>
                    </w:rPr>
                  </w:pPr>
                  <w:r w:rsidRPr="00257FB3">
                    <w:rPr>
                      <w:sz w:val="16"/>
                      <w:szCs w:val="16"/>
                    </w:rPr>
                    <w:t>Obsah olova</w:t>
                  </w:r>
                </w:p>
              </w:tc>
              <w:tc>
                <w:tcPr>
                  <w:tcW w:w="655" w:type="pct"/>
                  <w:tcBorders>
                    <w:right w:val="nil"/>
                  </w:tcBorders>
                  <w:vAlign w:val="center"/>
                </w:tcPr>
                <w:p w14:paraId="1530B3BA" w14:textId="77777777" w:rsidR="009D00F4" w:rsidRPr="00257FB3" w:rsidRDefault="009D00F4" w:rsidP="00654418">
                  <w:pPr>
                    <w:framePr w:hSpace="141" w:wrap="around" w:hAnchor="margin" w:xAlign="center" w:y="-1415"/>
                    <w:jc w:val="center"/>
                    <w:rPr>
                      <w:sz w:val="16"/>
                      <w:szCs w:val="16"/>
                    </w:rPr>
                  </w:pPr>
                  <w:r w:rsidRPr="00257FB3">
                    <w:rPr>
                      <w:sz w:val="16"/>
                      <w:szCs w:val="16"/>
                    </w:rPr>
                    <w:t>g/l</w:t>
                  </w:r>
                </w:p>
              </w:tc>
              <w:tc>
                <w:tcPr>
                  <w:tcW w:w="772" w:type="pct"/>
                  <w:tcBorders>
                    <w:bottom w:val="single" w:sz="2" w:space="0" w:color="auto"/>
                    <w:right w:val="nil"/>
                  </w:tcBorders>
                  <w:vAlign w:val="center"/>
                </w:tcPr>
                <w:p w14:paraId="086B9508" w14:textId="77777777" w:rsidR="009D00F4" w:rsidRPr="00257FB3" w:rsidRDefault="009D00F4" w:rsidP="00654418">
                  <w:pPr>
                    <w:framePr w:hSpace="141" w:wrap="around" w:hAnchor="margin" w:xAlign="center" w:y="-1415"/>
                    <w:jc w:val="center"/>
                    <w:rPr>
                      <w:sz w:val="16"/>
                      <w:szCs w:val="16"/>
                    </w:rPr>
                  </w:pPr>
                  <w:r w:rsidRPr="00257FB3">
                    <w:rPr>
                      <w:sz w:val="16"/>
                      <w:szCs w:val="16"/>
                    </w:rPr>
                    <w:t> </w:t>
                  </w:r>
                </w:p>
              </w:tc>
              <w:tc>
                <w:tcPr>
                  <w:tcW w:w="941" w:type="pct"/>
                  <w:tcBorders>
                    <w:bottom w:val="single" w:sz="2" w:space="0" w:color="auto"/>
                    <w:right w:val="single" w:sz="2" w:space="0" w:color="auto"/>
                  </w:tcBorders>
                  <w:vAlign w:val="center"/>
                </w:tcPr>
                <w:p w14:paraId="2240F8B3" w14:textId="77777777" w:rsidR="009D00F4" w:rsidRPr="00257FB3" w:rsidRDefault="009D00F4" w:rsidP="00654418">
                  <w:pPr>
                    <w:framePr w:hSpace="141" w:wrap="around" w:hAnchor="margin" w:xAlign="center" w:y="-1415"/>
                    <w:jc w:val="center"/>
                    <w:rPr>
                      <w:sz w:val="16"/>
                      <w:szCs w:val="16"/>
                    </w:rPr>
                  </w:pPr>
                  <w:r w:rsidRPr="00257FB3">
                    <w:rPr>
                      <w:sz w:val="16"/>
                      <w:szCs w:val="16"/>
                    </w:rPr>
                    <w:t>0,005</w:t>
                  </w:r>
                </w:p>
              </w:tc>
            </w:tr>
          </w:tbl>
          <w:p w14:paraId="3B8BA040" w14:textId="77777777" w:rsidR="009D00F4" w:rsidRPr="00257FB3" w:rsidRDefault="009D00F4" w:rsidP="009D00F4">
            <w:pPr>
              <w:ind w:left="-180"/>
              <w:rPr>
                <w:sz w:val="16"/>
                <w:szCs w:val="16"/>
              </w:rPr>
            </w:pPr>
            <w:r w:rsidRPr="00257FB3">
              <w:rPr>
                <w:sz w:val="16"/>
                <w:szCs w:val="16"/>
              </w:rPr>
              <w:t xml:space="preserve">    </w:t>
            </w:r>
            <w:r>
              <w:rPr>
                <w:sz w:val="16"/>
                <w:szCs w:val="16"/>
              </w:rPr>
              <w:t>Vysvetlivky</w:t>
            </w:r>
            <w:r w:rsidRPr="00257FB3">
              <w:rPr>
                <w:sz w:val="16"/>
                <w:szCs w:val="16"/>
              </w:rPr>
              <w:t>:</w:t>
            </w:r>
          </w:p>
          <w:p w14:paraId="768F88C5" w14:textId="77777777" w:rsidR="009D00F4" w:rsidRPr="00257FB3" w:rsidRDefault="009D00F4" w:rsidP="009D00F4">
            <w:pPr>
              <w:keepNext/>
              <w:numPr>
                <w:ilvl w:val="0"/>
                <w:numId w:val="5"/>
              </w:numPr>
              <w:tabs>
                <w:tab w:val="clear" w:pos="1440"/>
              </w:tabs>
              <w:spacing w:before="60" w:after="60" w:line="240" w:lineRule="auto"/>
              <w:ind w:left="351" w:hanging="284"/>
              <w:jc w:val="both"/>
              <w:rPr>
                <w:sz w:val="16"/>
                <w:szCs w:val="16"/>
              </w:rPr>
            </w:pPr>
            <w:r w:rsidRPr="00257FB3">
              <w:rPr>
                <w:sz w:val="16"/>
                <w:szCs w:val="16"/>
              </w:rPr>
              <w:lastRenderedPageBreak/>
              <w:t>Skúšobné metódy sú špecifikované v technickej norme</w:t>
            </w:r>
            <w:r w:rsidRPr="00257FB3">
              <w:rPr>
                <w:sz w:val="16"/>
                <w:szCs w:val="16"/>
                <w:vertAlign w:val="superscript"/>
              </w:rPr>
              <w:t>4</w:t>
            </w:r>
            <w:r>
              <w:rPr>
                <w:sz w:val="16"/>
                <w:szCs w:val="16"/>
                <w:vertAlign w:val="superscript"/>
              </w:rPr>
              <w:t>4</w:t>
            </w:r>
            <w:r w:rsidRPr="00257FB3">
              <w:rPr>
                <w:sz w:val="16"/>
                <w:szCs w:val="16"/>
              </w:rPr>
              <w:t>) alebo inej obdobnej technickej špecifikácii s porovnateľnými alebo prísnejšími požiadavkami.</w:t>
            </w:r>
          </w:p>
          <w:p w14:paraId="7B7EDF61" w14:textId="77777777" w:rsidR="009D00F4" w:rsidRPr="00257FB3" w:rsidRDefault="009D00F4" w:rsidP="009D00F4">
            <w:pPr>
              <w:keepNext/>
              <w:numPr>
                <w:ilvl w:val="0"/>
                <w:numId w:val="5"/>
              </w:numPr>
              <w:tabs>
                <w:tab w:val="clear" w:pos="1440"/>
              </w:tabs>
              <w:spacing w:before="60" w:after="60" w:line="240" w:lineRule="auto"/>
              <w:ind w:left="351" w:hanging="284"/>
              <w:jc w:val="both"/>
              <w:rPr>
                <w:sz w:val="16"/>
                <w:szCs w:val="16"/>
              </w:rPr>
            </w:pPr>
            <w:r w:rsidRPr="00257FB3">
              <w:rPr>
                <w:sz w:val="16"/>
                <w:szCs w:val="16"/>
              </w:rPr>
              <w:t>Hodnoty uvedené v špecifikácii sú „skutočné hodnoty“. Pri stanovení ich limitných hodnôt sa použili podmienky technickej normy</w:t>
            </w:r>
            <w:r>
              <w:rPr>
                <w:sz w:val="16"/>
                <w:szCs w:val="16"/>
                <w:vertAlign w:val="superscript"/>
              </w:rPr>
              <w:t>45</w:t>
            </w:r>
            <w:r w:rsidRPr="00257FB3">
              <w:rPr>
                <w:sz w:val="16"/>
                <w:szCs w:val="16"/>
              </w:rPr>
              <w:t>) alebo inej obdobnej technickej špecifikácie s porovnateľnými alebo prísnejšími požiadavkami. Pri stanovení najnižšej hodnoty sa zohľadnil najmenší rozdiel 2R nad nulou (R = reprodukovateľnosť). Výsledky jednotlivých meraní sa interpretujú na základe kritérií uvedených v technickej norme</w:t>
            </w:r>
            <w:r>
              <w:rPr>
                <w:sz w:val="16"/>
                <w:szCs w:val="16"/>
                <w:vertAlign w:val="superscript"/>
              </w:rPr>
              <w:t>45</w:t>
            </w:r>
            <w:r w:rsidRPr="00257FB3">
              <w:rPr>
                <w:sz w:val="16"/>
                <w:szCs w:val="16"/>
              </w:rPr>
              <w:t>) alebo inej obdobnej technickej špecifikácii s porovnateľnými alebo prísnejšími požiadavkami.</w:t>
            </w:r>
          </w:p>
          <w:p w14:paraId="4D4C8925" w14:textId="77777777" w:rsidR="009D00F4" w:rsidRPr="00257FB3" w:rsidRDefault="009D00F4" w:rsidP="009D00F4">
            <w:pPr>
              <w:keepNext/>
              <w:numPr>
                <w:ilvl w:val="0"/>
                <w:numId w:val="5"/>
              </w:numPr>
              <w:tabs>
                <w:tab w:val="clear" w:pos="1440"/>
              </w:tabs>
              <w:spacing w:before="60" w:after="60" w:line="240" w:lineRule="auto"/>
              <w:ind w:left="351" w:hanging="284"/>
              <w:jc w:val="both"/>
              <w:rPr>
                <w:sz w:val="16"/>
                <w:szCs w:val="16"/>
              </w:rPr>
            </w:pPr>
            <w:r w:rsidRPr="00257FB3">
              <w:rPr>
                <w:sz w:val="16"/>
                <w:szCs w:val="16"/>
              </w:rPr>
              <w:t>Letné obdobie začína najneskôr 1. mája a končí najskôr 30. septembra.</w:t>
            </w:r>
          </w:p>
          <w:p w14:paraId="0C36227E" w14:textId="77777777" w:rsidR="009D00F4" w:rsidRPr="00257FB3" w:rsidRDefault="009D00F4" w:rsidP="009D00F4">
            <w:pPr>
              <w:keepNext/>
              <w:numPr>
                <w:ilvl w:val="0"/>
                <w:numId w:val="5"/>
              </w:numPr>
              <w:tabs>
                <w:tab w:val="clear" w:pos="1440"/>
              </w:tabs>
              <w:spacing w:before="60" w:after="60" w:line="240" w:lineRule="auto"/>
              <w:ind w:left="351" w:hanging="284"/>
              <w:jc w:val="both"/>
              <w:rPr>
                <w:sz w:val="16"/>
                <w:szCs w:val="16"/>
              </w:rPr>
            </w:pPr>
            <w:r w:rsidRPr="00257FB3">
              <w:rPr>
                <w:sz w:val="16"/>
                <w:szCs w:val="16"/>
              </w:rPr>
              <w:t xml:space="preserve">Ďalšie </w:t>
            </w:r>
            <w:proofErr w:type="spellStart"/>
            <w:r w:rsidRPr="00257FB3">
              <w:rPr>
                <w:sz w:val="16"/>
                <w:szCs w:val="16"/>
              </w:rPr>
              <w:t>monoalkoholy</w:t>
            </w:r>
            <w:proofErr w:type="spellEnd"/>
            <w:r w:rsidRPr="00257FB3">
              <w:rPr>
                <w:sz w:val="16"/>
                <w:szCs w:val="16"/>
              </w:rPr>
              <w:t xml:space="preserve"> a étery s koncovým destilačným bodom nie vyšším ako destilačný bod podľa technickej normy</w:t>
            </w:r>
            <w:r w:rsidRPr="00257FB3">
              <w:rPr>
                <w:sz w:val="16"/>
                <w:szCs w:val="16"/>
                <w:vertAlign w:val="superscript"/>
              </w:rPr>
              <w:t>4</w:t>
            </w:r>
            <w:r>
              <w:rPr>
                <w:sz w:val="16"/>
                <w:szCs w:val="16"/>
                <w:vertAlign w:val="superscript"/>
              </w:rPr>
              <w:t>4</w:t>
            </w:r>
            <w:r w:rsidRPr="00257FB3">
              <w:rPr>
                <w:sz w:val="16"/>
                <w:szCs w:val="16"/>
              </w:rPr>
              <w:t>) alebo inej obdobnej technickej špecifikácie s porovnateľnými alebo prísnejšími požiadavkami.</w:t>
            </w:r>
          </w:p>
          <w:p w14:paraId="13D5EB48" w14:textId="77777777" w:rsidR="009D00F4" w:rsidRPr="00257FB3" w:rsidRDefault="00654418" w:rsidP="009D00F4">
            <w:pPr>
              <w:spacing w:line="240" w:lineRule="atLeast"/>
              <w:ind w:left="-44" w:firstLine="44"/>
              <w:jc w:val="both"/>
            </w:pPr>
            <w:r>
              <w:rPr>
                <w:noProof/>
              </w:rPr>
              <w:pict w14:anchorId="0CC8F864">
                <v:shape id="_x0000_s1041" type="#_x0000_t32" style="position:absolute;left:0;text-align:left;margin-left:.1pt;margin-top:5.4pt;width:58.2pt;height:0;z-index:251680768" o:connectortype="straight"/>
              </w:pict>
            </w:r>
          </w:p>
          <w:p w14:paraId="10AFE2C8" w14:textId="77777777" w:rsidR="009D00F4" w:rsidRPr="00257FB3" w:rsidRDefault="009D00F4" w:rsidP="009D00F4">
            <w:pPr>
              <w:pStyle w:val="Textpoznmkypodiarou"/>
              <w:jc w:val="both"/>
              <w:rPr>
                <w:rFonts w:eastAsia="Calibri"/>
                <w:sz w:val="18"/>
                <w:szCs w:val="18"/>
                <w:lang w:eastAsia="sk-SK"/>
              </w:rPr>
            </w:pPr>
            <w:r w:rsidRPr="00257FB3">
              <w:rPr>
                <w:sz w:val="18"/>
                <w:szCs w:val="18"/>
                <w:vertAlign w:val="superscript"/>
              </w:rPr>
              <w:t>4</w:t>
            </w:r>
            <w:r>
              <w:rPr>
                <w:sz w:val="18"/>
                <w:szCs w:val="18"/>
                <w:vertAlign w:val="superscript"/>
              </w:rPr>
              <w:t>4</w:t>
            </w:r>
            <w:r w:rsidRPr="00257FB3">
              <w:rPr>
                <w:sz w:val="18"/>
                <w:szCs w:val="18"/>
              </w:rPr>
              <w:t xml:space="preserve">) </w:t>
            </w:r>
            <w:r>
              <w:rPr>
                <w:rFonts w:eastAsia="Calibri"/>
                <w:sz w:val="18"/>
                <w:szCs w:val="18"/>
                <w:lang w:eastAsia="sk-SK"/>
              </w:rPr>
              <w:t>STN EN 228 + A1</w:t>
            </w:r>
            <w:r w:rsidRPr="00257FB3">
              <w:rPr>
                <w:rFonts w:eastAsia="Calibri"/>
                <w:sz w:val="18"/>
                <w:szCs w:val="18"/>
                <w:lang w:eastAsia="sk-SK"/>
              </w:rPr>
              <w:t xml:space="preserve"> Automobilové palivá. Bezolovnatý benzín. Požiadavky a skúšobné metódy (65 6505).   </w:t>
            </w:r>
          </w:p>
          <w:p w14:paraId="469BB9EB" w14:textId="77777777" w:rsidR="009D00F4" w:rsidRPr="00931C1D" w:rsidRDefault="009D00F4" w:rsidP="009D00F4">
            <w:pPr>
              <w:pStyle w:val="Textpoznmkypodiarou"/>
              <w:jc w:val="both"/>
              <w:rPr>
                <w:strike/>
              </w:rPr>
            </w:pPr>
            <w:r>
              <w:rPr>
                <w:sz w:val="18"/>
                <w:szCs w:val="18"/>
                <w:vertAlign w:val="superscript"/>
              </w:rPr>
              <w:t>45</w:t>
            </w:r>
            <w:r w:rsidRPr="00257FB3">
              <w:rPr>
                <w:sz w:val="18"/>
                <w:szCs w:val="18"/>
              </w:rPr>
              <w:t xml:space="preserve">) </w:t>
            </w:r>
            <w:r w:rsidRPr="0097586D">
              <w:rPr>
                <w:rFonts w:eastAsia="Calibri"/>
                <w:sz w:val="18"/>
                <w:szCs w:val="18"/>
                <w:lang w:eastAsia="sk-SK"/>
              </w:rPr>
              <w:t>Súbor STN EN ISO 4259 Ropné výrobky a príbuzné výrobky. Zhodnosť metód merania a výsledkov merania (65 6004).</w:t>
            </w:r>
          </w:p>
          <w:p w14:paraId="1BA121F9" w14:textId="77777777" w:rsidR="009D00F4" w:rsidRPr="00257FB3" w:rsidRDefault="009D00F4" w:rsidP="009D00F4">
            <w:pPr>
              <w:jc w:val="both"/>
              <w:rPr>
                <w:b/>
                <w:sz w:val="20"/>
                <w:lang w:eastAsia="sk-SK"/>
              </w:rPr>
            </w:pPr>
          </w:p>
        </w:tc>
        <w:tc>
          <w:tcPr>
            <w:tcW w:w="849" w:type="dxa"/>
            <w:tcBorders>
              <w:top w:val="single" w:sz="4" w:space="0" w:color="auto"/>
              <w:left w:val="single" w:sz="4" w:space="0" w:color="auto"/>
              <w:bottom w:val="single" w:sz="4" w:space="0" w:color="auto"/>
              <w:right w:val="single" w:sz="4" w:space="0" w:color="auto"/>
            </w:tcBorders>
          </w:tcPr>
          <w:p w14:paraId="0FA11E9C" w14:textId="5F384D1A"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Ú</w:t>
            </w:r>
          </w:p>
        </w:tc>
        <w:tc>
          <w:tcPr>
            <w:tcW w:w="1360" w:type="dxa"/>
            <w:tcBorders>
              <w:top w:val="single" w:sz="4" w:space="0" w:color="auto"/>
              <w:left w:val="single" w:sz="4" w:space="0" w:color="auto"/>
              <w:bottom w:val="single" w:sz="4" w:space="0" w:color="auto"/>
              <w:right w:val="single" w:sz="4" w:space="0" w:color="auto"/>
            </w:tcBorders>
          </w:tcPr>
          <w:p w14:paraId="331FEF49" w14:textId="36719937" w:rsidR="009D00F4" w:rsidRPr="00EB77CF"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EB77CF">
              <w:rPr>
                <w:rFonts w:ascii="Times New Roman" w:eastAsia="Times New Roman" w:hAnsi="Times New Roman" w:cs="Times New Roman"/>
                <w:color w:val="000000" w:themeColor="text1"/>
                <w:sz w:val="20"/>
                <w:szCs w:val="20"/>
                <w:lang w:eastAsia="sk-SK"/>
              </w:rPr>
              <w:t>Bez potreby legislatívnej úpravy vyhlášky č. 251/2023 Z. z. - technické normy prebraté bez roku vydania, platí aktuálne platná daná technická norma.</w:t>
            </w:r>
          </w:p>
        </w:tc>
        <w:tc>
          <w:tcPr>
            <w:tcW w:w="1360" w:type="dxa"/>
            <w:tcBorders>
              <w:top w:val="single" w:sz="4" w:space="0" w:color="auto"/>
              <w:left w:val="single" w:sz="4" w:space="0" w:color="auto"/>
              <w:bottom w:val="single" w:sz="4" w:space="0" w:color="auto"/>
              <w:right w:val="single" w:sz="4" w:space="0" w:color="auto"/>
            </w:tcBorders>
          </w:tcPr>
          <w:p w14:paraId="6B2B883A" w14:textId="6EE0D1BA"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00160891" w14:textId="77777777" w:rsidR="009D00F4" w:rsidRPr="0029105C"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9D00F4" w:rsidRPr="0029105C" w14:paraId="5F3F9EE8" w14:textId="77777777" w:rsidTr="0017306B">
        <w:tc>
          <w:tcPr>
            <w:tcW w:w="1005" w:type="dxa"/>
            <w:tcBorders>
              <w:top w:val="single" w:sz="4" w:space="0" w:color="auto"/>
              <w:left w:val="single" w:sz="12" w:space="0" w:color="auto"/>
              <w:bottom w:val="single" w:sz="4" w:space="0" w:color="auto"/>
              <w:right w:val="single" w:sz="4" w:space="0" w:color="auto"/>
            </w:tcBorders>
          </w:tcPr>
          <w:p w14:paraId="23E32099" w14:textId="2F0A1B2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Príloha II</w:t>
            </w:r>
          </w:p>
          <w:p w14:paraId="140C4AEC"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6B6DBB13" w14:textId="10EE6065"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a</w:t>
            </w:r>
          </w:p>
        </w:tc>
        <w:tc>
          <w:tcPr>
            <w:tcW w:w="3421" w:type="dxa"/>
            <w:tcBorders>
              <w:top w:val="single" w:sz="4" w:space="0" w:color="auto"/>
              <w:left w:val="single" w:sz="4" w:space="0" w:color="auto"/>
              <w:bottom w:val="single" w:sz="4" w:space="0" w:color="auto"/>
              <w:right w:val="single" w:sz="4" w:space="0" w:color="auto"/>
            </w:tcBorders>
          </w:tcPr>
          <w:p w14:paraId="6484D16F" w14:textId="77777777"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C91C8C">
              <w:rPr>
                <w:rFonts w:ascii="Times New Roman" w:eastAsia="Times New Roman" w:hAnsi="Times New Roman" w:cs="Times New Roman"/>
                <w:bCs/>
                <w:color w:val="000000" w:themeColor="text1"/>
                <w:sz w:val="20"/>
                <w:szCs w:val="20"/>
                <w:lang w:eastAsia="sk-SK"/>
              </w:rPr>
              <w:t>Príloha II sa mení takto:</w:t>
            </w:r>
          </w:p>
          <w:p w14:paraId="28563CA2" w14:textId="0EDA81FB" w:rsidR="009D00F4" w:rsidRPr="00C91C8C"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C91C8C">
              <w:rPr>
                <w:rFonts w:ascii="Times New Roman" w:eastAsia="Times New Roman" w:hAnsi="Times New Roman" w:cs="Times New Roman"/>
                <w:bCs/>
                <w:color w:val="000000" w:themeColor="text1"/>
                <w:sz w:val="20"/>
                <w:szCs w:val="20"/>
                <w:lang w:eastAsia="sk-SK"/>
              </w:rPr>
              <w:t>a)</w:t>
            </w:r>
            <w:r>
              <w:rPr>
                <w:rFonts w:ascii="Times New Roman" w:eastAsia="Times New Roman" w:hAnsi="Times New Roman" w:cs="Times New Roman"/>
                <w:bCs/>
                <w:color w:val="000000" w:themeColor="text1"/>
                <w:sz w:val="20"/>
                <w:szCs w:val="20"/>
                <w:lang w:eastAsia="sk-SK"/>
              </w:rPr>
              <w:t xml:space="preserve"> </w:t>
            </w:r>
            <w:r w:rsidRPr="00C91C8C">
              <w:rPr>
                <w:rFonts w:ascii="Times New Roman" w:eastAsia="Times New Roman" w:hAnsi="Times New Roman" w:cs="Times New Roman"/>
                <w:bCs/>
                <w:color w:val="000000" w:themeColor="text1"/>
                <w:sz w:val="20"/>
                <w:szCs w:val="20"/>
                <w:lang w:eastAsia="sk-SK"/>
              </w:rPr>
              <w:t>v poslednom riadku tabuľky „Obsah FAME – EN 14078“ sa v poslednom stĺpci „</w:t>
            </w:r>
            <w:proofErr w:type="spellStart"/>
            <w:r w:rsidRPr="00C91C8C">
              <w:rPr>
                <w:rFonts w:ascii="Times New Roman" w:eastAsia="Times New Roman" w:hAnsi="Times New Roman" w:cs="Times New Roman"/>
                <w:bCs/>
                <w:color w:val="000000" w:themeColor="text1"/>
                <w:sz w:val="20"/>
                <w:szCs w:val="20"/>
                <w:lang w:eastAsia="sk-SK"/>
              </w:rPr>
              <w:t>Limity“„Maximálny</w:t>
            </w:r>
            <w:proofErr w:type="spellEnd"/>
            <w:r w:rsidRPr="00C91C8C">
              <w:rPr>
                <w:rFonts w:ascii="Times New Roman" w:eastAsia="Times New Roman" w:hAnsi="Times New Roman" w:cs="Times New Roman"/>
                <w:bCs/>
                <w:color w:val="000000" w:themeColor="text1"/>
                <w:sz w:val="20"/>
                <w:szCs w:val="20"/>
                <w:lang w:eastAsia="sk-SK"/>
              </w:rPr>
              <w:t>“ údaj „7,0“ nahrádza údajom „10,0“.</w:t>
            </w:r>
          </w:p>
          <w:p w14:paraId="0F60EA85" w14:textId="41DABEC3"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7FD511C8" w14:textId="2C1828C8"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35E155B3" w14:textId="20A19416"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71BAE495" w14:textId="29E02B1B"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17E271C5" w14:textId="65334691"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7B2704C2" w14:textId="22EE8FBF"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350D633C" w14:textId="5DA4CE43"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1689B589" w14:textId="3C061067"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4FB00BC5" w14:textId="2FC061EE"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0279A761" w14:textId="1016E565"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596B0D2A" w14:textId="7AE4DAF2"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38B07C30" w14:textId="65990418"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3A3EF193" w14:textId="77777777" w:rsidR="009D00F4" w:rsidRPr="00C91C8C"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02FFBBB9" w14:textId="77777777" w:rsidR="009D00F4"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p w14:paraId="6BAEB1C6" w14:textId="20B663D1" w:rsidR="009D00F4" w:rsidRPr="00EB77CF"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tc>
        <w:tc>
          <w:tcPr>
            <w:tcW w:w="794" w:type="dxa"/>
            <w:tcBorders>
              <w:top w:val="single" w:sz="4" w:space="0" w:color="auto"/>
              <w:left w:val="single" w:sz="4" w:space="0" w:color="auto"/>
              <w:bottom w:val="single" w:sz="4" w:space="0" w:color="auto"/>
              <w:right w:val="single" w:sz="12" w:space="0" w:color="auto"/>
            </w:tcBorders>
          </w:tcPr>
          <w:p w14:paraId="27E6EC19" w14:textId="1A81C779"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w:t>
            </w:r>
          </w:p>
        </w:tc>
        <w:tc>
          <w:tcPr>
            <w:tcW w:w="1080" w:type="dxa"/>
            <w:tcBorders>
              <w:top w:val="single" w:sz="4" w:space="0" w:color="auto"/>
              <w:left w:val="nil"/>
              <w:bottom w:val="single" w:sz="4" w:space="0" w:color="auto"/>
              <w:right w:val="single" w:sz="4" w:space="0" w:color="auto"/>
            </w:tcBorders>
          </w:tcPr>
          <w:p w14:paraId="60FC3599" w14:textId="62F0FD29"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5.</w:t>
            </w:r>
          </w:p>
        </w:tc>
        <w:tc>
          <w:tcPr>
            <w:tcW w:w="900" w:type="dxa"/>
            <w:tcBorders>
              <w:top w:val="single" w:sz="4" w:space="0" w:color="auto"/>
              <w:left w:val="single" w:sz="4" w:space="0" w:color="auto"/>
              <w:bottom w:val="single" w:sz="4" w:space="0" w:color="auto"/>
              <w:right w:val="single" w:sz="4" w:space="0" w:color="auto"/>
            </w:tcBorders>
          </w:tcPr>
          <w:p w14:paraId="46A12977" w14:textId="3362438F"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Príloha č. 2b</w:t>
            </w:r>
          </w:p>
        </w:tc>
        <w:tc>
          <w:tcPr>
            <w:tcW w:w="4540" w:type="dxa"/>
            <w:tcBorders>
              <w:top w:val="single" w:sz="4" w:space="0" w:color="auto"/>
              <w:bottom w:val="single" w:sz="4" w:space="0" w:color="auto"/>
            </w:tcBorders>
          </w:tcPr>
          <w:p w14:paraId="770C5323" w14:textId="77777777" w:rsidR="009D00F4" w:rsidRPr="00D9558D"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D9558D">
              <w:rPr>
                <w:rFonts w:ascii="Times New Roman" w:eastAsia="Times New Roman" w:hAnsi="Times New Roman" w:cs="Times New Roman"/>
                <w:color w:val="000000" w:themeColor="text1"/>
                <w:sz w:val="20"/>
                <w:szCs w:val="20"/>
                <w:lang w:eastAsia="sk-SK"/>
              </w:rPr>
              <w:t>Príloha č. 2b</w:t>
            </w:r>
          </w:p>
          <w:p w14:paraId="4DC7FCE9" w14:textId="002010AA" w:rsidR="009D00F4" w:rsidRPr="00D9558D"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D9558D">
              <w:rPr>
                <w:rFonts w:ascii="Times New Roman" w:eastAsia="Times New Roman" w:hAnsi="Times New Roman" w:cs="Times New Roman"/>
                <w:color w:val="000000" w:themeColor="text1"/>
                <w:sz w:val="20"/>
                <w:szCs w:val="20"/>
                <w:lang w:eastAsia="sk-SK"/>
              </w:rPr>
              <w:t xml:space="preserve">Požiadavky na kvalitu motorovej nafty s vyšším obsahom </w:t>
            </w:r>
            <w:proofErr w:type="spellStart"/>
            <w:r w:rsidRPr="00D9558D">
              <w:rPr>
                <w:rFonts w:ascii="Times New Roman" w:eastAsia="Times New Roman" w:hAnsi="Times New Roman" w:cs="Times New Roman"/>
                <w:color w:val="000000" w:themeColor="text1"/>
                <w:sz w:val="20"/>
                <w:szCs w:val="20"/>
                <w:lang w:eastAsia="sk-SK"/>
              </w:rPr>
              <w:t>metylesterov</w:t>
            </w:r>
            <w:proofErr w:type="spellEnd"/>
            <w:r w:rsidRPr="00D9558D">
              <w:rPr>
                <w:rFonts w:ascii="Times New Roman" w:eastAsia="Times New Roman" w:hAnsi="Times New Roman" w:cs="Times New Roman"/>
                <w:color w:val="000000" w:themeColor="text1"/>
                <w:sz w:val="20"/>
                <w:szCs w:val="20"/>
                <w:lang w:eastAsia="sk-SK"/>
              </w:rPr>
              <w:t xml:space="preserve"> mastných kyselín (B10)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1060"/>
              <w:gridCol w:w="1060"/>
              <w:gridCol w:w="1060"/>
            </w:tblGrid>
            <w:tr w:rsidR="009D00F4" w:rsidRPr="00257FB3" w14:paraId="4A2AA44A" w14:textId="77777777" w:rsidTr="0017306B">
              <w:tc>
                <w:tcPr>
                  <w:tcW w:w="1059" w:type="dxa"/>
                  <w:vMerge w:val="restart"/>
                </w:tcPr>
                <w:p w14:paraId="0C3E4CE4" w14:textId="77777777" w:rsidR="009D00F4" w:rsidRPr="00257FB3" w:rsidRDefault="009D00F4" w:rsidP="00654418">
                  <w:pPr>
                    <w:framePr w:hSpace="141" w:wrap="around" w:hAnchor="margin" w:xAlign="center" w:y="-1415"/>
                    <w:jc w:val="center"/>
                    <w:rPr>
                      <w:sz w:val="16"/>
                      <w:szCs w:val="16"/>
                    </w:rPr>
                  </w:pPr>
                  <w:proofErr w:type="spellStart"/>
                  <w:r w:rsidRPr="00257FB3">
                    <w:rPr>
                      <w:b/>
                      <w:bCs/>
                      <w:sz w:val="16"/>
                      <w:szCs w:val="16"/>
                    </w:rPr>
                    <w:t>Parameter</w:t>
                  </w:r>
                  <w:r w:rsidRPr="00257FB3">
                    <w:rPr>
                      <w:b/>
                      <w:bCs/>
                      <w:sz w:val="16"/>
                      <w:szCs w:val="16"/>
                      <w:vertAlign w:val="superscript"/>
                    </w:rPr>
                    <w:t>a</w:t>
                  </w:r>
                  <w:proofErr w:type="spellEnd"/>
                  <w:r w:rsidRPr="00257FB3">
                    <w:rPr>
                      <w:b/>
                      <w:bCs/>
                      <w:sz w:val="16"/>
                      <w:szCs w:val="16"/>
                    </w:rPr>
                    <w:t>)</w:t>
                  </w:r>
                </w:p>
              </w:tc>
              <w:tc>
                <w:tcPr>
                  <w:tcW w:w="1060" w:type="dxa"/>
                  <w:vMerge w:val="restart"/>
                </w:tcPr>
                <w:p w14:paraId="4D187CED" w14:textId="77777777" w:rsidR="009D00F4" w:rsidRPr="00257FB3" w:rsidRDefault="009D00F4" w:rsidP="00654418">
                  <w:pPr>
                    <w:framePr w:hSpace="141" w:wrap="around" w:hAnchor="margin" w:xAlign="center" w:y="-1415"/>
                    <w:jc w:val="center"/>
                    <w:rPr>
                      <w:sz w:val="16"/>
                      <w:szCs w:val="16"/>
                    </w:rPr>
                  </w:pPr>
                  <w:r w:rsidRPr="00257FB3">
                    <w:rPr>
                      <w:b/>
                      <w:bCs/>
                      <w:sz w:val="16"/>
                      <w:szCs w:val="16"/>
                    </w:rPr>
                    <w:t>Jednotka</w:t>
                  </w:r>
                </w:p>
              </w:tc>
              <w:tc>
                <w:tcPr>
                  <w:tcW w:w="2120" w:type="dxa"/>
                  <w:gridSpan w:val="2"/>
                </w:tcPr>
                <w:p w14:paraId="3F7D6F7B" w14:textId="77777777" w:rsidR="009D00F4" w:rsidRPr="00257FB3" w:rsidRDefault="009D00F4" w:rsidP="00654418">
                  <w:pPr>
                    <w:framePr w:hSpace="141" w:wrap="around" w:hAnchor="margin" w:xAlign="center" w:y="-1415"/>
                    <w:jc w:val="center"/>
                    <w:rPr>
                      <w:sz w:val="16"/>
                      <w:szCs w:val="16"/>
                    </w:rPr>
                  </w:pPr>
                  <w:proofErr w:type="spellStart"/>
                  <w:r w:rsidRPr="00257FB3">
                    <w:rPr>
                      <w:b/>
                      <w:bCs/>
                      <w:sz w:val="16"/>
                      <w:szCs w:val="16"/>
                    </w:rPr>
                    <w:t>Limity</w:t>
                  </w:r>
                  <w:r w:rsidRPr="00257FB3">
                    <w:rPr>
                      <w:b/>
                      <w:bCs/>
                      <w:sz w:val="16"/>
                      <w:szCs w:val="16"/>
                      <w:vertAlign w:val="superscript"/>
                    </w:rPr>
                    <w:t>b</w:t>
                  </w:r>
                  <w:proofErr w:type="spellEnd"/>
                  <w:r w:rsidRPr="00257FB3">
                    <w:rPr>
                      <w:b/>
                      <w:bCs/>
                      <w:sz w:val="16"/>
                      <w:szCs w:val="16"/>
                    </w:rPr>
                    <w:t>)</w:t>
                  </w:r>
                </w:p>
              </w:tc>
            </w:tr>
            <w:tr w:rsidR="009D00F4" w:rsidRPr="00257FB3" w14:paraId="22D4EC1D" w14:textId="77777777" w:rsidTr="0017306B">
              <w:tc>
                <w:tcPr>
                  <w:tcW w:w="1059" w:type="dxa"/>
                  <w:vMerge/>
                </w:tcPr>
                <w:p w14:paraId="60ED8638" w14:textId="77777777" w:rsidR="009D00F4" w:rsidRPr="00257FB3" w:rsidRDefault="009D00F4" w:rsidP="00654418">
                  <w:pPr>
                    <w:framePr w:hSpace="141" w:wrap="around" w:hAnchor="margin" w:xAlign="center" w:y="-1415"/>
                    <w:jc w:val="center"/>
                    <w:rPr>
                      <w:sz w:val="16"/>
                      <w:szCs w:val="16"/>
                    </w:rPr>
                  </w:pPr>
                </w:p>
              </w:tc>
              <w:tc>
                <w:tcPr>
                  <w:tcW w:w="1060" w:type="dxa"/>
                  <w:vMerge/>
                </w:tcPr>
                <w:p w14:paraId="1342FC4C" w14:textId="77777777" w:rsidR="009D00F4" w:rsidRPr="00257FB3" w:rsidRDefault="009D00F4" w:rsidP="00654418">
                  <w:pPr>
                    <w:framePr w:hSpace="141" w:wrap="around" w:hAnchor="margin" w:xAlign="center" w:y="-1415"/>
                    <w:jc w:val="center"/>
                    <w:rPr>
                      <w:sz w:val="16"/>
                      <w:szCs w:val="16"/>
                    </w:rPr>
                  </w:pPr>
                </w:p>
              </w:tc>
              <w:tc>
                <w:tcPr>
                  <w:tcW w:w="1060" w:type="dxa"/>
                </w:tcPr>
                <w:p w14:paraId="0BD59CF2" w14:textId="77777777" w:rsidR="009D00F4" w:rsidRPr="00257FB3" w:rsidRDefault="009D00F4" w:rsidP="00654418">
                  <w:pPr>
                    <w:framePr w:hSpace="141" w:wrap="around" w:hAnchor="margin" w:xAlign="center" w:y="-1415"/>
                    <w:jc w:val="center"/>
                    <w:rPr>
                      <w:sz w:val="16"/>
                      <w:szCs w:val="16"/>
                    </w:rPr>
                  </w:pPr>
                  <w:r w:rsidRPr="00257FB3">
                    <w:rPr>
                      <w:b/>
                      <w:bCs/>
                      <w:sz w:val="16"/>
                      <w:szCs w:val="16"/>
                    </w:rPr>
                    <w:t>Najmenej</w:t>
                  </w:r>
                </w:p>
              </w:tc>
              <w:tc>
                <w:tcPr>
                  <w:tcW w:w="1060" w:type="dxa"/>
                </w:tcPr>
                <w:p w14:paraId="1CF29F45" w14:textId="77777777" w:rsidR="009D00F4" w:rsidRPr="00257FB3" w:rsidRDefault="009D00F4" w:rsidP="00654418">
                  <w:pPr>
                    <w:framePr w:hSpace="141" w:wrap="around" w:hAnchor="margin" w:xAlign="center" w:y="-1415"/>
                    <w:jc w:val="center"/>
                    <w:rPr>
                      <w:sz w:val="16"/>
                      <w:szCs w:val="16"/>
                    </w:rPr>
                  </w:pPr>
                  <w:r w:rsidRPr="00257FB3">
                    <w:rPr>
                      <w:b/>
                      <w:bCs/>
                      <w:sz w:val="16"/>
                      <w:szCs w:val="16"/>
                    </w:rPr>
                    <w:t>Najviac</w:t>
                  </w:r>
                </w:p>
              </w:tc>
            </w:tr>
            <w:tr w:rsidR="009D00F4" w:rsidRPr="00257FB3" w14:paraId="1C975167" w14:textId="77777777" w:rsidTr="0017306B">
              <w:tc>
                <w:tcPr>
                  <w:tcW w:w="4239" w:type="dxa"/>
                  <w:gridSpan w:val="4"/>
                </w:tcPr>
                <w:p w14:paraId="5D72EA67" w14:textId="77777777" w:rsidR="009D00F4" w:rsidRPr="00257FB3" w:rsidRDefault="009D00F4" w:rsidP="00654418">
                  <w:pPr>
                    <w:framePr w:hSpace="141" w:wrap="around" w:hAnchor="margin" w:xAlign="center" w:y="-1415"/>
                    <w:rPr>
                      <w:sz w:val="16"/>
                      <w:szCs w:val="16"/>
                    </w:rPr>
                  </w:pPr>
                  <w:r w:rsidRPr="00257FB3">
                    <w:rPr>
                      <w:b/>
                      <w:sz w:val="16"/>
                      <w:szCs w:val="16"/>
                    </w:rPr>
                    <w:t>MOTOROVÁ NAFTA</w:t>
                  </w:r>
                </w:p>
              </w:tc>
            </w:tr>
            <w:tr w:rsidR="009D00F4" w:rsidRPr="00257FB3" w14:paraId="7894F152" w14:textId="77777777" w:rsidTr="0017306B">
              <w:tc>
                <w:tcPr>
                  <w:tcW w:w="1059" w:type="dxa"/>
                </w:tcPr>
                <w:p w14:paraId="741AAA0A"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Cetánové</w:t>
                  </w:r>
                  <w:proofErr w:type="spellEnd"/>
                  <w:r w:rsidRPr="00257FB3">
                    <w:rPr>
                      <w:sz w:val="16"/>
                      <w:szCs w:val="16"/>
                    </w:rPr>
                    <w:t xml:space="preserve"> číslo</w:t>
                  </w:r>
                </w:p>
              </w:tc>
              <w:tc>
                <w:tcPr>
                  <w:tcW w:w="1060" w:type="dxa"/>
                </w:tcPr>
                <w:p w14:paraId="3DFA48BB" w14:textId="77777777" w:rsidR="009D00F4" w:rsidRPr="00257FB3" w:rsidRDefault="009D00F4" w:rsidP="00654418">
                  <w:pPr>
                    <w:framePr w:hSpace="141" w:wrap="around" w:hAnchor="margin" w:xAlign="center" w:y="-1415"/>
                    <w:jc w:val="center"/>
                    <w:rPr>
                      <w:sz w:val="16"/>
                      <w:szCs w:val="16"/>
                    </w:rPr>
                  </w:pPr>
                </w:p>
              </w:tc>
              <w:tc>
                <w:tcPr>
                  <w:tcW w:w="1060" w:type="dxa"/>
                </w:tcPr>
                <w:p w14:paraId="45C4F497" w14:textId="77777777" w:rsidR="009D00F4" w:rsidRPr="00257FB3" w:rsidRDefault="009D00F4" w:rsidP="00654418">
                  <w:pPr>
                    <w:framePr w:hSpace="141" w:wrap="around" w:hAnchor="margin" w:xAlign="center" w:y="-1415"/>
                    <w:jc w:val="center"/>
                    <w:rPr>
                      <w:sz w:val="16"/>
                      <w:szCs w:val="16"/>
                    </w:rPr>
                  </w:pPr>
                  <w:r w:rsidRPr="00257FB3">
                    <w:rPr>
                      <w:sz w:val="16"/>
                      <w:szCs w:val="16"/>
                    </w:rPr>
                    <w:t>51,0</w:t>
                  </w:r>
                </w:p>
              </w:tc>
              <w:tc>
                <w:tcPr>
                  <w:tcW w:w="1060" w:type="dxa"/>
                </w:tcPr>
                <w:p w14:paraId="2FE829B6" w14:textId="77777777" w:rsidR="009D00F4" w:rsidRPr="00257FB3" w:rsidRDefault="009D00F4" w:rsidP="00654418">
                  <w:pPr>
                    <w:framePr w:hSpace="141" w:wrap="around" w:hAnchor="margin" w:xAlign="center" w:y="-1415"/>
                    <w:jc w:val="center"/>
                    <w:rPr>
                      <w:sz w:val="16"/>
                      <w:szCs w:val="16"/>
                    </w:rPr>
                  </w:pPr>
                </w:p>
              </w:tc>
            </w:tr>
            <w:tr w:rsidR="009D00F4" w:rsidRPr="00257FB3" w14:paraId="69D2FE55" w14:textId="77777777" w:rsidTr="0017306B">
              <w:tc>
                <w:tcPr>
                  <w:tcW w:w="1059" w:type="dxa"/>
                </w:tcPr>
                <w:p w14:paraId="04FADE90" w14:textId="77777777" w:rsidR="009D00F4" w:rsidRPr="00257FB3" w:rsidRDefault="009D00F4" w:rsidP="00654418">
                  <w:pPr>
                    <w:framePr w:hSpace="141" w:wrap="around" w:hAnchor="margin" w:xAlign="center" w:y="-1415"/>
                    <w:rPr>
                      <w:sz w:val="16"/>
                      <w:szCs w:val="16"/>
                    </w:rPr>
                  </w:pPr>
                  <w:r w:rsidRPr="00257FB3">
                    <w:rPr>
                      <w:sz w:val="16"/>
                      <w:szCs w:val="16"/>
                    </w:rPr>
                    <w:t>Hustota pri 15 °C</w:t>
                  </w:r>
                </w:p>
              </w:tc>
              <w:tc>
                <w:tcPr>
                  <w:tcW w:w="1060" w:type="dxa"/>
                </w:tcPr>
                <w:p w14:paraId="2738F2E3" w14:textId="77777777" w:rsidR="009D00F4" w:rsidRPr="00257FB3" w:rsidRDefault="009D00F4" w:rsidP="00654418">
                  <w:pPr>
                    <w:framePr w:hSpace="141" w:wrap="around" w:hAnchor="margin" w:xAlign="center" w:y="-1415"/>
                    <w:jc w:val="center"/>
                    <w:rPr>
                      <w:sz w:val="16"/>
                      <w:szCs w:val="16"/>
                    </w:rPr>
                  </w:pPr>
                  <w:r w:rsidRPr="00257FB3">
                    <w:rPr>
                      <w:sz w:val="16"/>
                      <w:szCs w:val="16"/>
                    </w:rPr>
                    <w:t>kg/m</w:t>
                  </w:r>
                  <w:r w:rsidRPr="00257FB3">
                    <w:rPr>
                      <w:sz w:val="16"/>
                      <w:szCs w:val="16"/>
                      <w:vertAlign w:val="superscript"/>
                    </w:rPr>
                    <w:t>3</w:t>
                  </w:r>
                </w:p>
              </w:tc>
              <w:tc>
                <w:tcPr>
                  <w:tcW w:w="1060" w:type="dxa"/>
                </w:tcPr>
                <w:p w14:paraId="4ECAA743"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4F7F830A" w14:textId="77777777" w:rsidR="009D00F4" w:rsidRPr="00257FB3" w:rsidRDefault="009D00F4" w:rsidP="00654418">
                  <w:pPr>
                    <w:framePr w:hSpace="141" w:wrap="around" w:hAnchor="margin" w:xAlign="center" w:y="-1415"/>
                    <w:jc w:val="center"/>
                    <w:rPr>
                      <w:sz w:val="16"/>
                      <w:szCs w:val="16"/>
                    </w:rPr>
                  </w:pPr>
                  <w:r w:rsidRPr="00257FB3">
                    <w:rPr>
                      <w:sz w:val="16"/>
                      <w:szCs w:val="16"/>
                    </w:rPr>
                    <w:t>845,0</w:t>
                  </w:r>
                </w:p>
              </w:tc>
            </w:tr>
            <w:tr w:rsidR="009D00F4" w:rsidRPr="00257FB3" w14:paraId="3B61CAB7" w14:textId="77777777" w:rsidTr="0017306B">
              <w:tc>
                <w:tcPr>
                  <w:tcW w:w="1059" w:type="dxa"/>
                </w:tcPr>
                <w:p w14:paraId="5E73EBB4" w14:textId="77777777" w:rsidR="009D00F4" w:rsidRPr="00257FB3" w:rsidRDefault="009D00F4" w:rsidP="00654418">
                  <w:pPr>
                    <w:framePr w:hSpace="141" w:wrap="around" w:hAnchor="margin" w:xAlign="center" w:y="-1415"/>
                    <w:rPr>
                      <w:sz w:val="16"/>
                      <w:szCs w:val="16"/>
                    </w:rPr>
                  </w:pPr>
                  <w:r w:rsidRPr="00257FB3">
                    <w:rPr>
                      <w:sz w:val="16"/>
                      <w:szCs w:val="16"/>
                    </w:rPr>
                    <w:lastRenderedPageBreak/>
                    <w:t>Destilácia - 95 % získanej pri</w:t>
                  </w:r>
                </w:p>
              </w:tc>
              <w:tc>
                <w:tcPr>
                  <w:tcW w:w="1060" w:type="dxa"/>
                </w:tcPr>
                <w:p w14:paraId="202636A7" w14:textId="77777777" w:rsidR="009D00F4" w:rsidRPr="00257FB3" w:rsidRDefault="009D00F4" w:rsidP="00654418">
                  <w:pPr>
                    <w:framePr w:hSpace="141" w:wrap="around" w:hAnchor="margin" w:xAlign="center" w:y="-1415"/>
                    <w:jc w:val="center"/>
                    <w:rPr>
                      <w:sz w:val="16"/>
                      <w:szCs w:val="16"/>
                    </w:rPr>
                  </w:pPr>
                  <w:r w:rsidRPr="00257FB3">
                    <w:rPr>
                      <w:sz w:val="16"/>
                      <w:szCs w:val="16"/>
                    </w:rPr>
                    <w:t>°C</w:t>
                  </w:r>
                </w:p>
              </w:tc>
              <w:tc>
                <w:tcPr>
                  <w:tcW w:w="1060" w:type="dxa"/>
                </w:tcPr>
                <w:p w14:paraId="750B6B79"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5226F3BF" w14:textId="77777777" w:rsidR="009D00F4" w:rsidRPr="00257FB3" w:rsidRDefault="009D00F4" w:rsidP="00654418">
                  <w:pPr>
                    <w:framePr w:hSpace="141" w:wrap="around" w:hAnchor="margin" w:xAlign="center" w:y="-1415"/>
                    <w:jc w:val="center"/>
                    <w:rPr>
                      <w:sz w:val="16"/>
                      <w:szCs w:val="16"/>
                    </w:rPr>
                  </w:pPr>
                  <w:r w:rsidRPr="00257FB3">
                    <w:rPr>
                      <w:sz w:val="16"/>
                      <w:szCs w:val="16"/>
                    </w:rPr>
                    <w:t>360,0</w:t>
                  </w:r>
                </w:p>
              </w:tc>
            </w:tr>
            <w:tr w:rsidR="009D00F4" w:rsidRPr="00257FB3" w14:paraId="195E199B" w14:textId="77777777" w:rsidTr="0017306B">
              <w:tc>
                <w:tcPr>
                  <w:tcW w:w="1059" w:type="dxa"/>
                </w:tcPr>
                <w:p w14:paraId="31AAB0A3"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Polycyklické</w:t>
                  </w:r>
                  <w:proofErr w:type="spellEnd"/>
                  <w:r w:rsidRPr="00257FB3">
                    <w:rPr>
                      <w:sz w:val="16"/>
                      <w:szCs w:val="16"/>
                    </w:rPr>
                    <w:t xml:space="preserve"> aromatické uhľovodíky</w:t>
                  </w:r>
                </w:p>
              </w:tc>
              <w:tc>
                <w:tcPr>
                  <w:tcW w:w="1060" w:type="dxa"/>
                </w:tcPr>
                <w:p w14:paraId="7C47351A" w14:textId="77777777" w:rsidR="009D00F4" w:rsidRPr="00257FB3" w:rsidRDefault="009D00F4" w:rsidP="00654418">
                  <w:pPr>
                    <w:framePr w:hSpace="141" w:wrap="around" w:hAnchor="margin" w:xAlign="center" w:y="-1415"/>
                    <w:jc w:val="center"/>
                    <w:rPr>
                      <w:sz w:val="16"/>
                      <w:szCs w:val="16"/>
                    </w:rPr>
                  </w:pPr>
                  <w:r w:rsidRPr="00257FB3">
                    <w:rPr>
                      <w:sz w:val="16"/>
                      <w:szCs w:val="16"/>
                    </w:rPr>
                    <w:t>% hmotnosti</w:t>
                  </w:r>
                </w:p>
              </w:tc>
              <w:tc>
                <w:tcPr>
                  <w:tcW w:w="1060" w:type="dxa"/>
                </w:tcPr>
                <w:p w14:paraId="52CD291F"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23AF5BB6" w14:textId="77777777" w:rsidR="009D00F4" w:rsidRPr="00257FB3" w:rsidRDefault="009D00F4" w:rsidP="00654418">
                  <w:pPr>
                    <w:framePr w:hSpace="141" w:wrap="around" w:hAnchor="margin" w:xAlign="center" w:y="-1415"/>
                    <w:jc w:val="center"/>
                    <w:rPr>
                      <w:sz w:val="16"/>
                      <w:szCs w:val="16"/>
                    </w:rPr>
                  </w:pPr>
                  <w:r w:rsidRPr="00257FB3">
                    <w:rPr>
                      <w:sz w:val="16"/>
                      <w:szCs w:val="16"/>
                    </w:rPr>
                    <w:t>8,0</w:t>
                  </w:r>
                </w:p>
              </w:tc>
            </w:tr>
            <w:tr w:rsidR="009D00F4" w:rsidRPr="00257FB3" w14:paraId="09B6DDA4" w14:textId="77777777" w:rsidTr="0017306B">
              <w:tc>
                <w:tcPr>
                  <w:tcW w:w="1059" w:type="dxa"/>
                </w:tcPr>
                <w:p w14:paraId="4A090389" w14:textId="77777777" w:rsidR="009D00F4" w:rsidRPr="00257FB3" w:rsidRDefault="009D00F4" w:rsidP="00654418">
                  <w:pPr>
                    <w:framePr w:hSpace="141" w:wrap="around" w:hAnchor="margin" w:xAlign="center" w:y="-1415"/>
                    <w:rPr>
                      <w:sz w:val="16"/>
                      <w:szCs w:val="16"/>
                    </w:rPr>
                  </w:pPr>
                  <w:r w:rsidRPr="00257FB3">
                    <w:rPr>
                      <w:sz w:val="16"/>
                      <w:szCs w:val="16"/>
                    </w:rPr>
                    <w:t>Obsah síry</w:t>
                  </w:r>
                </w:p>
              </w:tc>
              <w:tc>
                <w:tcPr>
                  <w:tcW w:w="1060" w:type="dxa"/>
                </w:tcPr>
                <w:p w14:paraId="56D96966" w14:textId="77777777" w:rsidR="009D00F4" w:rsidRPr="00257FB3" w:rsidRDefault="009D00F4" w:rsidP="00654418">
                  <w:pPr>
                    <w:framePr w:hSpace="141" w:wrap="around" w:hAnchor="margin" w:xAlign="center" w:y="-1415"/>
                    <w:jc w:val="center"/>
                    <w:rPr>
                      <w:sz w:val="16"/>
                      <w:szCs w:val="16"/>
                    </w:rPr>
                  </w:pPr>
                  <w:r w:rsidRPr="00257FB3">
                    <w:rPr>
                      <w:sz w:val="16"/>
                      <w:szCs w:val="16"/>
                    </w:rPr>
                    <w:t>mg/kg</w:t>
                  </w:r>
                </w:p>
              </w:tc>
              <w:tc>
                <w:tcPr>
                  <w:tcW w:w="1060" w:type="dxa"/>
                </w:tcPr>
                <w:p w14:paraId="6DAD4498" w14:textId="77777777" w:rsidR="009D00F4" w:rsidRPr="00257FB3" w:rsidRDefault="009D00F4" w:rsidP="00654418">
                  <w:pPr>
                    <w:framePr w:hSpace="141" w:wrap="around" w:hAnchor="margin" w:xAlign="center" w:y="-1415"/>
                    <w:jc w:val="center"/>
                    <w:rPr>
                      <w:sz w:val="16"/>
                      <w:szCs w:val="16"/>
                    </w:rPr>
                  </w:pPr>
                </w:p>
              </w:tc>
              <w:tc>
                <w:tcPr>
                  <w:tcW w:w="1060" w:type="dxa"/>
                </w:tcPr>
                <w:p w14:paraId="2B2D738E" w14:textId="77777777" w:rsidR="009D00F4" w:rsidRPr="00257FB3" w:rsidRDefault="009D00F4" w:rsidP="00654418">
                  <w:pPr>
                    <w:framePr w:hSpace="141" w:wrap="around" w:hAnchor="margin" w:xAlign="center" w:y="-1415"/>
                    <w:jc w:val="center"/>
                    <w:rPr>
                      <w:sz w:val="16"/>
                      <w:szCs w:val="16"/>
                    </w:rPr>
                  </w:pPr>
                  <w:r w:rsidRPr="00257FB3">
                    <w:rPr>
                      <w:sz w:val="16"/>
                      <w:szCs w:val="16"/>
                    </w:rPr>
                    <w:t>10,0</w:t>
                  </w:r>
                </w:p>
              </w:tc>
            </w:tr>
            <w:tr w:rsidR="009D00F4" w:rsidRPr="00257FB3" w14:paraId="1BF1A265" w14:textId="77777777" w:rsidTr="0017306B">
              <w:tc>
                <w:tcPr>
                  <w:tcW w:w="1059" w:type="dxa"/>
                </w:tcPr>
                <w:p w14:paraId="476181E4" w14:textId="77777777" w:rsidR="009D00F4" w:rsidRPr="00257FB3" w:rsidRDefault="009D00F4" w:rsidP="00654418">
                  <w:pPr>
                    <w:framePr w:hSpace="141" w:wrap="around" w:hAnchor="margin" w:xAlign="center" w:y="-1415"/>
                    <w:rPr>
                      <w:sz w:val="16"/>
                      <w:szCs w:val="16"/>
                    </w:rPr>
                  </w:pPr>
                  <w:r w:rsidRPr="00257FB3">
                    <w:rPr>
                      <w:sz w:val="16"/>
                      <w:szCs w:val="16"/>
                    </w:rPr>
                    <w:t xml:space="preserve">Obsah </w:t>
                  </w:r>
                  <w:proofErr w:type="spellStart"/>
                  <w:r w:rsidRPr="00257FB3">
                    <w:rPr>
                      <w:sz w:val="16"/>
                      <w:szCs w:val="16"/>
                    </w:rPr>
                    <w:t>metylesterov</w:t>
                  </w:r>
                  <w:proofErr w:type="spellEnd"/>
                  <w:r w:rsidRPr="00257FB3">
                    <w:rPr>
                      <w:sz w:val="16"/>
                      <w:szCs w:val="16"/>
                    </w:rPr>
                    <w:t xml:space="preserve"> mastných kyselín</w:t>
                  </w:r>
                  <w:r>
                    <w:rPr>
                      <w:sz w:val="16"/>
                      <w:szCs w:val="16"/>
                      <w:vertAlign w:val="superscript"/>
                    </w:rPr>
                    <w:t>45a</w:t>
                  </w:r>
                  <w:r w:rsidRPr="00257FB3">
                    <w:rPr>
                      <w:sz w:val="16"/>
                      <w:szCs w:val="16"/>
                    </w:rPr>
                    <w:t>)</w:t>
                  </w:r>
                </w:p>
              </w:tc>
              <w:tc>
                <w:tcPr>
                  <w:tcW w:w="1060" w:type="dxa"/>
                </w:tcPr>
                <w:p w14:paraId="02C0F334" w14:textId="77777777" w:rsidR="009D00F4" w:rsidRPr="00257FB3" w:rsidRDefault="009D00F4" w:rsidP="00654418">
                  <w:pPr>
                    <w:framePr w:hSpace="141" w:wrap="around" w:hAnchor="margin" w:xAlign="center" w:y="-1415"/>
                    <w:jc w:val="center"/>
                    <w:rPr>
                      <w:sz w:val="16"/>
                      <w:szCs w:val="16"/>
                    </w:rPr>
                  </w:pPr>
                  <w:r w:rsidRPr="00257FB3">
                    <w:rPr>
                      <w:sz w:val="16"/>
                      <w:szCs w:val="16"/>
                    </w:rPr>
                    <w:t>%</w:t>
                  </w:r>
                </w:p>
              </w:tc>
              <w:tc>
                <w:tcPr>
                  <w:tcW w:w="1060" w:type="dxa"/>
                </w:tcPr>
                <w:p w14:paraId="3F3ED088" w14:textId="77777777" w:rsidR="009D00F4" w:rsidRPr="00257FB3" w:rsidRDefault="009D00F4" w:rsidP="00654418">
                  <w:pPr>
                    <w:framePr w:hSpace="141" w:wrap="around" w:hAnchor="margin" w:xAlign="center" w:y="-1415"/>
                    <w:jc w:val="center"/>
                    <w:rPr>
                      <w:sz w:val="16"/>
                      <w:szCs w:val="16"/>
                    </w:rPr>
                  </w:pPr>
                </w:p>
              </w:tc>
              <w:tc>
                <w:tcPr>
                  <w:tcW w:w="1060" w:type="dxa"/>
                </w:tcPr>
                <w:p w14:paraId="67D2C58D" w14:textId="77777777" w:rsidR="009D00F4" w:rsidRPr="00257FB3" w:rsidRDefault="009D00F4" w:rsidP="00654418">
                  <w:pPr>
                    <w:framePr w:hSpace="141" w:wrap="around" w:hAnchor="margin" w:xAlign="center" w:y="-1415"/>
                    <w:jc w:val="center"/>
                    <w:rPr>
                      <w:sz w:val="16"/>
                      <w:szCs w:val="16"/>
                    </w:rPr>
                  </w:pPr>
                  <w:r>
                    <w:rPr>
                      <w:sz w:val="16"/>
                      <w:szCs w:val="16"/>
                    </w:rPr>
                    <w:t>10</w:t>
                  </w:r>
                  <w:r w:rsidRPr="00257FB3">
                    <w:rPr>
                      <w:sz w:val="16"/>
                      <w:szCs w:val="16"/>
                    </w:rPr>
                    <w:t>,0</w:t>
                  </w:r>
                  <w:r w:rsidRPr="00257FB3">
                    <w:rPr>
                      <w:sz w:val="16"/>
                      <w:szCs w:val="16"/>
                      <w:vertAlign w:val="superscript"/>
                    </w:rPr>
                    <w:t>c</w:t>
                  </w:r>
                  <w:r w:rsidRPr="00257FB3">
                    <w:rPr>
                      <w:sz w:val="16"/>
                      <w:szCs w:val="16"/>
                    </w:rPr>
                    <w:t>)</w:t>
                  </w:r>
                </w:p>
              </w:tc>
            </w:tr>
          </w:tbl>
          <w:p w14:paraId="1FEFACF3" w14:textId="77777777" w:rsidR="009D00F4" w:rsidRPr="00257FB3" w:rsidRDefault="009D00F4" w:rsidP="009D00F4">
            <w:pPr>
              <w:ind w:left="-180"/>
              <w:rPr>
                <w:sz w:val="16"/>
                <w:szCs w:val="16"/>
              </w:rPr>
            </w:pPr>
          </w:p>
          <w:p w14:paraId="1F56D457" w14:textId="77777777" w:rsidR="009D00F4" w:rsidRPr="00257FB3" w:rsidRDefault="009D00F4" w:rsidP="009D00F4">
            <w:pPr>
              <w:ind w:left="-180"/>
              <w:rPr>
                <w:sz w:val="16"/>
                <w:szCs w:val="16"/>
              </w:rPr>
            </w:pPr>
            <w:r w:rsidRPr="00257FB3">
              <w:rPr>
                <w:sz w:val="16"/>
                <w:szCs w:val="16"/>
              </w:rPr>
              <w:t xml:space="preserve">    </w:t>
            </w:r>
            <w:r>
              <w:rPr>
                <w:sz w:val="16"/>
                <w:szCs w:val="16"/>
              </w:rPr>
              <w:t>Vysvetlivky</w:t>
            </w:r>
            <w:r w:rsidRPr="00257FB3">
              <w:rPr>
                <w:sz w:val="16"/>
                <w:szCs w:val="16"/>
              </w:rPr>
              <w:t>:</w:t>
            </w:r>
            <w:r>
              <w:rPr>
                <w:sz w:val="16"/>
                <w:szCs w:val="16"/>
              </w:rPr>
              <w:t xml:space="preserve"> </w:t>
            </w:r>
            <w:r w:rsidRPr="00257FB3">
              <w:rPr>
                <w:sz w:val="16"/>
                <w:szCs w:val="16"/>
              </w:rPr>
              <w:t xml:space="preserve">   </w:t>
            </w:r>
          </w:p>
          <w:p w14:paraId="611CCBB8" w14:textId="77777777" w:rsidR="009D00F4" w:rsidRPr="00257FB3" w:rsidRDefault="009D00F4" w:rsidP="009D00F4">
            <w:pPr>
              <w:keepNext/>
              <w:numPr>
                <w:ilvl w:val="0"/>
                <w:numId w:val="6"/>
              </w:numPr>
              <w:spacing w:before="60" w:after="60" w:line="240" w:lineRule="auto"/>
              <w:jc w:val="both"/>
              <w:rPr>
                <w:sz w:val="16"/>
                <w:szCs w:val="16"/>
              </w:rPr>
            </w:pPr>
            <w:r w:rsidRPr="00257FB3">
              <w:rPr>
                <w:sz w:val="16"/>
                <w:szCs w:val="16"/>
              </w:rPr>
              <w:t>Skúšobné metódy sú špecifikované v technickej norme</w:t>
            </w:r>
            <w:r>
              <w:rPr>
                <w:sz w:val="16"/>
                <w:szCs w:val="16"/>
                <w:vertAlign w:val="superscript"/>
              </w:rPr>
              <w:t>21b</w:t>
            </w:r>
            <w:r w:rsidRPr="00257FB3">
              <w:rPr>
                <w:sz w:val="16"/>
                <w:szCs w:val="16"/>
              </w:rPr>
              <w:t>) alebo inej obdobnej technickej špecifikácii s porovnateľnými alebo prísnejšími požiadavkami.</w:t>
            </w:r>
          </w:p>
          <w:p w14:paraId="28C041F0" w14:textId="77777777" w:rsidR="009D00F4" w:rsidRPr="00257FB3" w:rsidRDefault="009D00F4" w:rsidP="009D00F4">
            <w:pPr>
              <w:keepNext/>
              <w:numPr>
                <w:ilvl w:val="0"/>
                <w:numId w:val="6"/>
              </w:numPr>
              <w:spacing w:before="60" w:after="60" w:line="240" w:lineRule="auto"/>
              <w:jc w:val="both"/>
              <w:rPr>
                <w:sz w:val="16"/>
                <w:szCs w:val="16"/>
              </w:rPr>
            </w:pPr>
            <w:r w:rsidRPr="00257FB3">
              <w:rPr>
                <w:sz w:val="16"/>
                <w:szCs w:val="16"/>
              </w:rPr>
              <w:t>Hodnoty uvedené v špecifikácii sú „skutočné hodnoty“. Pri stanovení ich limitných hodnôt sa použili podmienky technickej normy</w:t>
            </w:r>
            <w:r>
              <w:rPr>
                <w:sz w:val="16"/>
                <w:szCs w:val="16"/>
                <w:vertAlign w:val="superscript"/>
              </w:rPr>
              <w:t>45</w:t>
            </w:r>
            <w:r w:rsidRPr="00257FB3">
              <w:rPr>
                <w:sz w:val="16"/>
                <w:szCs w:val="16"/>
              </w:rPr>
              <w:t>) alebo inej obdobnej technickej špecifikácie s porovnateľnými alebo prísnejšími požiadavkami. Pri stanovení najnižšej hodnoty sa zohľadnil najmenší rozdiel 2R nad nulou (R = reprodukovateľnosť). Výsledky jednotlivých meraní sa interpretujú na základe kritérií uvedených v technickej norme</w:t>
            </w:r>
            <w:r>
              <w:rPr>
                <w:sz w:val="16"/>
                <w:szCs w:val="16"/>
                <w:vertAlign w:val="superscript"/>
              </w:rPr>
              <w:t>45</w:t>
            </w:r>
            <w:r w:rsidRPr="00257FB3">
              <w:rPr>
                <w:sz w:val="16"/>
                <w:szCs w:val="16"/>
              </w:rPr>
              <w:t>) alebo inej obdobnej technickej špecifikácii s porovnateľnými alebo prísnejšími požiadavkami.</w:t>
            </w:r>
          </w:p>
          <w:p w14:paraId="72AE63D5" w14:textId="77777777" w:rsidR="009D00F4" w:rsidRPr="00257FB3" w:rsidRDefault="009D00F4" w:rsidP="009D00F4">
            <w:pPr>
              <w:keepNext/>
              <w:numPr>
                <w:ilvl w:val="0"/>
                <w:numId w:val="6"/>
              </w:numPr>
              <w:spacing w:before="60" w:after="60" w:line="240" w:lineRule="auto"/>
              <w:jc w:val="both"/>
              <w:rPr>
                <w:sz w:val="20"/>
                <w:lang w:eastAsia="sk-SK"/>
              </w:rPr>
            </w:pPr>
            <w:proofErr w:type="spellStart"/>
            <w:r w:rsidRPr="00257FB3">
              <w:rPr>
                <w:sz w:val="16"/>
                <w:szCs w:val="16"/>
              </w:rPr>
              <w:t>Metylestery</w:t>
            </w:r>
            <w:proofErr w:type="spellEnd"/>
            <w:r w:rsidRPr="00257FB3">
              <w:rPr>
                <w:sz w:val="16"/>
                <w:szCs w:val="16"/>
              </w:rPr>
              <w:t xml:space="preserve"> mastných kyselín musia spĺňať technickú normu</w:t>
            </w:r>
            <w:r>
              <w:rPr>
                <w:sz w:val="16"/>
                <w:szCs w:val="16"/>
                <w:vertAlign w:val="superscript"/>
              </w:rPr>
              <w:t>23</w:t>
            </w:r>
            <w:r w:rsidRPr="00257FB3">
              <w:rPr>
                <w:sz w:val="16"/>
                <w:szCs w:val="16"/>
              </w:rPr>
              <w:t>) alebo inú obdobnú technickú špecifikáciu s porovnateľnými alebo prísnejšími požiadavkami.</w:t>
            </w:r>
            <w:r>
              <w:rPr>
                <w:sz w:val="16"/>
                <w:szCs w:val="16"/>
              </w:rPr>
              <w:t xml:space="preserve"> </w:t>
            </w:r>
          </w:p>
          <w:p w14:paraId="2738E5CE" w14:textId="77777777" w:rsidR="009D00F4" w:rsidRPr="00257FB3" w:rsidRDefault="00654418" w:rsidP="009D00F4">
            <w:pPr>
              <w:spacing w:line="240" w:lineRule="atLeast"/>
              <w:ind w:left="-44" w:firstLine="44"/>
              <w:jc w:val="both"/>
            </w:pPr>
            <w:r>
              <w:rPr>
                <w:noProof/>
              </w:rPr>
              <w:pict w14:anchorId="0647441A">
                <v:shape id="_x0000_s1042" type="#_x0000_t32" style="position:absolute;left:0;text-align:left;margin-left:.1pt;margin-top:5.4pt;width:58.2pt;height:0;z-index:251681792" o:connectortype="straight"/>
              </w:pict>
            </w:r>
          </w:p>
          <w:p w14:paraId="4CD4DA64" w14:textId="77777777" w:rsidR="009D00F4" w:rsidRDefault="009D00F4" w:rsidP="009D00F4">
            <w:pPr>
              <w:pStyle w:val="Textpoznmkypodiarou"/>
              <w:jc w:val="both"/>
              <w:rPr>
                <w:rFonts w:eastAsia="Calibri"/>
                <w:sz w:val="18"/>
                <w:szCs w:val="18"/>
                <w:lang w:eastAsia="sk-SK"/>
              </w:rPr>
            </w:pPr>
            <w:r w:rsidRPr="00411D3B">
              <w:rPr>
                <w:rFonts w:eastAsia="Calibri"/>
                <w:sz w:val="18"/>
                <w:szCs w:val="18"/>
                <w:vertAlign w:val="superscript"/>
                <w:lang w:eastAsia="sk-SK"/>
              </w:rPr>
              <w:t>45a</w:t>
            </w:r>
            <w:r w:rsidRPr="00411D3B">
              <w:rPr>
                <w:rFonts w:eastAsia="Calibri"/>
                <w:sz w:val="18"/>
                <w:szCs w:val="18"/>
                <w:lang w:eastAsia="sk-SK"/>
              </w:rPr>
              <w:t xml:space="preserve">) STN EN 14078 Kvapalné ropné výrobky. Stanovenie obsahu </w:t>
            </w:r>
            <w:proofErr w:type="spellStart"/>
            <w:r w:rsidRPr="00411D3B">
              <w:rPr>
                <w:rFonts w:eastAsia="Calibri"/>
                <w:sz w:val="18"/>
                <w:szCs w:val="18"/>
                <w:lang w:eastAsia="sk-SK"/>
              </w:rPr>
              <w:t>metylesterov</w:t>
            </w:r>
            <w:proofErr w:type="spellEnd"/>
            <w:r w:rsidRPr="00411D3B">
              <w:rPr>
                <w:rFonts w:eastAsia="Calibri"/>
                <w:sz w:val="18"/>
                <w:szCs w:val="18"/>
                <w:lang w:eastAsia="sk-SK"/>
              </w:rPr>
              <w:t xml:space="preserve"> mastných kyselín (FAME) v stredných destilátoch. Metóda infračervenej </w:t>
            </w:r>
            <w:proofErr w:type="spellStart"/>
            <w:r w:rsidRPr="00411D3B">
              <w:rPr>
                <w:rFonts w:eastAsia="Calibri"/>
                <w:sz w:val="18"/>
                <w:szCs w:val="18"/>
                <w:lang w:eastAsia="sk-SK"/>
              </w:rPr>
              <w:t>spektrometrie</w:t>
            </w:r>
            <w:proofErr w:type="spellEnd"/>
            <w:r w:rsidRPr="00411D3B">
              <w:rPr>
                <w:rFonts w:eastAsia="Calibri"/>
                <w:sz w:val="18"/>
                <w:szCs w:val="18"/>
                <w:lang w:eastAsia="sk-SK"/>
              </w:rPr>
              <w:t xml:space="preserve"> (</w:t>
            </w:r>
            <w:hyperlink r:id="rId9" w:tgtFrame="_blank" w:history="1">
              <w:r w:rsidRPr="00411D3B">
                <w:rPr>
                  <w:rFonts w:eastAsia="Calibri"/>
                  <w:sz w:val="18"/>
                  <w:szCs w:val="18"/>
                  <w:lang w:eastAsia="sk-SK"/>
                </w:rPr>
                <w:t>65 6532</w:t>
              </w:r>
            </w:hyperlink>
            <w:r w:rsidRPr="00411D3B">
              <w:rPr>
                <w:rFonts w:eastAsia="Calibri"/>
                <w:sz w:val="18"/>
                <w:szCs w:val="18"/>
                <w:lang w:eastAsia="sk-SK"/>
              </w:rPr>
              <w:t>).</w:t>
            </w:r>
          </w:p>
          <w:p w14:paraId="1CCAFDE8" w14:textId="77777777" w:rsidR="009D00F4" w:rsidRPr="00257FB3" w:rsidRDefault="009D00F4" w:rsidP="009D00F4">
            <w:pPr>
              <w:pStyle w:val="Textpoznmkypodiarou"/>
              <w:jc w:val="both"/>
              <w:rPr>
                <w:rFonts w:eastAsia="Calibri"/>
                <w:sz w:val="18"/>
                <w:szCs w:val="18"/>
                <w:lang w:eastAsia="sk-SK"/>
              </w:rPr>
            </w:pPr>
            <w:r>
              <w:rPr>
                <w:sz w:val="18"/>
                <w:szCs w:val="18"/>
                <w:vertAlign w:val="superscript"/>
              </w:rPr>
              <w:t>21b</w:t>
            </w:r>
            <w:r w:rsidRPr="00257FB3">
              <w:rPr>
                <w:sz w:val="18"/>
                <w:szCs w:val="18"/>
              </w:rPr>
              <w:t xml:space="preserve">) </w:t>
            </w:r>
            <w:r w:rsidRPr="00A36725">
              <w:rPr>
                <w:rFonts w:eastAsia="Calibri"/>
                <w:sz w:val="18"/>
                <w:szCs w:val="18"/>
                <w:lang w:eastAsia="sk-SK"/>
              </w:rPr>
              <w:t>STN EN 16734 Automobilové palivá. Motorová nafta B10. Požiadavky a skúšobné metódy (65 6526).</w:t>
            </w:r>
            <w:r w:rsidRPr="00257FB3">
              <w:t xml:space="preserve">  </w:t>
            </w:r>
          </w:p>
          <w:p w14:paraId="327B5D03" w14:textId="77777777" w:rsidR="009D00F4" w:rsidRPr="00257FB3" w:rsidRDefault="009D00F4" w:rsidP="009D00F4">
            <w:pPr>
              <w:keepNext/>
              <w:spacing w:before="60" w:after="60"/>
              <w:jc w:val="both"/>
              <w:rPr>
                <w:sz w:val="18"/>
                <w:szCs w:val="18"/>
                <w:lang w:eastAsia="sk-SK"/>
              </w:rPr>
            </w:pPr>
            <w:r>
              <w:rPr>
                <w:sz w:val="18"/>
                <w:szCs w:val="18"/>
                <w:vertAlign w:val="superscript"/>
              </w:rPr>
              <w:t>45</w:t>
            </w:r>
            <w:r w:rsidRPr="00257FB3">
              <w:rPr>
                <w:sz w:val="18"/>
                <w:szCs w:val="18"/>
              </w:rPr>
              <w:t xml:space="preserve">) </w:t>
            </w:r>
            <w:r w:rsidRPr="0097586D">
              <w:rPr>
                <w:rFonts w:eastAsia="Calibri"/>
                <w:sz w:val="18"/>
                <w:szCs w:val="18"/>
                <w:lang w:eastAsia="sk-SK"/>
              </w:rPr>
              <w:t>Súbor STN EN ISO 4259 Ropné výrobky a príbuzné výrobky. Zhodnosť metód merania a výsledkov merania (65 6004).</w:t>
            </w:r>
          </w:p>
          <w:p w14:paraId="2FC08FE0" w14:textId="41AC0A9D" w:rsidR="009D00F4" w:rsidRPr="0029105C" w:rsidRDefault="009D00F4" w:rsidP="009D00F4">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lang w:eastAsia="sk-SK"/>
              </w:rPr>
            </w:pPr>
            <w:r>
              <w:rPr>
                <w:sz w:val="18"/>
                <w:szCs w:val="18"/>
                <w:vertAlign w:val="superscript"/>
              </w:rPr>
              <w:lastRenderedPageBreak/>
              <w:t>23</w:t>
            </w:r>
            <w:r w:rsidRPr="00257FB3">
              <w:rPr>
                <w:sz w:val="18"/>
                <w:szCs w:val="18"/>
              </w:rPr>
              <w:t xml:space="preserve">) </w:t>
            </w:r>
            <w:r>
              <w:rPr>
                <w:sz w:val="18"/>
                <w:szCs w:val="18"/>
                <w:lang w:eastAsia="sk-SK"/>
              </w:rPr>
              <w:t>STN EN 14214+A2</w:t>
            </w:r>
            <w:r w:rsidRPr="00257FB3">
              <w:rPr>
                <w:sz w:val="18"/>
                <w:szCs w:val="18"/>
                <w:lang w:eastAsia="sk-SK"/>
              </w:rPr>
              <w:t xml:space="preserve"> Kvapalné ropné výrobky. </w:t>
            </w:r>
            <w:proofErr w:type="spellStart"/>
            <w:r w:rsidRPr="00257FB3">
              <w:rPr>
                <w:sz w:val="18"/>
                <w:szCs w:val="18"/>
                <w:lang w:eastAsia="sk-SK"/>
              </w:rPr>
              <w:t>Metylestery</w:t>
            </w:r>
            <w:proofErr w:type="spellEnd"/>
            <w:r w:rsidRPr="00257FB3">
              <w:rPr>
                <w:sz w:val="18"/>
                <w:szCs w:val="18"/>
                <w:lang w:eastAsia="sk-SK"/>
              </w:rPr>
              <w:t xml:space="preserve"> mastných kyselín (FAME) pre vznetové motory a na vykurovanie. Požiadavky a skúšobné metódy (65 6531).</w:t>
            </w:r>
            <w:r>
              <w:rPr>
                <w:sz w:val="18"/>
                <w:szCs w:val="18"/>
                <w:lang w:eastAsia="sk-SK"/>
              </w:rPr>
              <w:t xml:space="preserve"> </w:t>
            </w:r>
          </w:p>
        </w:tc>
        <w:tc>
          <w:tcPr>
            <w:tcW w:w="849" w:type="dxa"/>
            <w:tcBorders>
              <w:top w:val="single" w:sz="4" w:space="0" w:color="auto"/>
              <w:left w:val="single" w:sz="4" w:space="0" w:color="auto"/>
              <w:bottom w:val="single" w:sz="4" w:space="0" w:color="auto"/>
              <w:right w:val="single" w:sz="4" w:space="0" w:color="auto"/>
            </w:tcBorders>
          </w:tcPr>
          <w:p w14:paraId="095C4F75" w14:textId="692C0540"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Ú</w:t>
            </w:r>
          </w:p>
        </w:tc>
        <w:tc>
          <w:tcPr>
            <w:tcW w:w="1360" w:type="dxa"/>
            <w:tcBorders>
              <w:top w:val="single" w:sz="4" w:space="0" w:color="auto"/>
              <w:left w:val="single" w:sz="4" w:space="0" w:color="auto"/>
              <w:bottom w:val="single" w:sz="4" w:space="0" w:color="auto"/>
              <w:right w:val="single" w:sz="4" w:space="0" w:color="auto"/>
            </w:tcBorders>
          </w:tcPr>
          <w:p w14:paraId="3560EF21" w14:textId="58D24AA2" w:rsidR="009D00F4" w:rsidRPr="00EB77CF"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c>
          <w:tcPr>
            <w:tcW w:w="1360" w:type="dxa"/>
            <w:tcBorders>
              <w:top w:val="single" w:sz="4" w:space="0" w:color="auto"/>
              <w:left w:val="single" w:sz="4" w:space="0" w:color="auto"/>
              <w:bottom w:val="single" w:sz="4" w:space="0" w:color="auto"/>
              <w:right w:val="single" w:sz="4" w:space="0" w:color="auto"/>
            </w:tcBorders>
          </w:tcPr>
          <w:p w14:paraId="62C2A498" w14:textId="1FCF9379"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603152BA" w14:textId="77777777" w:rsidR="009D00F4" w:rsidRPr="0029105C"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9D00F4" w:rsidRPr="0029105C" w14:paraId="1E7132F2" w14:textId="77777777" w:rsidTr="0017306B">
        <w:tc>
          <w:tcPr>
            <w:tcW w:w="1005" w:type="dxa"/>
            <w:tcBorders>
              <w:top w:val="single" w:sz="4" w:space="0" w:color="auto"/>
              <w:left w:val="single" w:sz="12" w:space="0" w:color="auto"/>
              <w:bottom w:val="single" w:sz="4" w:space="0" w:color="auto"/>
              <w:right w:val="single" w:sz="4" w:space="0" w:color="auto"/>
            </w:tcBorders>
          </w:tcPr>
          <w:p w14:paraId="52A29B8E"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Príloha II</w:t>
            </w:r>
          </w:p>
          <w:p w14:paraId="1AB77863"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43EE44A8" w14:textId="7E6988D1"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b</w:t>
            </w:r>
          </w:p>
        </w:tc>
        <w:tc>
          <w:tcPr>
            <w:tcW w:w="3421" w:type="dxa"/>
            <w:tcBorders>
              <w:top w:val="single" w:sz="4" w:space="0" w:color="auto"/>
              <w:left w:val="single" w:sz="4" w:space="0" w:color="auto"/>
              <w:bottom w:val="single" w:sz="4" w:space="0" w:color="auto"/>
              <w:right w:val="single" w:sz="4" w:space="0" w:color="auto"/>
            </w:tcBorders>
          </w:tcPr>
          <w:p w14:paraId="2B4F7792" w14:textId="77777777" w:rsidR="009D00F4" w:rsidRPr="00C91C8C"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C91C8C">
              <w:rPr>
                <w:rFonts w:ascii="Times New Roman" w:eastAsia="Times New Roman" w:hAnsi="Times New Roman" w:cs="Times New Roman"/>
                <w:bCs/>
                <w:color w:val="000000" w:themeColor="text1"/>
                <w:sz w:val="20"/>
                <w:szCs w:val="20"/>
                <w:lang w:eastAsia="sk-SK"/>
              </w:rPr>
              <w:t>b)</w:t>
            </w:r>
            <w:r>
              <w:rPr>
                <w:rFonts w:ascii="Times New Roman" w:eastAsia="Times New Roman" w:hAnsi="Times New Roman" w:cs="Times New Roman"/>
                <w:bCs/>
                <w:color w:val="000000" w:themeColor="text1"/>
                <w:sz w:val="20"/>
                <w:szCs w:val="20"/>
                <w:lang w:eastAsia="sk-SK"/>
              </w:rPr>
              <w:t xml:space="preserve"> </w:t>
            </w:r>
            <w:r w:rsidRPr="00C91C8C">
              <w:rPr>
                <w:rFonts w:ascii="Times New Roman" w:eastAsia="Times New Roman" w:hAnsi="Times New Roman" w:cs="Times New Roman"/>
                <w:bCs/>
                <w:color w:val="000000" w:themeColor="text1"/>
                <w:sz w:val="20"/>
                <w:szCs w:val="20"/>
                <w:lang w:eastAsia="sk-SK"/>
              </w:rPr>
              <w:t>Poznámka pod čiarou č. 1 sa nahrádza takto:</w:t>
            </w:r>
          </w:p>
          <w:p w14:paraId="22AAD3CA" w14:textId="77777777" w:rsidR="009D00F4" w:rsidRPr="00C91C8C"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C91C8C">
              <w:rPr>
                <w:rFonts w:ascii="Times New Roman" w:eastAsia="Times New Roman" w:hAnsi="Times New Roman" w:cs="Times New Roman"/>
                <w:bCs/>
                <w:color w:val="000000" w:themeColor="text1"/>
                <w:sz w:val="20"/>
                <w:szCs w:val="20"/>
                <w:lang w:eastAsia="sk-SK"/>
              </w:rPr>
              <w:t>„(1)</w:t>
            </w:r>
            <w:r>
              <w:rPr>
                <w:rFonts w:ascii="Times New Roman" w:eastAsia="Times New Roman" w:hAnsi="Times New Roman" w:cs="Times New Roman"/>
                <w:bCs/>
                <w:color w:val="000000" w:themeColor="text1"/>
                <w:sz w:val="20"/>
                <w:szCs w:val="20"/>
                <w:lang w:eastAsia="sk-SK"/>
              </w:rPr>
              <w:t xml:space="preserve"> </w:t>
            </w:r>
            <w:r w:rsidRPr="00C91C8C">
              <w:rPr>
                <w:rFonts w:ascii="Times New Roman" w:eastAsia="Times New Roman" w:hAnsi="Times New Roman" w:cs="Times New Roman"/>
                <w:bCs/>
                <w:color w:val="000000" w:themeColor="text1"/>
                <w:sz w:val="20"/>
                <w:szCs w:val="20"/>
                <w:lang w:eastAsia="sk-SK"/>
              </w:rPr>
              <w:t>Metódy testovania sú špecifikované v norme EN 590:2013+A1:2017. Členské štáty môžu prijať analytickú metódu špecifikovanú v norme, ktorá nahradí normu EN 590:2013+A1:2017, ak je možné preukázať, že zaručuje aspoň takú úroveň správnosti a presnosti ako analytická metóda, ktorú nahrádza.“</w:t>
            </w:r>
          </w:p>
          <w:p w14:paraId="26CCC330" w14:textId="77777777" w:rsidR="009D00F4" w:rsidRPr="00C91C8C"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p>
        </w:tc>
        <w:tc>
          <w:tcPr>
            <w:tcW w:w="794" w:type="dxa"/>
            <w:tcBorders>
              <w:top w:val="single" w:sz="4" w:space="0" w:color="auto"/>
              <w:left w:val="single" w:sz="4" w:space="0" w:color="auto"/>
              <w:bottom w:val="single" w:sz="4" w:space="0" w:color="auto"/>
              <w:right w:val="single" w:sz="12" w:space="0" w:color="auto"/>
            </w:tcBorders>
          </w:tcPr>
          <w:p w14:paraId="1868E055" w14:textId="31B2AC91"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N</w:t>
            </w:r>
          </w:p>
        </w:tc>
        <w:tc>
          <w:tcPr>
            <w:tcW w:w="1080" w:type="dxa"/>
            <w:tcBorders>
              <w:top w:val="single" w:sz="4" w:space="0" w:color="auto"/>
              <w:left w:val="nil"/>
              <w:bottom w:val="single" w:sz="4" w:space="0" w:color="auto"/>
              <w:right w:val="single" w:sz="4" w:space="0" w:color="auto"/>
            </w:tcBorders>
          </w:tcPr>
          <w:p w14:paraId="0A72D2D5" w14:textId="1AB99A8D"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Vyhláška MŽP č. 251/2023</w:t>
            </w:r>
          </w:p>
        </w:tc>
        <w:tc>
          <w:tcPr>
            <w:tcW w:w="900" w:type="dxa"/>
            <w:tcBorders>
              <w:top w:val="single" w:sz="4" w:space="0" w:color="auto"/>
              <w:left w:val="single" w:sz="4" w:space="0" w:color="auto"/>
              <w:bottom w:val="single" w:sz="4" w:space="0" w:color="auto"/>
              <w:right w:val="single" w:sz="4" w:space="0" w:color="auto"/>
            </w:tcBorders>
          </w:tcPr>
          <w:p w14:paraId="2A5FE1B5" w14:textId="540BB235"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Príloha č. 2</w:t>
            </w:r>
          </w:p>
          <w:p w14:paraId="5393C772"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E1729E"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6052BB3"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8B99B8"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5D800A"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CA56C8"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435B20"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8ADF47"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BED7CE"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D671F0"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967284"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04E126"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90207C"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972C8CB"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3FEEEF"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E8DE09"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B28A617"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1EC6B2"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A83D4A"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1531539"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94DCB1C"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83D20C"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2647671"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142E8F8"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23631E"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9EA6C8"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B3B3E2"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D8F871"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A437D9C"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3A8C26"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1DBB008"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F670FDE"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9C7431"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3708673"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B30551"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80A9A21"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EEF9E01"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3FDA361"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1F7C80E"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B2F3CB"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D3B201D" w14:textId="25E5D856"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0EE076" w14:textId="63E8579D"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Príloha č. 2a</w:t>
            </w:r>
          </w:p>
        </w:tc>
        <w:tc>
          <w:tcPr>
            <w:tcW w:w="4540" w:type="dxa"/>
            <w:tcBorders>
              <w:top w:val="single" w:sz="4" w:space="0" w:color="auto"/>
              <w:bottom w:val="single" w:sz="4" w:space="0" w:color="auto"/>
            </w:tcBorders>
          </w:tcPr>
          <w:p w14:paraId="680527F9" w14:textId="77777777" w:rsidR="009D00F4" w:rsidRPr="00110DE3"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110DE3">
              <w:rPr>
                <w:rFonts w:ascii="Times New Roman" w:eastAsia="Times New Roman" w:hAnsi="Times New Roman" w:cs="Times New Roman"/>
                <w:color w:val="000000" w:themeColor="text1"/>
                <w:sz w:val="20"/>
                <w:szCs w:val="20"/>
                <w:lang w:eastAsia="sk-SK"/>
              </w:rPr>
              <w:lastRenderedPageBreak/>
              <w:t>Príloha č. 2</w:t>
            </w:r>
          </w:p>
          <w:p w14:paraId="03D6BA18" w14:textId="2B316026" w:rsidR="009D00F4" w:rsidRPr="00110DE3"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110DE3">
              <w:rPr>
                <w:rFonts w:ascii="Times New Roman" w:eastAsia="Times New Roman" w:hAnsi="Times New Roman" w:cs="Times New Roman"/>
                <w:color w:val="000000" w:themeColor="text1"/>
                <w:sz w:val="20"/>
                <w:szCs w:val="20"/>
                <w:lang w:eastAsia="sk-SK"/>
              </w:rPr>
              <w:t xml:space="preserve">Požiadavky na kvalitu motorovej nafty    </w:t>
            </w:r>
          </w:p>
          <w:tbl>
            <w:tblPr>
              <w:tblW w:w="4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1060"/>
              <w:gridCol w:w="1060"/>
              <w:gridCol w:w="1060"/>
            </w:tblGrid>
            <w:tr w:rsidR="009D00F4" w:rsidRPr="00257FB3" w14:paraId="2FCAB5F8" w14:textId="77777777" w:rsidTr="0017306B">
              <w:tc>
                <w:tcPr>
                  <w:tcW w:w="1059" w:type="dxa"/>
                  <w:vMerge w:val="restart"/>
                </w:tcPr>
                <w:p w14:paraId="5FADCDB5" w14:textId="77777777" w:rsidR="009D00F4" w:rsidRPr="00257FB3" w:rsidRDefault="009D00F4" w:rsidP="00654418">
                  <w:pPr>
                    <w:framePr w:hSpace="141" w:wrap="around" w:hAnchor="margin" w:xAlign="center" w:y="-1415"/>
                    <w:jc w:val="center"/>
                    <w:rPr>
                      <w:sz w:val="16"/>
                      <w:szCs w:val="16"/>
                    </w:rPr>
                  </w:pPr>
                  <w:proofErr w:type="spellStart"/>
                  <w:r w:rsidRPr="00257FB3">
                    <w:rPr>
                      <w:b/>
                      <w:bCs/>
                      <w:sz w:val="16"/>
                      <w:szCs w:val="16"/>
                    </w:rPr>
                    <w:t>Parameter</w:t>
                  </w:r>
                  <w:r w:rsidRPr="00257FB3">
                    <w:rPr>
                      <w:b/>
                      <w:bCs/>
                      <w:sz w:val="16"/>
                      <w:szCs w:val="16"/>
                      <w:vertAlign w:val="superscript"/>
                    </w:rPr>
                    <w:t>a</w:t>
                  </w:r>
                  <w:proofErr w:type="spellEnd"/>
                  <w:r w:rsidRPr="00257FB3">
                    <w:rPr>
                      <w:b/>
                      <w:bCs/>
                      <w:sz w:val="16"/>
                      <w:szCs w:val="16"/>
                    </w:rPr>
                    <w:t>)</w:t>
                  </w:r>
                </w:p>
              </w:tc>
              <w:tc>
                <w:tcPr>
                  <w:tcW w:w="1060" w:type="dxa"/>
                  <w:vMerge w:val="restart"/>
                </w:tcPr>
                <w:p w14:paraId="29B9924A" w14:textId="77777777" w:rsidR="009D00F4" w:rsidRPr="00257FB3" w:rsidRDefault="009D00F4" w:rsidP="00654418">
                  <w:pPr>
                    <w:framePr w:hSpace="141" w:wrap="around" w:hAnchor="margin" w:xAlign="center" w:y="-1415"/>
                    <w:jc w:val="center"/>
                    <w:rPr>
                      <w:sz w:val="16"/>
                      <w:szCs w:val="16"/>
                    </w:rPr>
                  </w:pPr>
                  <w:r w:rsidRPr="00257FB3">
                    <w:rPr>
                      <w:b/>
                      <w:bCs/>
                      <w:sz w:val="16"/>
                      <w:szCs w:val="16"/>
                    </w:rPr>
                    <w:t>Jednotka</w:t>
                  </w:r>
                </w:p>
              </w:tc>
              <w:tc>
                <w:tcPr>
                  <w:tcW w:w="2120" w:type="dxa"/>
                  <w:gridSpan w:val="2"/>
                </w:tcPr>
                <w:p w14:paraId="4F2DEC2F" w14:textId="77777777" w:rsidR="009D00F4" w:rsidRPr="00257FB3" w:rsidRDefault="009D00F4" w:rsidP="00654418">
                  <w:pPr>
                    <w:framePr w:hSpace="141" w:wrap="around" w:hAnchor="margin" w:xAlign="center" w:y="-1415"/>
                    <w:jc w:val="center"/>
                    <w:rPr>
                      <w:sz w:val="16"/>
                      <w:szCs w:val="16"/>
                    </w:rPr>
                  </w:pPr>
                  <w:proofErr w:type="spellStart"/>
                  <w:r w:rsidRPr="00257FB3">
                    <w:rPr>
                      <w:b/>
                      <w:bCs/>
                      <w:sz w:val="16"/>
                      <w:szCs w:val="16"/>
                    </w:rPr>
                    <w:t>Limity</w:t>
                  </w:r>
                  <w:r w:rsidRPr="00257FB3">
                    <w:rPr>
                      <w:b/>
                      <w:bCs/>
                      <w:sz w:val="16"/>
                      <w:szCs w:val="16"/>
                      <w:vertAlign w:val="superscript"/>
                    </w:rPr>
                    <w:t>b</w:t>
                  </w:r>
                  <w:proofErr w:type="spellEnd"/>
                  <w:r w:rsidRPr="00257FB3">
                    <w:rPr>
                      <w:b/>
                      <w:bCs/>
                      <w:sz w:val="16"/>
                      <w:szCs w:val="16"/>
                    </w:rPr>
                    <w:t>)</w:t>
                  </w:r>
                </w:p>
              </w:tc>
            </w:tr>
            <w:tr w:rsidR="009D00F4" w:rsidRPr="00257FB3" w14:paraId="2B6A3659" w14:textId="77777777" w:rsidTr="0017306B">
              <w:tc>
                <w:tcPr>
                  <w:tcW w:w="1059" w:type="dxa"/>
                  <w:vMerge/>
                </w:tcPr>
                <w:p w14:paraId="0EB3BE58" w14:textId="77777777" w:rsidR="009D00F4" w:rsidRPr="00257FB3" w:rsidRDefault="009D00F4" w:rsidP="00654418">
                  <w:pPr>
                    <w:framePr w:hSpace="141" w:wrap="around" w:hAnchor="margin" w:xAlign="center" w:y="-1415"/>
                    <w:jc w:val="center"/>
                    <w:rPr>
                      <w:sz w:val="16"/>
                      <w:szCs w:val="16"/>
                    </w:rPr>
                  </w:pPr>
                </w:p>
              </w:tc>
              <w:tc>
                <w:tcPr>
                  <w:tcW w:w="1060" w:type="dxa"/>
                  <w:vMerge/>
                </w:tcPr>
                <w:p w14:paraId="2099E1E1" w14:textId="77777777" w:rsidR="009D00F4" w:rsidRPr="00257FB3" w:rsidRDefault="009D00F4" w:rsidP="00654418">
                  <w:pPr>
                    <w:framePr w:hSpace="141" w:wrap="around" w:hAnchor="margin" w:xAlign="center" w:y="-1415"/>
                    <w:jc w:val="center"/>
                    <w:rPr>
                      <w:sz w:val="16"/>
                      <w:szCs w:val="16"/>
                    </w:rPr>
                  </w:pPr>
                </w:p>
              </w:tc>
              <w:tc>
                <w:tcPr>
                  <w:tcW w:w="1060" w:type="dxa"/>
                </w:tcPr>
                <w:p w14:paraId="4A7B3926" w14:textId="77777777" w:rsidR="009D00F4" w:rsidRPr="00257FB3" w:rsidRDefault="009D00F4" w:rsidP="00654418">
                  <w:pPr>
                    <w:framePr w:hSpace="141" w:wrap="around" w:hAnchor="margin" w:xAlign="center" w:y="-1415"/>
                    <w:jc w:val="center"/>
                    <w:rPr>
                      <w:sz w:val="16"/>
                      <w:szCs w:val="16"/>
                    </w:rPr>
                  </w:pPr>
                  <w:r w:rsidRPr="00257FB3">
                    <w:rPr>
                      <w:b/>
                      <w:bCs/>
                      <w:sz w:val="16"/>
                      <w:szCs w:val="16"/>
                    </w:rPr>
                    <w:t>Najmenej</w:t>
                  </w:r>
                </w:p>
              </w:tc>
              <w:tc>
                <w:tcPr>
                  <w:tcW w:w="1060" w:type="dxa"/>
                </w:tcPr>
                <w:p w14:paraId="744C3A6C" w14:textId="77777777" w:rsidR="009D00F4" w:rsidRPr="00257FB3" w:rsidRDefault="009D00F4" w:rsidP="00654418">
                  <w:pPr>
                    <w:framePr w:hSpace="141" w:wrap="around" w:hAnchor="margin" w:xAlign="center" w:y="-1415"/>
                    <w:jc w:val="center"/>
                    <w:rPr>
                      <w:sz w:val="16"/>
                      <w:szCs w:val="16"/>
                    </w:rPr>
                  </w:pPr>
                  <w:r w:rsidRPr="00257FB3">
                    <w:rPr>
                      <w:b/>
                      <w:bCs/>
                      <w:sz w:val="16"/>
                      <w:szCs w:val="16"/>
                    </w:rPr>
                    <w:t>Najviac</w:t>
                  </w:r>
                </w:p>
              </w:tc>
            </w:tr>
            <w:tr w:rsidR="009D00F4" w:rsidRPr="00257FB3" w14:paraId="206F45DE" w14:textId="77777777" w:rsidTr="0017306B">
              <w:tc>
                <w:tcPr>
                  <w:tcW w:w="4239" w:type="dxa"/>
                  <w:gridSpan w:val="4"/>
                </w:tcPr>
                <w:p w14:paraId="24B3CA94" w14:textId="77777777" w:rsidR="009D00F4" w:rsidRPr="00257FB3" w:rsidRDefault="009D00F4" w:rsidP="00654418">
                  <w:pPr>
                    <w:framePr w:hSpace="141" w:wrap="around" w:hAnchor="margin" w:xAlign="center" w:y="-1415"/>
                    <w:rPr>
                      <w:sz w:val="16"/>
                      <w:szCs w:val="16"/>
                    </w:rPr>
                  </w:pPr>
                  <w:r w:rsidRPr="00257FB3">
                    <w:rPr>
                      <w:b/>
                      <w:sz w:val="16"/>
                      <w:szCs w:val="16"/>
                    </w:rPr>
                    <w:t>MOTOROVÁ NAFTA</w:t>
                  </w:r>
                </w:p>
              </w:tc>
            </w:tr>
            <w:tr w:rsidR="009D00F4" w:rsidRPr="00257FB3" w14:paraId="71DDE320" w14:textId="77777777" w:rsidTr="0017306B">
              <w:tc>
                <w:tcPr>
                  <w:tcW w:w="1059" w:type="dxa"/>
                </w:tcPr>
                <w:p w14:paraId="67D80EAB"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Cetánové</w:t>
                  </w:r>
                  <w:proofErr w:type="spellEnd"/>
                  <w:r w:rsidRPr="00257FB3">
                    <w:rPr>
                      <w:sz w:val="16"/>
                      <w:szCs w:val="16"/>
                    </w:rPr>
                    <w:t xml:space="preserve"> číslo</w:t>
                  </w:r>
                </w:p>
              </w:tc>
              <w:tc>
                <w:tcPr>
                  <w:tcW w:w="1060" w:type="dxa"/>
                </w:tcPr>
                <w:p w14:paraId="66B798BA" w14:textId="77777777" w:rsidR="009D00F4" w:rsidRPr="00257FB3" w:rsidRDefault="009D00F4" w:rsidP="00654418">
                  <w:pPr>
                    <w:framePr w:hSpace="141" w:wrap="around" w:hAnchor="margin" w:xAlign="center" w:y="-1415"/>
                    <w:jc w:val="center"/>
                    <w:rPr>
                      <w:sz w:val="16"/>
                      <w:szCs w:val="16"/>
                    </w:rPr>
                  </w:pPr>
                </w:p>
              </w:tc>
              <w:tc>
                <w:tcPr>
                  <w:tcW w:w="1060" w:type="dxa"/>
                </w:tcPr>
                <w:p w14:paraId="2C6AF2E9" w14:textId="77777777" w:rsidR="009D00F4" w:rsidRPr="00257FB3" w:rsidRDefault="009D00F4" w:rsidP="00654418">
                  <w:pPr>
                    <w:framePr w:hSpace="141" w:wrap="around" w:hAnchor="margin" w:xAlign="center" w:y="-1415"/>
                    <w:jc w:val="center"/>
                    <w:rPr>
                      <w:sz w:val="16"/>
                      <w:szCs w:val="16"/>
                    </w:rPr>
                  </w:pPr>
                  <w:r w:rsidRPr="00257FB3">
                    <w:rPr>
                      <w:sz w:val="16"/>
                      <w:szCs w:val="16"/>
                    </w:rPr>
                    <w:t>51,0</w:t>
                  </w:r>
                </w:p>
              </w:tc>
              <w:tc>
                <w:tcPr>
                  <w:tcW w:w="1060" w:type="dxa"/>
                </w:tcPr>
                <w:p w14:paraId="1DF5983B" w14:textId="77777777" w:rsidR="009D00F4" w:rsidRPr="00257FB3" w:rsidRDefault="009D00F4" w:rsidP="00654418">
                  <w:pPr>
                    <w:framePr w:hSpace="141" w:wrap="around" w:hAnchor="margin" w:xAlign="center" w:y="-1415"/>
                    <w:jc w:val="center"/>
                    <w:rPr>
                      <w:sz w:val="16"/>
                      <w:szCs w:val="16"/>
                    </w:rPr>
                  </w:pPr>
                </w:p>
              </w:tc>
            </w:tr>
            <w:tr w:rsidR="009D00F4" w:rsidRPr="00257FB3" w14:paraId="61EEE48E" w14:textId="77777777" w:rsidTr="0017306B">
              <w:tc>
                <w:tcPr>
                  <w:tcW w:w="1059" w:type="dxa"/>
                </w:tcPr>
                <w:p w14:paraId="685F3EB4" w14:textId="77777777" w:rsidR="009D00F4" w:rsidRPr="00257FB3" w:rsidRDefault="009D00F4" w:rsidP="00654418">
                  <w:pPr>
                    <w:framePr w:hSpace="141" w:wrap="around" w:hAnchor="margin" w:xAlign="center" w:y="-1415"/>
                    <w:rPr>
                      <w:sz w:val="16"/>
                      <w:szCs w:val="16"/>
                    </w:rPr>
                  </w:pPr>
                  <w:r w:rsidRPr="00257FB3">
                    <w:rPr>
                      <w:sz w:val="16"/>
                      <w:szCs w:val="16"/>
                    </w:rPr>
                    <w:t>Hustota pri 15 °C</w:t>
                  </w:r>
                </w:p>
              </w:tc>
              <w:tc>
                <w:tcPr>
                  <w:tcW w:w="1060" w:type="dxa"/>
                </w:tcPr>
                <w:p w14:paraId="28F577CD" w14:textId="77777777" w:rsidR="009D00F4" w:rsidRPr="00257FB3" w:rsidRDefault="009D00F4" w:rsidP="00654418">
                  <w:pPr>
                    <w:framePr w:hSpace="141" w:wrap="around" w:hAnchor="margin" w:xAlign="center" w:y="-1415"/>
                    <w:jc w:val="center"/>
                    <w:rPr>
                      <w:sz w:val="16"/>
                      <w:szCs w:val="16"/>
                    </w:rPr>
                  </w:pPr>
                  <w:r w:rsidRPr="00257FB3">
                    <w:rPr>
                      <w:sz w:val="16"/>
                      <w:szCs w:val="16"/>
                    </w:rPr>
                    <w:t>kg/m</w:t>
                  </w:r>
                  <w:r w:rsidRPr="00257FB3">
                    <w:rPr>
                      <w:sz w:val="16"/>
                      <w:szCs w:val="16"/>
                      <w:vertAlign w:val="superscript"/>
                    </w:rPr>
                    <w:t>3</w:t>
                  </w:r>
                </w:p>
              </w:tc>
              <w:tc>
                <w:tcPr>
                  <w:tcW w:w="1060" w:type="dxa"/>
                </w:tcPr>
                <w:p w14:paraId="6C01C957"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1B95EE97" w14:textId="77777777" w:rsidR="009D00F4" w:rsidRPr="00257FB3" w:rsidRDefault="009D00F4" w:rsidP="00654418">
                  <w:pPr>
                    <w:framePr w:hSpace="141" w:wrap="around" w:hAnchor="margin" w:xAlign="center" w:y="-1415"/>
                    <w:jc w:val="center"/>
                    <w:rPr>
                      <w:sz w:val="16"/>
                      <w:szCs w:val="16"/>
                    </w:rPr>
                  </w:pPr>
                  <w:r w:rsidRPr="00257FB3">
                    <w:rPr>
                      <w:sz w:val="16"/>
                      <w:szCs w:val="16"/>
                    </w:rPr>
                    <w:t>845,0</w:t>
                  </w:r>
                </w:p>
              </w:tc>
            </w:tr>
            <w:tr w:rsidR="009D00F4" w:rsidRPr="00257FB3" w14:paraId="7A992AF2" w14:textId="77777777" w:rsidTr="0017306B">
              <w:tc>
                <w:tcPr>
                  <w:tcW w:w="1059" w:type="dxa"/>
                </w:tcPr>
                <w:p w14:paraId="24C3034A" w14:textId="77777777" w:rsidR="009D00F4" w:rsidRPr="00257FB3" w:rsidRDefault="009D00F4" w:rsidP="00654418">
                  <w:pPr>
                    <w:framePr w:hSpace="141" w:wrap="around" w:hAnchor="margin" w:xAlign="center" w:y="-1415"/>
                    <w:rPr>
                      <w:sz w:val="16"/>
                      <w:szCs w:val="16"/>
                    </w:rPr>
                  </w:pPr>
                  <w:r w:rsidRPr="00257FB3">
                    <w:rPr>
                      <w:sz w:val="16"/>
                      <w:szCs w:val="16"/>
                    </w:rPr>
                    <w:t>Destilácia - 95 % získanej pri</w:t>
                  </w:r>
                </w:p>
              </w:tc>
              <w:tc>
                <w:tcPr>
                  <w:tcW w:w="1060" w:type="dxa"/>
                </w:tcPr>
                <w:p w14:paraId="6861F058" w14:textId="77777777" w:rsidR="009D00F4" w:rsidRPr="00257FB3" w:rsidRDefault="009D00F4" w:rsidP="00654418">
                  <w:pPr>
                    <w:framePr w:hSpace="141" w:wrap="around" w:hAnchor="margin" w:xAlign="center" w:y="-1415"/>
                    <w:jc w:val="center"/>
                    <w:rPr>
                      <w:sz w:val="16"/>
                      <w:szCs w:val="16"/>
                    </w:rPr>
                  </w:pPr>
                  <w:r w:rsidRPr="00257FB3">
                    <w:rPr>
                      <w:sz w:val="16"/>
                      <w:szCs w:val="16"/>
                    </w:rPr>
                    <w:t>°C</w:t>
                  </w:r>
                </w:p>
              </w:tc>
              <w:tc>
                <w:tcPr>
                  <w:tcW w:w="1060" w:type="dxa"/>
                </w:tcPr>
                <w:p w14:paraId="104E3E3B"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24B6243E" w14:textId="77777777" w:rsidR="009D00F4" w:rsidRPr="00257FB3" w:rsidRDefault="009D00F4" w:rsidP="00654418">
                  <w:pPr>
                    <w:framePr w:hSpace="141" w:wrap="around" w:hAnchor="margin" w:xAlign="center" w:y="-1415"/>
                    <w:jc w:val="center"/>
                    <w:rPr>
                      <w:sz w:val="16"/>
                      <w:szCs w:val="16"/>
                    </w:rPr>
                  </w:pPr>
                  <w:r w:rsidRPr="00257FB3">
                    <w:rPr>
                      <w:sz w:val="16"/>
                      <w:szCs w:val="16"/>
                    </w:rPr>
                    <w:t>360,0</w:t>
                  </w:r>
                </w:p>
              </w:tc>
            </w:tr>
            <w:tr w:rsidR="009D00F4" w:rsidRPr="00257FB3" w14:paraId="32A0B6DF" w14:textId="77777777" w:rsidTr="0017306B">
              <w:tc>
                <w:tcPr>
                  <w:tcW w:w="1059" w:type="dxa"/>
                </w:tcPr>
                <w:p w14:paraId="6111909B"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Polycyklické</w:t>
                  </w:r>
                  <w:proofErr w:type="spellEnd"/>
                  <w:r w:rsidRPr="00257FB3">
                    <w:rPr>
                      <w:sz w:val="16"/>
                      <w:szCs w:val="16"/>
                    </w:rPr>
                    <w:t xml:space="preserve"> aromatické uhľovodíky</w:t>
                  </w:r>
                </w:p>
              </w:tc>
              <w:tc>
                <w:tcPr>
                  <w:tcW w:w="1060" w:type="dxa"/>
                </w:tcPr>
                <w:p w14:paraId="79E56C89" w14:textId="77777777" w:rsidR="009D00F4" w:rsidRPr="00257FB3" w:rsidRDefault="009D00F4" w:rsidP="00654418">
                  <w:pPr>
                    <w:framePr w:hSpace="141" w:wrap="around" w:hAnchor="margin" w:xAlign="center" w:y="-1415"/>
                    <w:jc w:val="center"/>
                    <w:rPr>
                      <w:sz w:val="16"/>
                      <w:szCs w:val="16"/>
                    </w:rPr>
                  </w:pPr>
                  <w:r w:rsidRPr="00257FB3">
                    <w:rPr>
                      <w:sz w:val="16"/>
                      <w:szCs w:val="16"/>
                    </w:rPr>
                    <w:t>% hmotnosti</w:t>
                  </w:r>
                </w:p>
              </w:tc>
              <w:tc>
                <w:tcPr>
                  <w:tcW w:w="1060" w:type="dxa"/>
                </w:tcPr>
                <w:p w14:paraId="7181C8FD"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1B08909E" w14:textId="77777777" w:rsidR="009D00F4" w:rsidRPr="00257FB3" w:rsidRDefault="009D00F4" w:rsidP="00654418">
                  <w:pPr>
                    <w:framePr w:hSpace="141" w:wrap="around" w:hAnchor="margin" w:xAlign="center" w:y="-1415"/>
                    <w:jc w:val="center"/>
                    <w:rPr>
                      <w:sz w:val="16"/>
                      <w:szCs w:val="16"/>
                    </w:rPr>
                  </w:pPr>
                  <w:r w:rsidRPr="00257FB3">
                    <w:rPr>
                      <w:sz w:val="16"/>
                      <w:szCs w:val="16"/>
                    </w:rPr>
                    <w:t>8,0</w:t>
                  </w:r>
                </w:p>
              </w:tc>
            </w:tr>
            <w:tr w:rsidR="009D00F4" w:rsidRPr="00257FB3" w14:paraId="76391CE4" w14:textId="77777777" w:rsidTr="0017306B">
              <w:tc>
                <w:tcPr>
                  <w:tcW w:w="1059" w:type="dxa"/>
                </w:tcPr>
                <w:p w14:paraId="5A9448B3" w14:textId="77777777" w:rsidR="009D00F4" w:rsidRPr="00257FB3" w:rsidRDefault="009D00F4" w:rsidP="00654418">
                  <w:pPr>
                    <w:framePr w:hSpace="141" w:wrap="around" w:hAnchor="margin" w:xAlign="center" w:y="-1415"/>
                    <w:rPr>
                      <w:sz w:val="16"/>
                      <w:szCs w:val="16"/>
                    </w:rPr>
                  </w:pPr>
                  <w:r w:rsidRPr="00257FB3">
                    <w:rPr>
                      <w:sz w:val="16"/>
                      <w:szCs w:val="16"/>
                    </w:rPr>
                    <w:t>Obsah síry</w:t>
                  </w:r>
                </w:p>
              </w:tc>
              <w:tc>
                <w:tcPr>
                  <w:tcW w:w="1060" w:type="dxa"/>
                </w:tcPr>
                <w:p w14:paraId="05B5E401" w14:textId="77777777" w:rsidR="009D00F4" w:rsidRPr="00257FB3" w:rsidRDefault="009D00F4" w:rsidP="00654418">
                  <w:pPr>
                    <w:framePr w:hSpace="141" w:wrap="around" w:hAnchor="margin" w:xAlign="center" w:y="-1415"/>
                    <w:jc w:val="center"/>
                    <w:rPr>
                      <w:sz w:val="16"/>
                      <w:szCs w:val="16"/>
                    </w:rPr>
                  </w:pPr>
                  <w:r w:rsidRPr="00257FB3">
                    <w:rPr>
                      <w:sz w:val="16"/>
                      <w:szCs w:val="16"/>
                    </w:rPr>
                    <w:t>mg/kg</w:t>
                  </w:r>
                </w:p>
              </w:tc>
              <w:tc>
                <w:tcPr>
                  <w:tcW w:w="1060" w:type="dxa"/>
                </w:tcPr>
                <w:p w14:paraId="2DF8C033" w14:textId="77777777" w:rsidR="009D00F4" w:rsidRPr="00257FB3" w:rsidRDefault="009D00F4" w:rsidP="00654418">
                  <w:pPr>
                    <w:framePr w:hSpace="141" w:wrap="around" w:hAnchor="margin" w:xAlign="center" w:y="-1415"/>
                    <w:jc w:val="center"/>
                    <w:rPr>
                      <w:sz w:val="16"/>
                      <w:szCs w:val="16"/>
                    </w:rPr>
                  </w:pPr>
                </w:p>
              </w:tc>
              <w:tc>
                <w:tcPr>
                  <w:tcW w:w="1060" w:type="dxa"/>
                </w:tcPr>
                <w:p w14:paraId="3AF22318" w14:textId="77777777" w:rsidR="009D00F4" w:rsidRPr="00257FB3" w:rsidRDefault="009D00F4" w:rsidP="00654418">
                  <w:pPr>
                    <w:framePr w:hSpace="141" w:wrap="around" w:hAnchor="margin" w:xAlign="center" w:y="-1415"/>
                    <w:jc w:val="center"/>
                    <w:rPr>
                      <w:sz w:val="16"/>
                      <w:szCs w:val="16"/>
                    </w:rPr>
                  </w:pPr>
                  <w:r w:rsidRPr="00257FB3">
                    <w:rPr>
                      <w:sz w:val="16"/>
                      <w:szCs w:val="16"/>
                    </w:rPr>
                    <w:t>10,0</w:t>
                  </w:r>
                </w:p>
              </w:tc>
            </w:tr>
          </w:tbl>
          <w:p w14:paraId="5C99D9B4" w14:textId="77777777" w:rsidR="009D00F4" w:rsidRPr="00257FB3" w:rsidRDefault="009D00F4" w:rsidP="009D00F4">
            <w:pPr>
              <w:ind w:left="-180"/>
              <w:rPr>
                <w:sz w:val="16"/>
                <w:szCs w:val="16"/>
              </w:rPr>
            </w:pPr>
          </w:p>
          <w:p w14:paraId="1541B100" w14:textId="77777777" w:rsidR="009D00F4" w:rsidRPr="00257FB3" w:rsidRDefault="009D00F4" w:rsidP="009D00F4">
            <w:pPr>
              <w:ind w:left="-180"/>
              <w:rPr>
                <w:sz w:val="16"/>
                <w:szCs w:val="16"/>
              </w:rPr>
            </w:pPr>
            <w:r w:rsidRPr="00257FB3">
              <w:rPr>
                <w:sz w:val="16"/>
                <w:szCs w:val="16"/>
              </w:rPr>
              <w:t xml:space="preserve">    </w:t>
            </w:r>
            <w:r>
              <w:rPr>
                <w:sz w:val="16"/>
                <w:szCs w:val="16"/>
              </w:rPr>
              <w:t>Vysvetlivky</w:t>
            </w:r>
            <w:r w:rsidRPr="00257FB3">
              <w:rPr>
                <w:sz w:val="16"/>
                <w:szCs w:val="16"/>
              </w:rPr>
              <w:t>:</w:t>
            </w:r>
            <w:r>
              <w:rPr>
                <w:sz w:val="16"/>
                <w:szCs w:val="16"/>
              </w:rPr>
              <w:t xml:space="preserve"> </w:t>
            </w:r>
            <w:r w:rsidRPr="00257FB3">
              <w:rPr>
                <w:sz w:val="16"/>
                <w:szCs w:val="16"/>
              </w:rPr>
              <w:t xml:space="preserve">   </w:t>
            </w:r>
          </w:p>
          <w:p w14:paraId="143001FA" w14:textId="77777777" w:rsidR="009D00F4" w:rsidRPr="00257FB3" w:rsidRDefault="009D00F4" w:rsidP="009D00F4">
            <w:pPr>
              <w:keepNext/>
              <w:numPr>
                <w:ilvl w:val="0"/>
                <w:numId w:val="8"/>
              </w:numPr>
              <w:spacing w:before="60" w:after="60" w:line="240" w:lineRule="auto"/>
              <w:jc w:val="both"/>
              <w:rPr>
                <w:sz w:val="16"/>
                <w:szCs w:val="16"/>
              </w:rPr>
            </w:pPr>
            <w:r w:rsidRPr="00257FB3">
              <w:rPr>
                <w:sz w:val="16"/>
                <w:szCs w:val="16"/>
              </w:rPr>
              <w:t>Skúšobné metódy sú špecifikované v technickej norme</w:t>
            </w:r>
            <w:r>
              <w:rPr>
                <w:sz w:val="16"/>
                <w:szCs w:val="16"/>
                <w:vertAlign w:val="superscript"/>
              </w:rPr>
              <w:t>21a</w:t>
            </w:r>
            <w:r w:rsidRPr="00257FB3">
              <w:rPr>
                <w:sz w:val="16"/>
                <w:szCs w:val="16"/>
              </w:rPr>
              <w:t>) alebo inej obdobnej technickej špecifikácii s porovnateľnými alebo prísnejšími požiadavkami.</w:t>
            </w:r>
          </w:p>
          <w:p w14:paraId="10C89769" w14:textId="77777777" w:rsidR="009D00F4" w:rsidRPr="00257FB3" w:rsidRDefault="009D00F4" w:rsidP="009D00F4">
            <w:pPr>
              <w:keepNext/>
              <w:numPr>
                <w:ilvl w:val="0"/>
                <w:numId w:val="8"/>
              </w:numPr>
              <w:spacing w:before="60" w:after="60" w:line="240" w:lineRule="auto"/>
              <w:jc w:val="both"/>
              <w:rPr>
                <w:sz w:val="16"/>
                <w:szCs w:val="16"/>
              </w:rPr>
            </w:pPr>
            <w:r w:rsidRPr="00257FB3">
              <w:rPr>
                <w:sz w:val="16"/>
                <w:szCs w:val="16"/>
              </w:rPr>
              <w:t>Hodnoty uvedené v špecifikácii sú „skutočné hodnoty“. Pri stanovení ich limitných hodnôt sa použili podmienky technickej normy</w:t>
            </w:r>
            <w:r>
              <w:rPr>
                <w:sz w:val="16"/>
                <w:szCs w:val="16"/>
                <w:vertAlign w:val="superscript"/>
              </w:rPr>
              <w:t>45</w:t>
            </w:r>
            <w:r w:rsidRPr="00257FB3">
              <w:rPr>
                <w:sz w:val="16"/>
                <w:szCs w:val="16"/>
              </w:rPr>
              <w:t>) alebo inej obdobnej technickej špecifikácie s porovnateľnými alebo prísnejšími požiadavkami. Pri stanovení najnižšej hodnoty sa zohľadnil najmenší rozdiel 2R nad nulou (R = reprodukovateľnosť). Výsledky jednotlivých meraní sa interpretujú na základe kritérií uvedených v technickej norme</w:t>
            </w:r>
            <w:r>
              <w:rPr>
                <w:sz w:val="16"/>
                <w:szCs w:val="16"/>
                <w:vertAlign w:val="superscript"/>
              </w:rPr>
              <w:t>45</w:t>
            </w:r>
            <w:r w:rsidRPr="00257FB3">
              <w:rPr>
                <w:sz w:val="16"/>
                <w:szCs w:val="16"/>
              </w:rPr>
              <w:t>) alebo inej obdobnej technickej špecifikácii s porovnateľnými alebo prísnejšími požiadavkami.</w:t>
            </w:r>
          </w:p>
          <w:p w14:paraId="7A654479" w14:textId="77777777" w:rsidR="009D00F4" w:rsidRPr="00257FB3" w:rsidRDefault="00654418" w:rsidP="009D00F4">
            <w:pPr>
              <w:spacing w:line="240" w:lineRule="atLeast"/>
              <w:ind w:left="-44" w:firstLine="44"/>
              <w:jc w:val="both"/>
            </w:pPr>
            <w:r>
              <w:rPr>
                <w:noProof/>
              </w:rPr>
              <w:lastRenderedPageBreak/>
              <w:pict w14:anchorId="208B7818">
                <v:shape id="_x0000_s1043" type="#_x0000_t32" style="position:absolute;left:0;text-align:left;margin-left:.1pt;margin-top:5.4pt;width:58.2pt;height:0;z-index:251682816" o:connectortype="straight"/>
              </w:pict>
            </w:r>
          </w:p>
          <w:p w14:paraId="1A00D20A" w14:textId="77777777" w:rsidR="009D00F4" w:rsidRPr="00257FB3" w:rsidRDefault="009D00F4" w:rsidP="009D00F4">
            <w:pPr>
              <w:pStyle w:val="Textpoznmkypodiarou"/>
              <w:jc w:val="both"/>
              <w:rPr>
                <w:rFonts w:eastAsia="Calibri"/>
                <w:sz w:val="18"/>
                <w:szCs w:val="18"/>
                <w:lang w:eastAsia="sk-SK"/>
              </w:rPr>
            </w:pPr>
            <w:r w:rsidRPr="00132312">
              <w:rPr>
                <w:sz w:val="18"/>
                <w:szCs w:val="18"/>
                <w:vertAlign w:val="superscript"/>
              </w:rPr>
              <w:t>21a</w:t>
            </w:r>
            <w:r w:rsidRPr="00132312">
              <w:rPr>
                <w:sz w:val="18"/>
                <w:szCs w:val="18"/>
              </w:rPr>
              <w:t xml:space="preserve">) </w:t>
            </w:r>
            <w:r w:rsidRPr="00132312">
              <w:rPr>
                <w:sz w:val="18"/>
                <w:szCs w:val="18"/>
                <w:lang w:eastAsia="sk-SK"/>
              </w:rPr>
              <w:t>STN EN 590 Automobilové palivá. Motorová nafta. Požiadavky a skúšobné metódy (65 6506).</w:t>
            </w:r>
            <w:r w:rsidRPr="00257FB3">
              <w:t xml:space="preserve">  </w:t>
            </w:r>
          </w:p>
          <w:p w14:paraId="2C869BAE" w14:textId="77777777" w:rsidR="009D00F4" w:rsidRDefault="009D00F4" w:rsidP="009D00F4">
            <w:pPr>
              <w:keepNext/>
              <w:spacing w:before="60" w:after="60"/>
              <w:jc w:val="both"/>
              <w:rPr>
                <w:sz w:val="18"/>
                <w:szCs w:val="18"/>
                <w:lang w:eastAsia="sk-SK"/>
              </w:rPr>
            </w:pPr>
            <w:r>
              <w:rPr>
                <w:sz w:val="18"/>
                <w:szCs w:val="18"/>
                <w:vertAlign w:val="superscript"/>
              </w:rPr>
              <w:t>45</w:t>
            </w:r>
            <w:r w:rsidRPr="00257FB3">
              <w:rPr>
                <w:sz w:val="18"/>
                <w:szCs w:val="18"/>
              </w:rPr>
              <w:t xml:space="preserve">) </w:t>
            </w:r>
            <w:r w:rsidRPr="0097586D">
              <w:rPr>
                <w:rFonts w:eastAsia="Calibri"/>
                <w:sz w:val="18"/>
                <w:szCs w:val="18"/>
                <w:lang w:eastAsia="sk-SK"/>
              </w:rPr>
              <w:t>Súbor STN EN ISO 4259 Ropné výrobky a príbuzné výrobky. Zhodnosť metód merania a výsledkov merania (65 6004).</w:t>
            </w:r>
            <w:r>
              <w:rPr>
                <w:sz w:val="18"/>
                <w:szCs w:val="18"/>
                <w:lang w:eastAsia="sk-SK"/>
              </w:rPr>
              <w:t xml:space="preserve"> </w:t>
            </w:r>
          </w:p>
          <w:p w14:paraId="430F3814" w14:textId="77777777" w:rsidR="009D00F4" w:rsidRDefault="009D00F4" w:rsidP="009D00F4">
            <w:pPr>
              <w:keepNext/>
              <w:spacing w:before="60" w:after="60"/>
              <w:jc w:val="both"/>
              <w:rPr>
                <w:sz w:val="18"/>
                <w:szCs w:val="18"/>
                <w:lang w:eastAsia="sk-SK"/>
              </w:rPr>
            </w:pPr>
          </w:p>
          <w:p w14:paraId="39E73740" w14:textId="77777777" w:rsidR="009D00F4" w:rsidRPr="00110DE3"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110DE3">
              <w:rPr>
                <w:rFonts w:ascii="Times New Roman" w:eastAsia="Times New Roman" w:hAnsi="Times New Roman" w:cs="Times New Roman"/>
                <w:color w:val="000000" w:themeColor="text1"/>
                <w:sz w:val="20"/>
                <w:szCs w:val="20"/>
                <w:lang w:eastAsia="sk-SK"/>
              </w:rPr>
              <w:t>Príloha č. 2a</w:t>
            </w:r>
          </w:p>
          <w:p w14:paraId="763F5FDF" w14:textId="77777777" w:rsidR="009D00F4" w:rsidRPr="00110DE3"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110DE3">
              <w:rPr>
                <w:rFonts w:ascii="Times New Roman" w:eastAsia="Times New Roman" w:hAnsi="Times New Roman" w:cs="Times New Roman"/>
                <w:color w:val="000000" w:themeColor="text1"/>
                <w:sz w:val="20"/>
                <w:szCs w:val="20"/>
                <w:lang w:eastAsia="sk-SK"/>
              </w:rPr>
              <w:t xml:space="preserve">Požiadavky na kvalitu motorovej nafty s  obsahom </w:t>
            </w:r>
            <w:proofErr w:type="spellStart"/>
            <w:r w:rsidRPr="00110DE3">
              <w:rPr>
                <w:rFonts w:ascii="Times New Roman" w:eastAsia="Times New Roman" w:hAnsi="Times New Roman" w:cs="Times New Roman"/>
                <w:color w:val="000000" w:themeColor="text1"/>
                <w:sz w:val="20"/>
                <w:szCs w:val="20"/>
                <w:lang w:eastAsia="sk-SK"/>
              </w:rPr>
              <w:t>metylesterov</w:t>
            </w:r>
            <w:proofErr w:type="spellEnd"/>
            <w:r w:rsidRPr="00110DE3">
              <w:rPr>
                <w:rFonts w:ascii="Times New Roman" w:eastAsia="Times New Roman" w:hAnsi="Times New Roman" w:cs="Times New Roman"/>
                <w:color w:val="000000" w:themeColor="text1"/>
                <w:sz w:val="20"/>
                <w:szCs w:val="20"/>
                <w:lang w:eastAsia="sk-SK"/>
              </w:rPr>
              <w:t xml:space="preserve"> mastných kyselín (B7)</w:t>
            </w:r>
          </w:p>
          <w:p w14:paraId="61C0F9D4" w14:textId="77777777" w:rsidR="009D00F4" w:rsidRPr="00257FB3" w:rsidRDefault="009D00F4" w:rsidP="009D00F4">
            <w:pPr>
              <w:ind w:left="-180"/>
              <w:rPr>
                <w:sz w:val="16"/>
                <w:szCs w:val="16"/>
              </w:rPr>
            </w:pPr>
            <w:r w:rsidRPr="00257FB3">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1060"/>
              <w:gridCol w:w="1060"/>
              <w:gridCol w:w="1060"/>
            </w:tblGrid>
            <w:tr w:rsidR="009D00F4" w:rsidRPr="00257FB3" w14:paraId="678114E3" w14:textId="77777777" w:rsidTr="0017306B">
              <w:tc>
                <w:tcPr>
                  <w:tcW w:w="1059" w:type="dxa"/>
                  <w:vMerge w:val="restart"/>
                </w:tcPr>
                <w:p w14:paraId="433D1EF2" w14:textId="77777777" w:rsidR="009D00F4" w:rsidRPr="00257FB3" w:rsidRDefault="009D00F4" w:rsidP="00654418">
                  <w:pPr>
                    <w:framePr w:hSpace="141" w:wrap="around" w:hAnchor="margin" w:xAlign="center" w:y="-1415"/>
                    <w:jc w:val="center"/>
                    <w:rPr>
                      <w:sz w:val="16"/>
                      <w:szCs w:val="16"/>
                    </w:rPr>
                  </w:pPr>
                  <w:proofErr w:type="spellStart"/>
                  <w:r w:rsidRPr="00257FB3">
                    <w:rPr>
                      <w:b/>
                      <w:bCs/>
                      <w:sz w:val="16"/>
                      <w:szCs w:val="16"/>
                    </w:rPr>
                    <w:t>Parameter</w:t>
                  </w:r>
                  <w:r w:rsidRPr="00257FB3">
                    <w:rPr>
                      <w:b/>
                      <w:bCs/>
                      <w:sz w:val="16"/>
                      <w:szCs w:val="16"/>
                      <w:vertAlign w:val="superscript"/>
                    </w:rPr>
                    <w:t>a</w:t>
                  </w:r>
                  <w:proofErr w:type="spellEnd"/>
                  <w:r w:rsidRPr="00257FB3">
                    <w:rPr>
                      <w:b/>
                      <w:bCs/>
                      <w:sz w:val="16"/>
                      <w:szCs w:val="16"/>
                    </w:rPr>
                    <w:t>)</w:t>
                  </w:r>
                </w:p>
              </w:tc>
              <w:tc>
                <w:tcPr>
                  <w:tcW w:w="1060" w:type="dxa"/>
                  <w:vMerge w:val="restart"/>
                </w:tcPr>
                <w:p w14:paraId="1AD8F718" w14:textId="77777777" w:rsidR="009D00F4" w:rsidRPr="00257FB3" w:rsidRDefault="009D00F4" w:rsidP="00654418">
                  <w:pPr>
                    <w:framePr w:hSpace="141" w:wrap="around" w:hAnchor="margin" w:xAlign="center" w:y="-1415"/>
                    <w:jc w:val="center"/>
                    <w:rPr>
                      <w:sz w:val="16"/>
                      <w:szCs w:val="16"/>
                    </w:rPr>
                  </w:pPr>
                  <w:r w:rsidRPr="00257FB3">
                    <w:rPr>
                      <w:b/>
                      <w:bCs/>
                      <w:sz w:val="16"/>
                      <w:szCs w:val="16"/>
                    </w:rPr>
                    <w:t>Jednotka</w:t>
                  </w:r>
                </w:p>
              </w:tc>
              <w:tc>
                <w:tcPr>
                  <w:tcW w:w="2120" w:type="dxa"/>
                  <w:gridSpan w:val="2"/>
                </w:tcPr>
                <w:p w14:paraId="108C0AA5" w14:textId="77777777" w:rsidR="009D00F4" w:rsidRPr="00257FB3" w:rsidRDefault="009D00F4" w:rsidP="00654418">
                  <w:pPr>
                    <w:framePr w:hSpace="141" w:wrap="around" w:hAnchor="margin" w:xAlign="center" w:y="-1415"/>
                    <w:jc w:val="center"/>
                    <w:rPr>
                      <w:sz w:val="16"/>
                      <w:szCs w:val="16"/>
                    </w:rPr>
                  </w:pPr>
                  <w:proofErr w:type="spellStart"/>
                  <w:r w:rsidRPr="00257FB3">
                    <w:rPr>
                      <w:b/>
                      <w:bCs/>
                      <w:sz w:val="16"/>
                      <w:szCs w:val="16"/>
                    </w:rPr>
                    <w:t>Limity</w:t>
                  </w:r>
                  <w:r w:rsidRPr="00257FB3">
                    <w:rPr>
                      <w:b/>
                      <w:bCs/>
                      <w:sz w:val="16"/>
                      <w:szCs w:val="16"/>
                      <w:vertAlign w:val="superscript"/>
                    </w:rPr>
                    <w:t>b</w:t>
                  </w:r>
                  <w:proofErr w:type="spellEnd"/>
                  <w:r w:rsidRPr="00257FB3">
                    <w:rPr>
                      <w:b/>
                      <w:bCs/>
                      <w:sz w:val="16"/>
                      <w:szCs w:val="16"/>
                    </w:rPr>
                    <w:t>)</w:t>
                  </w:r>
                </w:p>
              </w:tc>
            </w:tr>
            <w:tr w:rsidR="009D00F4" w:rsidRPr="00257FB3" w14:paraId="420FC31B" w14:textId="77777777" w:rsidTr="0017306B">
              <w:tc>
                <w:tcPr>
                  <w:tcW w:w="1059" w:type="dxa"/>
                  <w:vMerge/>
                </w:tcPr>
                <w:p w14:paraId="5E0B241A" w14:textId="77777777" w:rsidR="009D00F4" w:rsidRPr="00257FB3" w:rsidRDefault="009D00F4" w:rsidP="00654418">
                  <w:pPr>
                    <w:framePr w:hSpace="141" w:wrap="around" w:hAnchor="margin" w:xAlign="center" w:y="-1415"/>
                    <w:jc w:val="center"/>
                    <w:rPr>
                      <w:sz w:val="16"/>
                      <w:szCs w:val="16"/>
                    </w:rPr>
                  </w:pPr>
                </w:p>
              </w:tc>
              <w:tc>
                <w:tcPr>
                  <w:tcW w:w="1060" w:type="dxa"/>
                  <w:vMerge/>
                </w:tcPr>
                <w:p w14:paraId="6C74D8E7" w14:textId="77777777" w:rsidR="009D00F4" w:rsidRPr="00257FB3" w:rsidRDefault="009D00F4" w:rsidP="00654418">
                  <w:pPr>
                    <w:framePr w:hSpace="141" w:wrap="around" w:hAnchor="margin" w:xAlign="center" w:y="-1415"/>
                    <w:jc w:val="center"/>
                    <w:rPr>
                      <w:sz w:val="16"/>
                      <w:szCs w:val="16"/>
                    </w:rPr>
                  </w:pPr>
                </w:p>
              </w:tc>
              <w:tc>
                <w:tcPr>
                  <w:tcW w:w="1060" w:type="dxa"/>
                </w:tcPr>
                <w:p w14:paraId="59B1FF7E" w14:textId="77777777" w:rsidR="009D00F4" w:rsidRPr="00257FB3" w:rsidRDefault="009D00F4" w:rsidP="00654418">
                  <w:pPr>
                    <w:framePr w:hSpace="141" w:wrap="around" w:hAnchor="margin" w:xAlign="center" w:y="-1415"/>
                    <w:jc w:val="center"/>
                    <w:rPr>
                      <w:sz w:val="16"/>
                      <w:szCs w:val="16"/>
                    </w:rPr>
                  </w:pPr>
                  <w:r w:rsidRPr="00257FB3">
                    <w:rPr>
                      <w:b/>
                      <w:bCs/>
                      <w:sz w:val="16"/>
                      <w:szCs w:val="16"/>
                    </w:rPr>
                    <w:t>Najmenej</w:t>
                  </w:r>
                </w:p>
              </w:tc>
              <w:tc>
                <w:tcPr>
                  <w:tcW w:w="1060" w:type="dxa"/>
                </w:tcPr>
                <w:p w14:paraId="1CA35C11" w14:textId="77777777" w:rsidR="009D00F4" w:rsidRPr="00257FB3" w:rsidRDefault="009D00F4" w:rsidP="00654418">
                  <w:pPr>
                    <w:framePr w:hSpace="141" w:wrap="around" w:hAnchor="margin" w:xAlign="center" w:y="-1415"/>
                    <w:jc w:val="center"/>
                    <w:rPr>
                      <w:sz w:val="16"/>
                      <w:szCs w:val="16"/>
                    </w:rPr>
                  </w:pPr>
                  <w:r w:rsidRPr="00257FB3">
                    <w:rPr>
                      <w:b/>
                      <w:bCs/>
                      <w:sz w:val="16"/>
                      <w:szCs w:val="16"/>
                    </w:rPr>
                    <w:t>Najviac</w:t>
                  </w:r>
                </w:p>
              </w:tc>
            </w:tr>
            <w:tr w:rsidR="009D00F4" w:rsidRPr="00257FB3" w14:paraId="6E8D15C5" w14:textId="77777777" w:rsidTr="0017306B">
              <w:tc>
                <w:tcPr>
                  <w:tcW w:w="4239" w:type="dxa"/>
                  <w:gridSpan w:val="4"/>
                </w:tcPr>
                <w:p w14:paraId="71BCAEDC" w14:textId="77777777" w:rsidR="009D00F4" w:rsidRPr="00257FB3" w:rsidRDefault="009D00F4" w:rsidP="00654418">
                  <w:pPr>
                    <w:framePr w:hSpace="141" w:wrap="around" w:hAnchor="margin" w:xAlign="center" w:y="-1415"/>
                    <w:rPr>
                      <w:sz w:val="16"/>
                      <w:szCs w:val="16"/>
                    </w:rPr>
                  </w:pPr>
                  <w:r w:rsidRPr="00257FB3">
                    <w:rPr>
                      <w:b/>
                      <w:sz w:val="16"/>
                      <w:szCs w:val="16"/>
                    </w:rPr>
                    <w:t>MOTOROVÁ NAFTA</w:t>
                  </w:r>
                </w:p>
              </w:tc>
            </w:tr>
            <w:tr w:rsidR="009D00F4" w:rsidRPr="00257FB3" w14:paraId="046A370E" w14:textId="77777777" w:rsidTr="0017306B">
              <w:tc>
                <w:tcPr>
                  <w:tcW w:w="1059" w:type="dxa"/>
                </w:tcPr>
                <w:p w14:paraId="35891D7B"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Cetánové</w:t>
                  </w:r>
                  <w:proofErr w:type="spellEnd"/>
                  <w:r w:rsidRPr="00257FB3">
                    <w:rPr>
                      <w:sz w:val="16"/>
                      <w:szCs w:val="16"/>
                    </w:rPr>
                    <w:t xml:space="preserve"> číslo</w:t>
                  </w:r>
                </w:p>
              </w:tc>
              <w:tc>
                <w:tcPr>
                  <w:tcW w:w="1060" w:type="dxa"/>
                </w:tcPr>
                <w:p w14:paraId="683CB559" w14:textId="77777777" w:rsidR="009D00F4" w:rsidRPr="00257FB3" w:rsidRDefault="009D00F4" w:rsidP="00654418">
                  <w:pPr>
                    <w:framePr w:hSpace="141" w:wrap="around" w:hAnchor="margin" w:xAlign="center" w:y="-1415"/>
                    <w:jc w:val="center"/>
                    <w:rPr>
                      <w:sz w:val="16"/>
                      <w:szCs w:val="16"/>
                    </w:rPr>
                  </w:pPr>
                </w:p>
              </w:tc>
              <w:tc>
                <w:tcPr>
                  <w:tcW w:w="1060" w:type="dxa"/>
                </w:tcPr>
                <w:p w14:paraId="7C0603FA" w14:textId="77777777" w:rsidR="009D00F4" w:rsidRPr="00257FB3" w:rsidRDefault="009D00F4" w:rsidP="00654418">
                  <w:pPr>
                    <w:framePr w:hSpace="141" w:wrap="around" w:hAnchor="margin" w:xAlign="center" w:y="-1415"/>
                    <w:jc w:val="center"/>
                    <w:rPr>
                      <w:sz w:val="16"/>
                      <w:szCs w:val="16"/>
                    </w:rPr>
                  </w:pPr>
                  <w:r w:rsidRPr="00257FB3">
                    <w:rPr>
                      <w:sz w:val="16"/>
                      <w:szCs w:val="16"/>
                    </w:rPr>
                    <w:t>51,0</w:t>
                  </w:r>
                </w:p>
              </w:tc>
              <w:tc>
                <w:tcPr>
                  <w:tcW w:w="1060" w:type="dxa"/>
                </w:tcPr>
                <w:p w14:paraId="0DD37633" w14:textId="77777777" w:rsidR="009D00F4" w:rsidRPr="00257FB3" w:rsidRDefault="009D00F4" w:rsidP="00654418">
                  <w:pPr>
                    <w:framePr w:hSpace="141" w:wrap="around" w:hAnchor="margin" w:xAlign="center" w:y="-1415"/>
                    <w:jc w:val="center"/>
                    <w:rPr>
                      <w:sz w:val="16"/>
                      <w:szCs w:val="16"/>
                    </w:rPr>
                  </w:pPr>
                </w:p>
              </w:tc>
            </w:tr>
            <w:tr w:rsidR="009D00F4" w:rsidRPr="00257FB3" w14:paraId="4CE4C283" w14:textId="77777777" w:rsidTr="0017306B">
              <w:tc>
                <w:tcPr>
                  <w:tcW w:w="1059" w:type="dxa"/>
                </w:tcPr>
                <w:p w14:paraId="79CED439" w14:textId="77777777" w:rsidR="009D00F4" w:rsidRPr="00257FB3" w:rsidRDefault="009D00F4" w:rsidP="00654418">
                  <w:pPr>
                    <w:framePr w:hSpace="141" w:wrap="around" w:hAnchor="margin" w:xAlign="center" w:y="-1415"/>
                    <w:rPr>
                      <w:sz w:val="16"/>
                      <w:szCs w:val="16"/>
                    </w:rPr>
                  </w:pPr>
                  <w:r w:rsidRPr="00257FB3">
                    <w:rPr>
                      <w:sz w:val="16"/>
                      <w:szCs w:val="16"/>
                    </w:rPr>
                    <w:t>Hustota pri 15 °C</w:t>
                  </w:r>
                </w:p>
              </w:tc>
              <w:tc>
                <w:tcPr>
                  <w:tcW w:w="1060" w:type="dxa"/>
                </w:tcPr>
                <w:p w14:paraId="0EB07B22" w14:textId="77777777" w:rsidR="009D00F4" w:rsidRPr="00257FB3" w:rsidRDefault="009D00F4" w:rsidP="00654418">
                  <w:pPr>
                    <w:framePr w:hSpace="141" w:wrap="around" w:hAnchor="margin" w:xAlign="center" w:y="-1415"/>
                    <w:jc w:val="center"/>
                    <w:rPr>
                      <w:sz w:val="16"/>
                      <w:szCs w:val="16"/>
                    </w:rPr>
                  </w:pPr>
                  <w:r w:rsidRPr="00257FB3">
                    <w:rPr>
                      <w:sz w:val="16"/>
                      <w:szCs w:val="16"/>
                    </w:rPr>
                    <w:t>kg/m</w:t>
                  </w:r>
                  <w:r w:rsidRPr="00257FB3">
                    <w:rPr>
                      <w:sz w:val="16"/>
                      <w:szCs w:val="16"/>
                      <w:vertAlign w:val="superscript"/>
                    </w:rPr>
                    <w:t>3</w:t>
                  </w:r>
                </w:p>
              </w:tc>
              <w:tc>
                <w:tcPr>
                  <w:tcW w:w="1060" w:type="dxa"/>
                </w:tcPr>
                <w:p w14:paraId="23707489"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2C33738D" w14:textId="77777777" w:rsidR="009D00F4" w:rsidRPr="00257FB3" w:rsidRDefault="009D00F4" w:rsidP="00654418">
                  <w:pPr>
                    <w:framePr w:hSpace="141" w:wrap="around" w:hAnchor="margin" w:xAlign="center" w:y="-1415"/>
                    <w:jc w:val="center"/>
                    <w:rPr>
                      <w:sz w:val="16"/>
                      <w:szCs w:val="16"/>
                    </w:rPr>
                  </w:pPr>
                  <w:r w:rsidRPr="00257FB3">
                    <w:rPr>
                      <w:sz w:val="16"/>
                      <w:szCs w:val="16"/>
                    </w:rPr>
                    <w:t>845,0</w:t>
                  </w:r>
                </w:p>
              </w:tc>
            </w:tr>
            <w:tr w:rsidR="009D00F4" w:rsidRPr="00257FB3" w14:paraId="23335926" w14:textId="77777777" w:rsidTr="0017306B">
              <w:tc>
                <w:tcPr>
                  <w:tcW w:w="1059" w:type="dxa"/>
                </w:tcPr>
                <w:p w14:paraId="7F06F0B4" w14:textId="77777777" w:rsidR="009D00F4" w:rsidRPr="00257FB3" w:rsidRDefault="009D00F4" w:rsidP="00654418">
                  <w:pPr>
                    <w:framePr w:hSpace="141" w:wrap="around" w:hAnchor="margin" w:xAlign="center" w:y="-1415"/>
                    <w:rPr>
                      <w:sz w:val="16"/>
                      <w:szCs w:val="16"/>
                    </w:rPr>
                  </w:pPr>
                  <w:r w:rsidRPr="00257FB3">
                    <w:rPr>
                      <w:sz w:val="16"/>
                      <w:szCs w:val="16"/>
                    </w:rPr>
                    <w:t>Destilácia - 95 % získanej pri</w:t>
                  </w:r>
                </w:p>
              </w:tc>
              <w:tc>
                <w:tcPr>
                  <w:tcW w:w="1060" w:type="dxa"/>
                </w:tcPr>
                <w:p w14:paraId="484D36C8" w14:textId="77777777" w:rsidR="009D00F4" w:rsidRPr="00257FB3" w:rsidRDefault="009D00F4" w:rsidP="00654418">
                  <w:pPr>
                    <w:framePr w:hSpace="141" w:wrap="around" w:hAnchor="margin" w:xAlign="center" w:y="-1415"/>
                    <w:jc w:val="center"/>
                    <w:rPr>
                      <w:sz w:val="16"/>
                      <w:szCs w:val="16"/>
                    </w:rPr>
                  </w:pPr>
                  <w:r w:rsidRPr="00257FB3">
                    <w:rPr>
                      <w:sz w:val="16"/>
                      <w:szCs w:val="16"/>
                    </w:rPr>
                    <w:t>°C</w:t>
                  </w:r>
                </w:p>
              </w:tc>
              <w:tc>
                <w:tcPr>
                  <w:tcW w:w="1060" w:type="dxa"/>
                </w:tcPr>
                <w:p w14:paraId="553B6734"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62F319D8" w14:textId="77777777" w:rsidR="009D00F4" w:rsidRPr="00257FB3" w:rsidRDefault="009D00F4" w:rsidP="00654418">
                  <w:pPr>
                    <w:framePr w:hSpace="141" w:wrap="around" w:hAnchor="margin" w:xAlign="center" w:y="-1415"/>
                    <w:jc w:val="center"/>
                    <w:rPr>
                      <w:sz w:val="16"/>
                      <w:szCs w:val="16"/>
                    </w:rPr>
                  </w:pPr>
                  <w:r w:rsidRPr="00257FB3">
                    <w:rPr>
                      <w:sz w:val="16"/>
                      <w:szCs w:val="16"/>
                    </w:rPr>
                    <w:t>360,0</w:t>
                  </w:r>
                </w:p>
              </w:tc>
            </w:tr>
            <w:tr w:rsidR="009D00F4" w:rsidRPr="00257FB3" w14:paraId="6A6FD65B" w14:textId="77777777" w:rsidTr="0017306B">
              <w:tc>
                <w:tcPr>
                  <w:tcW w:w="1059" w:type="dxa"/>
                </w:tcPr>
                <w:p w14:paraId="03EFCCF1"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Polycyklické</w:t>
                  </w:r>
                  <w:proofErr w:type="spellEnd"/>
                  <w:r w:rsidRPr="00257FB3">
                    <w:rPr>
                      <w:sz w:val="16"/>
                      <w:szCs w:val="16"/>
                    </w:rPr>
                    <w:t xml:space="preserve"> aromatické uhľovodíky</w:t>
                  </w:r>
                </w:p>
              </w:tc>
              <w:tc>
                <w:tcPr>
                  <w:tcW w:w="1060" w:type="dxa"/>
                </w:tcPr>
                <w:p w14:paraId="2195EDA1" w14:textId="77777777" w:rsidR="009D00F4" w:rsidRPr="00257FB3" w:rsidRDefault="009D00F4" w:rsidP="00654418">
                  <w:pPr>
                    <w:framePr w:hSpace="141" w:wrap="around" w:hAnchor="margin" w:xAlign="center" w:y="-1415"/>
                    <w:jc w:val="center"/>
                    <w:rPr>
                      <w:sz w:val="16"/>
                      <w:szCs w:val="16"/>
                    </w:rPr>
                  </w:pPr>
                  <w:r w:rsidRPr="00257FB3">
                    <w:rPr>
                      <w:sz w:val="16"/>
                      <w:szCs w:val="16"/>
                    </w:rPr>
                    <w:t>% hmotnosti</w:t>
                  </w:r>
                </w:p>
              </w:tc>
              <w:tc>
                <w:tcPr>
                  <w:tcW w:w="1060" w:type="dxa"/>
                </w:tcPr>
                <w:p w14:paraId="0FC9F62F"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51F6217F" w14:textId="77777777" w:rsidR="009D00F4" w:rsidRPr="00257FB3" w:rsidRDefault="009D00F4" w:rsidP="00654418">
                  <w:pPr>
                    <w:framePr w:hSpace="141" w:wrap="around" w:hAnchor="margin" w:xAlign="center" w:y="-1415"/>
                    <w:jc w:val="center"/>
                    <w:rPr>
                      <w:sz w:val="16"/>
                      <w:szCs w:val="16"/>
                    </w:rPr>
                  </w:pPr>
                  <w:r w:rsidRPr="00257FB3">
                    <w:rPr>
                      <w:sz w:val="16"/>
                      <w:szCs w:val="16"/>
                    </w:rPr>
                    <w:t>8,0</w:t>
                  </w:r>
                </w:p>
              </w:tc>
            </w:tr>
            <w:tr w:rsidR="009D00F4" w:rsidRPr="00257FB3" w14:paraId="10A8EC36" w14:textId="77777777" w:rsidTr="0017306B">
              <w:tc>
                <w:tcPr>
                  <w:tcW w:w="1059" w:type="dxa"/>
                </w:tcPr>
                <w:p w14:paraId="5F7F5D5D" w14:textId="77777777" w:rsidR="009D00F4" w:rsidRPr="00257FB3" w:rsidRDefault="009D00F4" w:rsidP="00654418">
                  <w:pPr>
                    <w:framePr w:hSpace="141" w:wrap="around" w:hAnchor="margin" w:xAlign="center" w:y="-1415"/>
                    <w:rPr>
                      <w:sz w:val="16"/>
                      <w:szCs w:val="16"/>
                    </w:rPr>
                  </w:pPr>
                  <w:r w:rsidRPr="00257FB3">
                    <w:rPr>
                      <w:sz w:val="16"/>
                      <w:szCs w:val="16"/>
                    </w:rPr>
                    <w:t>Obsah síry</w:t>
                  </w:r>
                </w:p>
              </w:tc>
              <w:tc>
                <w:tcPr>
                  <w:tcW w:w="1060" w:type="dxa"/>
                </w:tcPr>
                <w:p w14:paraId="342D9FBD" w14:textId="77777777" w:rsidR="009D00F4" w:rsidRPr="00257FB3" w:rsidRDefault="009D00F4" w:rsidP="00654418">
                  <w:pPr>
                    <w:framePr w:hSpace="141" w:wrap="around" w:hAnchor="margin" w:xAlign="center" w:y="-1415"/>
                    <w:jc w:val="center"/>
                    <w:rPr>
                      <w:sz w:val="16"/>
                      <w:szCs w:val="16"/>
                    </w:rPr>
                  </w:pPr>
                  <w:r w:rsidRPr="00257FB3">
                    <w:rPr>
                      <w:sz w:val="16"/>
                      <w:szCs w:val="16"/>
                    </w:rPr>
                    <w:t>mg/kg</w:t>
                  </w:r>
                </w:p>
              </w:tc>
              <w:tc>
                <w:tcPr>
                  <w:tcW w:w="1060" w:type="dxa"/>
                </w:tcPr>
                <w:p w14:paraId="5555DF2A" w14:textId="77777777" w:rsidR="009D00F4" w:rsidRPr="00257FB3" w:rsidRDefault="009D00F4" w:rsidP="00654418">
                  <w:pPr>
                    <w:framePr w:hSpace="141" w:wrap="around" w:hAnchor="margin" w:xAlign="center" w:y="-1415"/>
                    <w:jc w:val="center"/>
                    <w:rPr>
                      <w:sz w:val="16"/>
                      <w:szCs w:val="16"/>
                    </w:rPr>
                  </w:pPr>
                </w:p>
              </w:tc>
              <w:tc>
                <w:tcPr>
                  <w:tcW w:w="1060" w:type="dxa"/>
                </w:tcPr>
                <w:p w14:paraId="5A5F2F5D" w14:textId="77777777" w:rsidR="009D00F4" w:rsidRPr="00257FB3" w:rsidRDefault="009D00F4" w:rsidP="00654418">
                  <w:pPr>
                    <w:framePr w:hSpace="141" w:wrap="around" w:hAnchor="margin" w:xAlign="center" w:y="-1415"/>
                    <w:jc w:val="center"/>
                    <w:rPr>
                      <w:sz w:val="16"/>
                      <w:szCs w:val="16"/>
                    </w:rPr>
                  </w:pPr>
                  <w:r w:rsidRPr="00257FB3">
                    <w:rPr>
                      <w:sz w:val="16"/>
                      <w:szCs w:val="16"/>
                    </w:rPr>
                    <w:t>10,0</w:t>
                  </w:r>
                </w:p>
              </w:tc>
            </w:tr>
            <w:tr w:rsidR="009D00F4" w:rsidRPr="00257FB3" w14:paraId="338C11AC" w14:textId="77777777" w:rsidTr="0017306B">
              <w:tc>
                <w:tcPr>
                  <w:tcW w:w="1059" w:type="dxa"/>
                </w:tcPr>
                <w:p w14:paraId="3B7A9CE6" w14:textId="77777777" w:rsidR="009D00F4" w:rsidRPr="00257FB3" w:rsidRDefault="009D00F4" w:rsidP="00654418">
                  <w:pPr>
                    <w:framePr w:hSpace="141" w:wrap="around" w:hAnchor="margin" w:xAlign="center" w:y="-1415"/>
                    <w:rPr>
                      <w:sz w:val="16"/>
                      <w:szCs w:val="16"/>
                    </w:rPr>
                  </w:pPr>
                  <w:r w:rsidRPr="00257FB3">
                    <w:rPr>
                      <w:sz w:val="16"/>
                      <w:szCs w:val="16"/>
                    </w:rPr>
                    <w:t xml:space="preserve">Obsah </w:t>
                  </w:r>
                  <w:proofErr w:type="spellStart"/>
                  <w:r w:rsidRPr="00257FB3">
                    <w:rPr>
                      <w:sz w:val="16"/>
                      <w:szCs w:val="16"/>
                    </w:rPr>
                    <w:t>metylesterov</w:t>
                  </w:r>
                  <w:proofErr w:type="spellEnd"/>
                  <w:r w:rsidRPr="00257FB3">
                    <w:rPr>
                      <w:sz w:val="16"/>
                      <w:szCs w:val="16"/>
                    </w:rPr>
                    <w:t xml:space="preserve"> mastných kyselín</w:t>
                  </w:r>
                  <w:r>
                    <w:rPr>
                      <w:sz w:val="16"/>
                      <w:szCs w:val="16"/>
                      <w:vertAlign w:val="superscript"/>
                    </w:rPr>
                    <w:t>45a</w:t>
                  </w:r>
                  <w:r w:rsidRPr="00257FB3">
                    <w:rPr>
                      <w:sz w:val="16"/>
                      <w:szCs w:val="16"/>
                    </w:rPr>
                    <w:t>)</w:t>
                  </w:r>
                </w:p>
              </w:tc>
              <w:tc>
                <w:tcPr>
                  <w:tcW w:w="1060" w:type="dxa"/>
                </w:tcPr>
                <w:p w14:paraId="69E1EFC1" w14:textId="77777777" w:rsidR="009D00F4" w:rsidRPr="00257FB3" w:rsidRDefault="009D00F4" w:rsidP="00654418">
                  <w:pPr>
                    <w:framePr w:hSpace="141" w:wrap="around" w:hAnchor="margin" w:xAlign="center" w:y="-1415"/>
                    <w:jc w:val="center"/>
                    <w:rPr>
                      <w:sz w:val="16"/>
                      <w:szCs w:val="16"/>
                    </w:rPr>
                  </w:pPr>
                  <w:r w:rsidRPr="00257FB3">
                    <w:rPr>
                      <w:sz w:val="16"/>
                      <w:szCs w:val="16"/>
                    </w:rPr>
                    <w:t>%</w:t>
                  </w:r>
                </w:p>
              </w:tc>
              <w:tc>
                <w:tcPr>
                  <w:tcW w:w="1060" w:type="dxa"/>
                </w:tcPr>
                <w:p w14:paraId="1BB7B4E7" w14:textId="77777777" w:rsidR="009D00F4" w:rsidRPr="00257FB3" w:rsidRDefault="009D00F4" w:rsidP="00654418">
                  <w:pPr>
                    <w:framePr w:hSpace="141" w:wrap="around" w:hAnchor="margin" w:xAlign="center" w:y="-1415"/>
                    <w:jc w:val="center"/>
                    <w:rPr>
                      <w:sz w:val="16"/>
                      <w:szCs w:val="16"/>
                    </w:rPr>
                  </w:pPr>
                </w:p>
              </w:tc>
              <w:tc>
                <w:tcPr>
                  <w:tcW w:w="1060" w:type="dxa"/>
                </w:tcPr>
                <w:p w14:paraId="71A3CA12" w14:textId="77777777" w:rsidR="009D00F4" w:rsidRPr="00257FB3" w:rsidRDefault="009D00F4" w:rsidP="00654418">
                  <w:pPr>
                    <w:framePr w:hSpace="141" w:wrap="around" w:hAnchor="margin" w:xAlign="center" w:y="-1415"/>
                    <w:jc w:val="center"/>
                    <w:rPr>
                      <w:sz w:val="16"/>
                      <w:szCs w:val="16"/>
                    </w:rPr>
                  </w:pPr>
                  <w:r>
                    <w:rPr>
                      <w:sz w:val="16"/>
                      <w:szCs w:val="16"/>
                    </w:rPr>
                    <w:t>7</w:t>
                  </w:r>
                  <w:r w:rsidRPr="00257FB3">
                    <w:rPr>
                      <w:sz w:val="16"/>
                      <w:szCs w:val="16"/>
                    </w:rPr>
                    <w:t>,0</w:t>
                  </w:r>
                  <w:r w:rsidRPr="00257FB3">
                    <w:rPr>
                      <w:sz w:val="16"/>
                      <w:szCs w:val="16"/>
                      <w:vertAlign w:val="superscript"/>
                    </w:rPr>
                    <w:t>c</w:t>
                  </w:r>
                  <w:r w:rsidRPr="00257FB3">
                    <w:rPr>
                      <w:sz w:val="16"/>
                      <w:szCs w:val="16"/>
                    </w:rPr>
                    <w:t>)</w:t>
                  </w:r>
                </w:p>
              </w:tc>
            </w:tr>
          </w:tbl>
          <w:p w14:paraId="1F8EB426" w14:textId="77777777" w:rsidR="009D00F4" w:rsidRPr="00257FB3" w:rsidRDefault="009D00F4" w:rsidP="009D00F4">
            <w:pPr>
              <w:ind w:left="-180"/>
              <w:rPr>
                <w:sz w:val="16"/>
                <w:szCs w:val="16"/>
              </w:rPr>
            </w:pPr>
          </w:p>
          <w:p w14:paraId="40A1E647" w14:textId="77777777" w:rsidR="009D00F4" w:rsidRPr="00257FB3" w:rsidRDefault="009D00F4" w:rsidP="009D00F4">
            <w:pPr>
              <w:ind w:left="-180"/>
              <w:rPr>
                <w:sz w:val="16"/>
                <w:szCs w:val="16"/>
              </w:rPr>
            </w:pPr>
          </w:p>
          <w:p w14:paraId="1E0C0EC8" w14:textId="77777777" w:rsidR="009D00F4" w:rsidRPr="00257FB3" w:rsidRDefault="009D00F4" w:rsidP="009D00F4">
            <w:pPr>
              <w:ind w:left="-180"/>
              <w:rPr>
                <w:sz w:val="16"/>
                <w:szCs w:val="16"/>
              </w:rPr>
            </w:pPr>
            <w:r w:rsidRPr="00257FB3">
              <w:rPr>
                <w:sz w:val="16"/>
                <w:szCs w:val="16"/>
              </w:rPr>
              <w:lastRenderedPageBreak/>
              <w:t xml:space="preserve">    </w:t>
            </w:r>
            <w:r>
              <w:rPr>
                <w:sz w:val="16"/>
                <w:szCs w:val="16"/>
              </w:rPr>
              <w:t>Vysvetlivky</w:t>
            </w:r>
            <w:r w:rsidRPr="00257FB3">
              <w:rPr>
                <w:sz w:val="16"/>
                <w:szCs w:val="16"/>
              </w:rPr>
              <w:t>:</w:t>
            </w:r>
            <w:r>
              <w:rPr>
                <w:sz w:val="16"/>
                <w:szCs w:val="16"/>
              </w:rPr>
              <w:t xml:space="preserve"> </w:t>
            </w:r>
            <w:r w:rsidRPr="00257FB3">
              <w:rPr>
                <w:sz w:val="16"/>
                <w:szCs w:val="16"/>
              </w:rPr>
              <w:t xml:space="preserve">   </w:t>
            </w:r>
          </w:p>
          <w:p w14:paraId="4F9FD217" w14:textId="77777777" w:rsidR="009D00F4" w:rsidRPr="00257FB3" w:rsidRDefault="009D00F4" w:rsidP="009D00F4">
            <w:pPr>
              <w:keepNext/>
              <w:numPr>
                <w:ilvl w:val="0"/>
                <w:numId w:val="7"/>
              </w:numPr>
              <w:spacing w:before="60" w:after="60" w:line="240" w:lineRule="auto"/>
              <w:jc w:val="both"/>
              <w:rPr>
                <w:sz w:val="16"/>
                <w:szCs w:val="16"/>
              </w:rPr>
            </w:pPr>
            <w:r w:rsidRPr="00257FB3">
              <w:rPr>
                <w:sz w:val="16"/>
                <w:szCs w:val="16"/>
              </w:rPr>
              <w:t>Skúšobné metódy sú špecifikované v technickej norme</w:t>
            </w:r>
            <w:r>
              <w:rPr>
                <w:sz w:val="16"/>
                <w:szCs w:val="16"/>
                <w:vertAlign w:val="superscript"/>
              </w:rPr>
              <w:t>21a</w:t>
            </w:r>
            <w:r w:rsidRPr="00257FB3">
              <w:rPr>
                <w:sz w:val="16"/>
                <w:szCs w:val="16"/>
              </w:rPr>
              <w:t>) alebo inej obdobnej technickej špecifikácii s porovnateľnými alebo prísnejšími požiadavkami.</w:t>
            </w:r>
          </w:p>
          <w:p w14:paraId="414BA87A" w14:textId="77777777" w:rsidR="009D00F4" w:rsidRPr="00257FB3" w:rsidRDefault="009D00F4" w:rsidP="009D00F4">
            <w:pPr>
              <w:keepNext/>
              <w:numPr>
                <w:ilvl w:val="0"/>
                <w:numId w:val="7"/>
              </w:numPr>
              <w:spacing w:before="60" w:after="60" w:line="240" w:lineRule="auto"/>
              <w:jc w:val="both"/>
              <w:rPr>
                <w:sz w:val="16"/>
                <w:szCs w:val="16"/>
              </w:rPr>
            </w:pPr>
            <w:r w:rsidRPr="00257FB3">
              <w:rPr>
                <w:sz w:val="16"/>
                <w:szCs w:val="16"/>
              </w:rPr>
              <w:t>Hodnoty uvedené v špecifikácii sú „skutočné hodnoty“. Pri stanovení ich limitných hodnôt sa použili podmienky technickej normy</w:t>
            </w:r>
            <w:r>
              <w:rPr>
                <w:sz w:val="16"/>
                <w:szCs w:val="16"/>
                <w:vertAlign w:val="superscript"/>
              </w:rPr>
              <w:t>45</w:t>
            </w:r>
            <w:r w:rsidRPr="00257FB3">
              <w:rPr>
                <w:sz w:val="16"/>
                <w:szCs w:val="16"/>
              </w:rPr>
              <w:t>) alebo inej obdobnej technickej špecifikácie s porovnateľnými alebo prísnejšími požiadavkami. Pri stanovení najnižšej hodnoty sa zohľadnil najmenší rozdiel 2R nad nulou (R = reprodukovateľnosť). Výsledky jednotlivých meraní sa interpretujú na základe kritérií uvedených v technickej norme</w:t>
            </w:r>
            <w:r>
              <w:rPr>
                <w:sz w:val="16"/>
                <w:szCs w:val="16"/>
                <w:vertAlign w:val="superscript"/>
              </w:rPr>
              <w:t>45</w:t>
            </w:r>
            <w:r w:rsidRPr="00257FB3">
              <w:rPr>
                <w:sz w:val="16"/>
                <w:szCs w:val="16"/>
              </w:rPr>
              <w:t>) alebo inej obdobnej technickej špecifikácii s porovnateľnými alebo prísnejšími požiadavkami.</w:t>
            </w:r>
          </w:p>
          <w:p w14:paraId="0E8B2E49" w14:textId="77777777" w:rsidR="009D00F4" w:rsidRPr="00257FB3" w:rsidRDefault="009D00F4" w:rsidP="009D00F4">
            <w:pPr>
              <w:keepNext/>
              <w:numPr>
                <w:ilvl w:val="0"/>
                <w:numId w:val="7"/>
              </w:numPr>
              <w:spacing w:before="60" w:after="60" w:line="240" w:lineRule="auto"/>
              <w:jc w:val="both"/>
              <w:rPr>
                <w:sz w:val="20"/>
                <w:lang w:eastAsia="sk-SK"/>
              </w:rPr>
            </w:pPr>
            <w:proofErr w:type="spellStart"/>
            <w:r w:rsidRPr="00257FB3">
              <w:rPr>
                <w:sz w:val="16"/>
                <w:szCs w:val="16"/>
              </w:rPr>
              <w:t>Metylestery</w:t>
            </w:r>
            <w:proofErr w:type="spellEnd"/>
            <w:r w:rsidRPr="00257FB3">
              <w:rPr>
                <w:sz w:val="16"/>
                <w:szCs w:val="16"/>
              </w:rPr>
              <w:t xml:space="preserve"> mastných kyselín musia spĺňať technickú normu</w:t>
            </w:r>
            <w:r>
              <w:rPr>
                <w:sz w:val="16"/>
                <w:szCs w:val="16"/>
                <w:vertAlign w:val="superscript"/>
              </w:rPr>
              <w:t>23</w:t>
            </w:r>
            <w:r w:rsidRPr="00257FB3">
              <w:rPr>
                <w:sz w:val="16"/>
                <w:szCs w:val="16"/>
              </w:rPr>
              <w:t>) alebo inú obdobnú technickú špecifikáciu s porovnateľnými alebo prísnejšími požiadavkami.</w:t>
            </w:r>
            <w:r>
              <w:rPr>
                <w:sz w:val="16"/>
                <w:szCs w:val="16"/>
              </w:rPr>
              <w:t xml:space="preserve"> </w:t>
            </w:r>
          </w:p>
          <w:p w14:paraId="0C7B5175" w14:textId="77777777" w:rsidR="009D00F4" w:rsidRPr="00257FB3" w:rsidRDefault="00654418" w:rsidP="009D00F4">
            <w:pPr>
              <w:spacing w:line="240" w:lineRule="atLeast"/>
              <w:ind w:left="-44" w:firstLine="44"/>
              <w:jc w:val="both"/>
            </w:pPr>
            <w:r>
              <w:rPr>
                <w:noProof/>
              </w:rPr>
              <w:pict w14:anchorId="218AE1CD">
                <v:shape id="_x0000_s1044" type="#_x0000_t32" style="position:absolute;left:0;text-align:left;margin-left:.1pt;margin-top:5.4pt;width:58.2pt;height:0;z-index:251683840" o:connectortype="straight"/>
              </w:pict>
            </w:r>
          </w:p>
          <w:p w14:paraId="71F0AC0D" w14:textId="77777777" w:rsidR="009D00F4" w:rsidRDefault="009D00F4" w:rsidP="009D00F4">
            <w:pPr>
              <w:pStyle w:val="Textpoznmkypodiarou"/>
              <w:jc w:val="both"/>
              <w:rPr>
                <w:rFonts w:eastAsia="Calibri"/>
                <w:sz w:val="18"/>
                <w:szCs w:val="18"/>
                <w:lang w:eastAsia="sk-SK"/>
              </w:rPr>
            </w:pPr>
            <w:r w:rsidRPr="00411D3B">
              <w:rPr>
                <w:rFonts w:eastAsia="Calibri"/>
                <w:sz w:val="18"/>
                <w:szCs w:val="18"/>
                <w:vertAlign w:val="superscript"/>
                <w:lang w:eastAsia="sk-SK"/>
              </w:rPr>
              <w:t>45a</w:t>
            </w:r>
            <w:r w:rsidRPr="00411D3B">
              <w:rPr>
                <w:rFonts w:eastAsia="Calibri"/>
                <w:sz w:val="18"/>
                <w:szCs w:val="18"/>
                <w:lang w:eastAsia="sk-SK"/>
              </w:rPr>
              <w:t xml:space="preserve">) STN EN 14078 Kvapalné ropné výrobky. Stanovenie obsahu </w:t>
            </w:r>
            <w:proofErr w:type="spellStart"/>
            <w:r w:rsidRPr="00411D3B">
              <w:rPr>
                <w:rFonts w:eastAsia="Calibri"/>
                <w:sz w:val="18"/>
                <w:szCs w:val="18"/>
                <w:lang w:eastAsia="sk-SK"/>
              </w:rPr>
              <w:t>metylesterov</w:t>
            </w:r>
            <w:proofErr w:type="spellEnd"/>
            <w:r w:rsidRPr="00411D3B">
              <w:rPr>
                <w:rFonts w:eastAsia="Calibri"/>
                <w:sz w:val="18"/>
                <w:szCs w:val="18"/>
                <w:lang w:eastAsia="sk-SK"/>
              </w:rPr>
              <w:t xml:space="preserve"> mastných kyselín (FAME) v stredných destilátoch. Metóda infračervenej </w:t>
            </w:r>
            <w:proofErr w:type="spellStart"/>
            <w:r w:rsidRPr="00411D3B">
              <w:rPr>
                <w:rFonts w:eastAsia="Calibri"/>
                <w:sz w:val="18"/>
                <w:szCs w:val="18"/>
                <w:lang w:eastAsia="sk-SK"/>
              </w:rPr>
              <w:t>spektrometrie</w:t>
            </w:r>
            <w:proofErr w:type="spellEnd"/>
            <w:r w:rsidRPr="00411D3B">
              <w:rPr>
                <w:rFonts w:eastAsia="Calibri"/>
                <w:sz w:val="18"/>
                <w:szCs w:val="18"/>
                <w:lang w:eastAsia="sk-SK"/>
              </w:rPr>
              <w:t xml:space="preserve"> (</w:t>
            </w:r>
            <w:hyperlink r:id="rId10" w:tgtFrame="_blank" w:history="1">
              <w:r w:rsidRPr="00411D3B">
                <w:rPr>
                  <w:rFonts w:eastAsia="Calibri"/>
                  <w:sz w:val="18"/>
                  <w:szCs w:val="18"/>
                  <w:lang w:eastAsia="sk-SK"/>
                </w:rPr>
                <w:t>65 6532</w:t>
              </w:r>
            </w:hyperlink>
            <w:r w:rsidRPr="00411D3B">
              <w:rPr>
                <w:rFonts w:eastAsia="Calibri"/>
                <w:sz w:val="18"/>
                <w:szCs w:val="18"/>
                <w:lang w:eastAsia="sk-SK"/>
              </w:rPr>
              <w:t>).</w:t>
            </w:r>
          </w:p>
          <w:p w14:paraId="3905518E" w14:textId="77777777" w:rsidR="009D00F4" w:rsidRPr="00257FB3" w:rsidRDefault="009D00F4" w:rsidP="009D00F4">
            <w:pPr>
              <w:pStyle w:val="Textpoznmkypodiarou"/>
              <w:jc w:val="both"/>
              <w:rPr>
                <w:rFonts w:eastAsia="Calibri"/>
                <w:sz w:val="18"/>
                <w:szCs w:val="18"/>
                <w:lang w:eastAsia="sk-SK"/>
              </w:rPr>
            </w:pPr>
            <w:r>
              <w:rPr>
                <w:sz w:val="18"/>
                <w:szCs w:val="18"/>
                <w:vertAlign w:val="superscript"/>
              </w:rPr>
              <w:t>21a</w:t>
            </w:r>
            <w:r w:rsidRPr="00257FB3">
              <w:rPr>
                <w:sz w:val="18"/>
                <w:szCs w:val="18"/>
              </w:rPr>
              <w:t xml:space="preserve">) </w:t>
            </w:r>
            <w:r w:rsidRPr="00132312">
              <w:rPr>
                <w:sz w:val="18"/>
                <w:szCs w:val="18"/>
                <w:lang w:eastAsia="sk-SK"/>
              </w:rPr>
              <w:t>STN EN 590 Automobilové palivá. Motorová nafta. Požiadavky a skúšobné metódy (65 6506).</w:t>
            </w:r>
            <w:r w:rsidRPr="00257FB3">
              <w:t xml:space="preserve">  </w:t>
            </w:r>
          </w:p>
          <w:p w14:paraId="1C167E8B" w14:textId="77777777" w:rsidR="009D00F4" w:rsidRPr="00257FB3" w:rsidRDefault="009D00F4" w:rsidP="009D00F4">
            <w:pPr>
              <w:keepNext/>
              <w:spacing w:before="60" w:after="60"/>
              <w:jc w:val="both"/>
              <w:rPr>
                <w:sz w:val="18"/>
                <w:szCs w:val="18"/>
                <w:lang w:eastAsia="sk-SK"/>
              </w:rPr>
            </w:pPr>
            <w:r>
              <w:rPr>
                <w:sz w:val="18"/>
                <w:szCs w:val="18"/>
                <w:vertAlign w:val="superscript"/>
              </w:rPr>
              <w:t>45</w:t>
            </w:r>
            <w:r w:rsidRPr="00257FB3">
              <w:rPr>
                <w:sz w:val="18"/>
                <w:szCs w:val="18"/>
              </w:rPr>
              <w:t xml:space="preserve">) </w:t>
            </w:r>
            <w:r w:rsidRPr="0097586D">
              <w:rPr>
                <w:rFonts w:eastAsia="Calibri"/>
                <w:sz w:val="18"/>
                <w:szCs w:val="18"/>
                <w:lang w:eastAsia="sk-SK"/>
              </w:rPr>
              <w:t>Súbor STN EN ISO 4259 Ropné výrobky a príbuzné výrobky. Zhodnosť metód merania a výsledkov merania (65 6004).</w:t>
            </w:r>
          </w:p>
          <w:p w14:paraId="3FC5F9B7" w14:textId="260158B0" w:rsidR="009D00F4" w:rsidRPr="0029105C" w:rsidRDefault="009D00F4" w:rsidP="009D00F4">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lang w:eastAsia="sk-SK"/>
              </w:rPr>
            </w:pPr>
            <w:r>
              <w:rPr>
                <w:sz w:val="18"/>
                <w:szCs w:val="18"/>
                <w:vertAlign w:val="superscript"/>
              </w:rPr>
              <w:t>23</w:t>
            </w:r>
            <w:r w:rsidRPr="00257FB3">
              <w:rPr>
                <w:sz w:val="18"/>
                <w:szCs w:val="18"/>
              </w:rPr>
              <w:t xml:space="preserve">) </w:t>
            </w:r>
            <w:r>
              <w:rPr>
                <w:sz w:val="18"/>
                <w:szCs w:val="18"/>
                <w:lang w:eastAsia="sk-SK"/>
              </w:rPr>
              <w:t>STN EN 14214+A2</w:t>
            </w:r>
            <w:r w:rsidRPr="00257FB3">
              <w:rPr>
                <w:sz w:val="18"/>
                <w:szCs w:val="18"/>
                <w:lang w:eastAsia="sk-SK"/>
              </w:rPr>
              <w:t xml:space="preserve"> Kvapalné ropné výrobky. </w:t>
            </w:r>
            <w:proofErr w:type="spellStart"/>
            <w:r w:rsidRPr="00257FB3">
              <w:rPr>
                <w:sz w:val="18"/>
                <w:szCs w:val="18"/>
                <w:lang w:eastAsia="sk-SK"/>
              </w:rPr>
              <w:t>Metylestery</w:t>
            </w:r>
            <w:proofErr w:type="spellEnd"/>
            <w:r w:rsidRPr="00257FB3">
              <w:rPr>
                <w:sz w:val="18"/>
                <w:szCs w:val="18"/>
                <w:lang w:eastAsia="sk-SK"/>
              </w:rPr>
              <w:t xml:space="preserve"> mastných kyselín (FAME) pre vznetové motory a na vykurovanie. Požiadavky a skúšobné metódy (65 6531).</w:t>
            </w:r>
          </w:p>
        </w:tc>
        <w:tc>
          <w:tcPr>
            <w:tcW w:w="849" w:type="dxa"/>
            <w:tcBorders>
              <w:top w:val="single" w:sz="4" w:space="0" w:color="auto"/>
              <w:left w:val="single" w:sz="4" w:space="0" w:color="auto"/>
              <w:bottom w:val="single" w:sz="4" w:space="0" w:color="auto"/>
              <w:right w:val="single" w:sz="4" w:space="0" w:color="auto"/>
            </w:tcBorders>
          </w:tcPr>
          <w:p w14:paraId="2909BC38" w14:textId="5D3E5121"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Ú</w:t>
            </w:r>
          </w:p>
        </w:tc>
        <w:tc>
          <w:tcPr>
            <w:tcW w:w="1360" w:type="dxa"/>
            <w:tcBorders>
              <w:top w:val="single" w:sz="4" w:space="0" w:color="auto"/>
              <w:left w:val="single" w:sz="4" w:space="0" w:color="auto"/>
              <w:bottom w:val="single" w:sz="4" w:space="0" w:color="auto"/>
              <w:right w:val="single" w:sz="4" w:space="0" w:color="auto"/>
            </w:tcBorders>
          </w:tcPr>
          <w:p w14:paraId="758688E8" w14:textId="7F1F13EB" w:rsidR="009D00F4" w:rsidRPr="00C91C8C"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942E12">
              <w:rPr>
                <w:rFonts w:ascii="Times New Roman" w:eastAsia="Times New Roman" w:hAnsi="Times New Roman" w:cs="Times New Roman"/>
                <w:color w:val="000000" w:themeColor="text1"/>
                <w:sz w:val="20"/>
                <w:szCs w:val="20"/>
                <w:lang w:eastAsia="sk-SK"/>
              </w:rPr>
              <w:t>Bez potreby legislatívnej úpravy vyhlášky č. 251/2023 Z. z. - technické normy prebraté bez roku vydania, platí aktuálne platná daná technická norma.</w:t>
            </w:r>
          </w:p>
        </w:tc>
        <w:tc>
          <w:tcPr>
            <w:tcW w:w="1360" w:type="dxa"/>
            <w:tcBorders>
              <w:top w:val="single" w:sz="4" w:space="0" w:color="auto"/>
              <w:left w:val="single" w:sz="4" w:space="0" w:color="auto"/>
              <w:bottom w:val="single" w:sz="4" w:space="0" w:color="auto"/>
              <w:right w:val="single" w:sz="4" w:space="0" w:color="auto"/>
            </w:tcBorders>
          </w:tcPr>
          <w:p w14:paraId="453F20F2" w14:textId="3E1CFDFE"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21DFB6B6" w14:textId="77777777" w:rsidR="009D00F4" w:rsidRPr="0029105C"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r w:rsidR="009D00F4" w:rsidRPr="0029105C" w14:paraId="3F2A340F" w14:textId="77777777" w:rsidTr="0017306B">
        <w:tc>
          <w:tcPr>
            <w:tcW w:w="1005" w:type="dxa"/>
            <w:tcBorders>
              <w:top w:val="single" w:sz="4" w:space="0" w:color="auto"/>
              <w:left w:val="single" w:sz="12" w:space="0" w:color="auto"/>
              <w:bottom w:val="single" w:sz="4" w:space="0" w:color="auto"/>
              <w:right w:val="single" w:sz="4" w:space="0" w:color="auto"/>
            </w:tcBorders>
          </w:tcPr>
          <w:p w14:paraId="68D4335E"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Príloha II</w:t>
            </w:r>
          </w:p>
          <w:p w14:paraId="5ECDD497"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O: 2</w:t>
            </w:r>
          </w:p>
          <w:p w14:paraId="11B6B8AB" w14:textId="2C43EB2E"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 c</w:t>
            </w:r>
          </w:p>
        </w:tc>
        <w:tc>
          <w:tcPr>
            <w:tcW w:w="3421" w:type="dxa"/>
            <w:tcBorders>
              <w:top w:val="single" w:sz="4" w:space="0" w:color="auto"/>
              <w:left w:val="single" w:sz="4" w:space="0" w:color="auto"/>
              <w:bottom w:val="single" w:sz="4" w:space="0" w:color="auto"/>
              <w:right w:val="single" w:sz="4" w:space="0" w:color="auto"/>
            </w:tcBorders>
          </w:tcPr>
          <w:p w14:paraId="101FF9EF" w14:textId="77777777" w:rsidR="009D00F4" w:rsidRPr="00C91C8C"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C91C8C">
              <w:rPr>
                <w:rFonts w:ascii="Times New Roman" w:eastAsia="Times New Roman" w:hAnsi="Times New Roman" w:cs="Times New Roman"/>
                <w:bCs/>
                <w:color w:val="000000" w:themeColor="text1"/>
                <w:sz w:val="20"/>
                <w:szCs w:val="20"/>
                <w:lang w:eastAsia="sk-SK"/>
              </w:rPr>
              <w:t>c)</w:t>
            </w:r>
            <w:r>
              <w:rPr>
                <w:rFonts w:ascii="Times New Roman" w:eastAsia="Times New Roman" w:hAnsi="Times New Roman" w:cs="Times New Roman"/>
                <w:bCs/>
                <w:color w:val="000000" w:themeColor="text1"/>
                <w:sz w:val="20"/>
                <w:szCs w:val="20"/>
                <w:lang w:eastAsia="sk-SK"/>
              </w:rPr>
              <w:t xml:space="preserve"> </w:t>
            </w:r>
            <w:r w:rsidRPr="00C91C8C">
              <w:rPr>
                <w:rFonts w:ascii="Times New Roman" w:eastAsia="Times New Roman" w:hAnsi="Times New Roman" w:cs="Times New Roman"/>
                <w:bCs/>
                <w:color w:val="000000" w:themeColor="text1"/>
                <w:sz w:val="20"/>
                <w:szCs w:val="20"/>
                <w:lang w:eastAsia="sk-SK"/>
              </w:rPr>
              <w:t>Poznámka pod čiarou č. 2 sa nahrádza takto:</w:t>
            </w:r>
          </w:p>
          <w:p w14:paraId="29D720BC" w14:textId="35C3F15C" w:rsidR="009D00F4" w:rsidRPr="00C91C8C" w:rsidRDefault="009D00F4" w:rsidP="009D00F4">
            <w:pPr>
              <w:keepNext/>
              <w:autoSpaceDE w:val="0"/>
              <w:autoSpaceDN w:val="0"/>
              <w:spacing w:after="0" w:line="240" w:lineRule="auto"/>
              <w:ind w:right="63"/>
              <w:jc w:val="both"/>
              <w:rPr>
                <w:rFonts w:ascii="Times New Roman" w:eastAsia="Times New Roman" w:hAnsi="Times New Roman" w:cs="Times New Roman"/>
                <w:bCs/>
                <w:color w:val="000000" w:themeColor="text1"/>
                <w:sz w:val="20"/>
                <w:szCs w:val="20"/>
                <w:lang w:eastAsia="sk-SK"/>
              </w:rPr>
            </w:pPr>
            <w:r w:rsidRPr="00C91C8C">
              <w:rPr>
                <w:rFonts w:ascii="Times New Roman" w:eastAsia="Times New Roman" w:hAnsi="Times New Roman" w:cs="Times New Roman"/>
                <w:bCs/>
                <w:color w:val="000000" w:themeColor="text1"/>
                <w:sz w:val="20"/>
                <w:szCs w:val="20"/>
                <w:lang w:eastAsia="sk-SK"/>
              </w:rPr>
              <w:t>„(2)</w:t>
            </w:r>
            <w:r>
              <w:rPr>
                <w:rFonts w:ascii="Times New Roman" w:eastAsia="Times New Roman" w:hAnsi="Times New Roman" w:cs="Times New Roman"/>
                <w:bCs/>
                <w:color w:val="000000" w:themeColor="text1"/>
                <w:sz w:val="20"/>
                <w:szCs w:val="20"/>
                <w:lang w:eastAsia="sk-SK"/>
              </w:rPr>
              <w:t xml:space="preserve"> </w:t>
            </w:r>
            <w:r w:rsidRPr="00C91C8C">
              <w:rPr>
                <w:rFonts w:ascii="Times New Roman" w:eastAsia="Times New Roman" w:hAnsi="Times New Roman" w:cs="Times New Roman"/>
                <w:bCs/>
                <w:color w:val="000000" w:themeColor="text1"/>
                <w:sz w:val="20"/>
                <w:szCs w:val="20"/>
                <w:lang w:eastAsia="sk-SK"/>
              </w:rPr>
              <w:t xml:space="preserve">Hodnoty uvedené v špecifikácii sú „skutočné hodnoty“. Pri stanovení ich limitných hodnôt sa uplatňujú podmienky normy EN ISO 4259 – 1:2017/A1:2021 „Ropné a príbuzné výrobky. Zhodnosť metód merania a výsledkov merania Časť 1: Určovanie údajov zhodnosti vo vzťahu k skúšobným metódam“ a pri stanovení minimálnej hodnoty sa zohľadnil </w:t>
            </w:r>
            <w:r w:rsidRPr="00C91C8C">
              <w:rPr>
                <w:rFonts w:ascii="Times New Roman" w:eastAsia="Times New Roman" w:hAnsi="Times New Roman" w:cs="Times New Roman"/>
                <w:bCs/>
                <w:color w:val="000000" w:themeColor="text1"/>
                <w:sz w:val="20"/>
                <w:szCs w:val="20"/>
                <w:lang w:eastAsia="sk-SK"/>
              </w:rPr>
              <w:lastRenderedPageBreak/>
              <w:t>minimálny rozdiel 2R nad nulou (R = reprodukovateľnosť). Výsledky jednotlivých meraní sa interpretujú na základe kritérií uvedených v norme EN ISO 4259-2:2017/A1:2019.“</w:t>
            </w:r>
          </w:p>
        </w:tc>
        <w:tc>
          <w:tcPr>
            <w:tcW w:w="794" w:type="dxa"/>
            <w:tcBorders>
              <w:top w:val="single" w:sz="4" w:space="0" w:color="auto"/>
              <w:left w:val="single" w:sz="4" w:space="0" w:color="auto"/>
              <w:bottom w:val="single" w:sz="4" w:space="0" w:color="auto"/>
              <w:right w:val="single" w:sz="12" w:space="0" w:color="auto"/>
            </w:tcBorders>
          </w:tcPr>
          <w:p w14:paraId="3D0F9102" w14:textId="44A20F3D"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N</w:t>
            </w:r>
          </w:p>
        </w:tc>
        <w:tc>
          <w:tcPr>
            <w:tcW w:w="1080" w:type="dxa"/>
            <w:tcBorders>
              <w:top w:val="single" w:sz="4" w:space="0" w:color="auto"/>
              <w:left w:val="nil"/>
              <w:bottom w:val="single" w:sz="4" w:space="0" w:color="auto"/>
              <w:right w:val="single" w:sz="4" w:space="0" w:color="auto"/>
            </w:tcBorders>
          </w:tcPr>
          <w:p w14:paraId="193AC2DC" w14:textId="6949A6AE"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Vyhláška MŽP č. 251/2023</w:t>
            </w:r>
          </w:p>
        </w:tc>
        <w:tc>
          <w:tcPr>
            <w:tcW w:w="900" w:type="dxa"/>
            <w:tcBorders>
              <w:top w:val="single" w:sz="4" w:space="0" w:color="auto"/>
              <w:left w:val="single" w:sz="4" w:space="0" w:color="auto"/>
              <w:bottom w:val="single" w:sz="4" w:space="0" w:color="auto"/>
              <w:right w:val="single" w:sz="4" w:space="0" w:color="auto"/>
            </w:tcBorders>
          </w:tcPr>
          <w:p w14:paraId="381B892E" w14:textId="40B40D64"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Príloha č. 2</w:t>
            </w:r>
          </w:p>
          <w:p w14:paraId="787C276F"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E8E935"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0041C4"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DEF5083"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5E556D"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3296F7"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A0C0C33"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D8E607A"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12735C"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6F007DB"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495C321"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C9A58EC"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EC22815"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CAA363"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F2AF82"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D730526"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AD3ADC"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E890962"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CDFE69"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C471ED"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623D7E"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07E225D"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A5D6AE3"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256CEDF"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2166B22"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D58BD2"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6B32073"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4BDE337"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B2CF19C"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5BADC36"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26F6809"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C4AD1A"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7BE69FC"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5BEFEB"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8424B50"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5BB4CB5"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7308732"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793B70D" w14:textId="18FC0225"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EB12EC" w14:textId="03E291EE"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04F8A8" w14:textId="27C40A6B" w:rsidR="00E21087" w:rsidRDefault="00E21087"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D065FE" w14:textId="77777777" w:rsidR="00E21087" w:rsidRDefault="00E21087"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9A860D"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8D79F43" w14:textId="25B37D06"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Príloha č. 2a</w:t>
            </w:r>
          </w:p>
          <w:p w14:paraId="60CC937B" w14:textId="2342C1E2"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314B9AA" w14:textId="5D23A24C"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B161AE5" w14:textId="5A12A280"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F0E424" w14:textId="0F6CF22D"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936B8E" w14:textId="6F92242A"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824995" w14:textId="254DA961"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F67B652" w14:textId="38CA379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0C3607D" w14:textId="225983F0"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275093" w14:textId="024AEEB3"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B3ED98" w14:textId="04AEAC4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13D1EC" w14:textId="5F691211"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CE6ED04" w14:textId="221FA04D"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2556864" w14:textId="11928392"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CCE3734" w14:textId="4E28A473"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39B276" w14:textId="288014D0"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4AB2F07" w14:textId="4637F39D"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B89A03B" w14:textId="19D4DB3E"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5EB8AE7" w14:textId="083C8E4C"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62BACF0" w14:textId="249636ED"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1C5DD5E" w14:textId="0ECA2CA1"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1EC8EB" w14:textId="210ED490"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0FD4F16" w14:textId="20CFD05E"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7963AA" w14:textId="4EF14F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8278DA" w14:textId="1A62F6E6"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A695C4" w14:textId="4ECC7398"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47B5D92" w14:textId="5BC16B3A"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63B6AF6" w14:textId="50831F81"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15C8449" w14:textId="654BB7FD"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24DE4C17" w14:textId="7F19C666"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ADD322A" w14:textId="32DA3985"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8DD68FF" w14:textId="6111FBFD"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9FD14C5" w14:textId="4D1286B5"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AC6AFFC" w14:textId="135A3569"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6BFAEFA" w14:textId="02A85848"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F4F831F" w14:textId="7866023E"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C710E63" w14:textId="1841F490"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54FF0E2" w14:textId="56D8ED42"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B12F10A" w14:textId="00B5F456"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F6B49B4" w14:textId="31F75CA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9AA44F0" w14:textId="142395F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43CD210" w14:textId="1C538588"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B368474" w14:textId="05842C03"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A9928B6" w14:textId="20BB9BBF"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5852A8C1" w14:textId="7620E10E"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66DA55" w14:textId="12D2DFA6"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3EDAA4F1" w14:textId="64F68FE2"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1FAC53D" w14:textId="6C6DA3D4"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4532E0B8" w14:textId="4BE3D17A"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DE81EF7" w14:textId="4CF8EE4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4DA0013" w14:textId="3A418A0E"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8D60B5D" w14:textId="167E9C32"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23AE07D" w14:textId="77C2E955"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B7E5E7D" w14:textId="09FB9796"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3F3157C" w14:textId="6F8BEE2A"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63CC355" w14:textId="441E7A4E"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6046E7CA" w14:textId="1B3707FA"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17974099"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03455764" w14:textId="3174A7C9"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Príloha č. 2b</w:t>
            </w:r>
          </w:p>
          <w:p w14:paraId="378188B3" w14:textId="77777777" w:rsidR="009D00F4"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p w14:paraId="7E52302F" w14:textId="73059066"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p>
        </w:tc>
        <w:tc>
          <w:tcPr>
            <w:tcW w:w="4540" w:type="dxa"/>
            <w:tcBorders>
              <w:top w:val="single" w:sz="4" w:space="0" w:color="auto"/>
              <w:bottom w:val="single" w:sz="4" w:space="0" w:color="auto"/>
            </w:tcBorders>
          </w:tcPr>
          <w:p w14:paraId="3BDF9A01" w14:textId="77777777" w:rsidR="009D00F4" w:rsidRPr="00110DE3"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110DE3">
              <w:rPr>
                <w:rFonts w:ascii="Times New Roman" w:eastAsia="Times New Roman" w:hAnsi="Times New Roman" w:cs="Times New Roman"/>
                <w:color w:val="000000" w:themeColor="text1"/>
                <w:sz w:val="20"/>
                <w:szCs w:val="20"/>
                <w:lang w:eastAsia="sk-SK"/>
              </w:rPr>
              <w:lastRenderedPageBreak/>
              <w:t>Príloha č. 2</w:t>
            </w:r>
          </w:p>
          <w:p w14:paraId="5A576354" w14:textId="7F16233F" w:rsidR="009D00F4" w:rsidRPr="00110DE3"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110DE3">
              <w:rPr>
                <w:rFonts w:ascii="Times New Roman" w:eastAsia="Times New Roman" w:hAnsi="Times New Roman" w:cs="Times New Roman"/>
                <w:color w:val="000000" w:themeColor="text1"/>
                <w:sz w:val="20"/>
                <w:szCs w:val="20"/>
                <w:lang w:eastAsia="sk-SK"/>
              </w:rPr>
              <w:t xml:space="preserve">Požiadavky na kvalitu motorovej nafty    </w:t>
            </w:r>
          </w:p>
          <w:tbl>
            <w:tblPr>
              <w:tblW w:w="4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1060"/>
              <w:gridCol w:w="1060"/>
              <w:gridCol w:w="1060"/>
            </w:tblGrid>
            <w:tr w:rsidR="009D00F4" w:rsidRPr="00257FB3" w14:paraId="65D5E7CE" w14:textId="77777777" w:rsidTr="0017306B">
              <w:tc>
                <w:tcPr>
                  <w:tcW w:w="1059" w:type="dxa"/>
                  <w:vMerge w:val="restart"/>
                </w:tcPr>
                <w:p w14:paraId="658A72F7" w14:textId="77777777" w:rsidR="009D00F4" w:rsidRPr="00257FB3" w:rsidRDefault="009D00F4" w:rsidP="00654418">
                  <w:pPr>
                    <w:framePr w:hSpace="141" w:wrap="around" w:hAnchor="margin" w:xAlign="center" w:y="-1415"/>
                    <w:jc w:val="center"/>
                    <w:rPr>
                      <w:sz w:val="16"/>
                      <w:szCs w:val="16"/>
                    </w:rPr>
                  </w:pPr>
                  <w:proofErr w:type="spellStart"/>
                  <w:r w:rsidRPr="00257FB3">
                    <w:rPr>
                      <w:b/>
                      <w:bCs/>
                      <w:sz w:val="16"/>
                      <w:szCs w:val="16"/>
                    </w:rPr>
                    <w:t>Parameter</w:t>
                  </w:r>
                  <w:r w:rsidRPr="00257FB3">
                    <w:rPr>
                      <w:b/>
                      <w:bCs/>
                      <w:sz w:val="16"/>
                      <w:szCs w:val="16"/>
                      <w:vertAlign w:val="superscript"/>
                    </w:rPr>
                    <w:t>a</w:t>
                  </w:r>
                  <w:proofErr w:type="spellEnd"/>
                  <w:r w:rsidRPr="00257FB3">
                    <w:rPr>
                      <w:b/>
                      <w:bCs/>
                      <w:sz w:val="16"/>
                      <w:szCs w:val="16"/>
                    </w:rPr>
                    <w:t>)</w:t>
                  </w:r>
                </w:p>
              </w:tc>
              <w:tc>
                <w:tcPr>
                  <w:tcW w:w="1060" w:type="dxa"/>
                  <w:vMerge w:val="restart"/>
                </w:tcPr>
                <w:p w14:paraId="0B696BB0" w14:textId="77777777" w:rsidR="009D00F4" w:rsidRPr="00257FB3" w:rsidRDefault="009D00F4" w:rsidP="00654418">
                  <w:pPr>
                    <w:framePr w:hSpace="141" w:wrap="around" w:hAnchor="margin" w:xAlign="center" w:y="-1415"/>
                    <w:jc w:val="center"/>
                    <w:rPr>
                      <w:sz w:val="16"/>
                      <w:szCs w:val="16"/>
                    </w:rPr>
                  </w:pPr>
                  <w:r w:rsidRPr="00257FB3">
                    <w:rPr>
                      <w:b/>
                      <w:bCs/>
                      <w:sz w:val="16"/>
                      <w:szCs w:val="16"/>
                    </w:rPr>
                    <w:t>Jednotka</w:t>
                  </w:r>
                </w:p>
              </w:tc>
              <w:tc>
                <w:tcPr>
                  <w:tcW w:w="2120" w:type="dxa"/>
                  <w:gridSpan w:val="2"/>
                </w:tcPr>
                <w:p w14:paraId="6654FF60" w14:textId="77777777" w:rsidR="009D00F4" w:rsidRPr="00257FB3" w:rsidRDefault="009D00F4" w:rsidP="00654418">
                  <w:pPr>
                    <w:framePr w:hSpace="141" w:wrap="around" w:hAnchor="margin" w:xAlign="center" w:y="-1415"/>
                    <w:jc w:val="center"/>
                    <w:rPr>
                      <w:sz w:val="16"/>
                      <w:szCs w:val="16"/>
                    </w:rPr>
                  </w:pPr>
                  <w:proofErr w:type="spellStart"/>
                  <w:r w:rsidRPr="00257FB3">
                    <w:rPr>
                      <w:b/>
                      <w:bCs/>
                      <w:sz w:val="16"/>
                      <w:szCs w:val="16"/>
                    </w:rPr>
                    <w:t>Limity</w:t>
                  </w:r>
                  <w:r w:rsidRPr="00257FB3">
                    <w:rPr>
                      <w:b/>
                      <w:bCs/>
                      <w:sz w:val="16"/>
                      <w:szCs w:val="16"/>
                      <w:vertAlign w:val="superscript"/>
                    </w:rPr>
                    <w:t>b</w:t>
                  </w:r>
                  <w:proofErr w:type="spellEnd"/>
                  <w:r w:rsidRPr="00257FB3">
                    <w:rPr>
                      <w:b/>
                      <w:bCs/>
                      <w:sz w:val="16"/>
                      <w:szCs w:val="16"/>
                    </w:rPr>
                    <w:t>)</w:t>
                  </w:r>
                </w:p>
              </w:tc>
            </w:tr>
            <w:tr w:rsidR="009D00F4" w:rsidRPr="00257FB3" w14:paraId="452CAF51" w14:textId="77777777" w:rsidTr="0017306B">
              <w:tc>
                <w:tcPr>
                  <w:tcW w:w="1059" w:type="dxa"/>
                  <w:vMerge/>
                </w:tcPr>
                <w:p w14:paraId="5A2AB32F" w14:textId="77777777" w:rsidR="009D00F4" w:rsidRPr="00257FB3" w:rsidRDefault="009D00F4" w:rsidP="00654418">
                  <w:pPr>
                    <w:framePr w:hSpace="141" w:wrap="around" w:hAnchor="margin" w:xAlign="center" w:y="-1415"/>
                    <w:jc w:val="center"/>
                    <w:rPr>
                      <w:sz w:val="16"/>
                      <w:szCs w:val="16"/>
                    </w:rPr>
                  </w:pPr>
                </w:p>
              </w:tc>
              <w:tc>
                <w:tcPr>
                  <w:tcW w:w="1060" w:type="dxa"/>
                  <w:vMerge/>
                </w:tcPr>
                <w:p w14:paraId="3328FAC0" w14:textId="77777777" w:rsidR="009D00F4" w:rsidRPr="00257FB3" w:rsidRDefault="009D00F4" w:rsidP="00654418">
                  <w:pPr>
                    <w:framePr w:hSpace="141" w:wrap="around" w:hAnchor="margin" w:xAlign="center" w:y="-1415"/>
                    <w:jc w:val="center"/>
                    <w:rPr>
                      <w:sz w:val="16"/>
                      <w:szCs w:val="16"/>
                    </w:rPr>
                  </w:pPr>
                </w:p>
              </w:tc>
              <w:tc>
                <w:tcPr>
                  <w:tcW w:w="1060" w:type="dxa"/>
                </w:tcPr>
                <w:p w14:paraId="46286813" w14:textId="77777777" w:rsidR="009D00F4" w:rsidRPr="00257FB3" w:rsidRDefault="009D00F4" w:rsidP="00654418">
                  <w:pPr>
                    <w:framePr w:hSpace="141" w:wrap="around" w:hAnchor="margin" w:xAlign="center" w:y="-1415"/>
                    <w:jc w:val="center"/>
                    <w:rPr>
                      <w:sz w:val="16"/>
                      <w:szCs w:val="16"/>
                    </w:rPr>
                  </w:pPr>
                  <w:r w:rsidRPr="00257FB3">
                    <w:rPr>
                      <w:b/>
                      <w:bCs/>
                      <w:sz w:val="16"/>
                      <w:szCs w:val="16"/>
                    </w:rPr>
                    <w:t>Najmenej</w:t>
                  </w:r>
                </w:p>
              </w:tc>
              <w:tc>
                <w:tcPr>
                  <w:tcW w:w="1060" w:type="dxa"/>
                </w:tcPr>
                <w:p w14:paraId="172D6FF4" w14:textId="77777777" w:rsidR="009D00F4" w:rsidRPr="00257FB3" w:rsidRDefault="009D00F4" w:rsidP="00654418">
                  <w:pPr>
                    <w:framePr w:hSpace="141" w:wrap="around" w:hAnchor="margin" w:xAlign="center" w:y="-1415"/>
                    <w:jc w:val="center"/>
                    <w:rPr>
                      <w:sz w:val="16"/>
                      <w:szCs w:val="16"/>
                    </w:rPr>
                  </w:pPr>
                  <w:r w:rsidRPr="00257FB3">
                    <w:rPr>
                      <w:b/>
                      <w:bCs/>
                      <w:sz w:val="16"/>
                      <w:szCs w:val="16"/>
                    </w:rPr>
                    <w:t>Najviac</w:t>
                  </w:r>
                </w:p>
              </w:tc>
            </w:tr>
            <w:tr w:rsidR="009D00F4" w:rsidRPr="00257FB3" w14:paraId="09A1F41E" w14:textId="77777777" w:rsidTr="0017306B">
              <w:tc>
                <w:tcPr>
                  <w:tcW w:w="4239" w:type="dxa"/>
                  <w:gridSpan w:val="4"/>
                </w:tcPr>
                <w:p w14:paraId="5E4EA1CC" w14:textId="77777777" w:rsidR="009D00F4" w:rsidRPr="00257FB3" w:rsidRDefault="009D00F4" w:rsidP="00654418">
                  <w:pPr>
                    <w:framePr w:hSpace="141" w:wrap="around" w:hAnchor="margin" w:xAlign="center" w:y="-1415"/>
                    <w:rPr>
                      <w:sz w:val="16"/>
                      <w:szCs w:val="16"/>
                    </w:rPr>
                  </w:pPr>
                  <w:r w:rsidRPr="00257FB3">
                    <w:rPr>
                      <w:b/>
                      <w:sz w:val="16"/>
                      <w:szCs w:val="16"/>
                    </w:rPr>
                    <w:t>MOTOROVÁ NAFTA</w:t>
                  </w:r>
                </w:p>
              </w:tc>
            </w:tr>
            <w:tr w:rsidR="009D00F4" w:rsidRPr="00257FB3" w14:paraId="5B020307" w14:textId="77777777" w:rsidTr="0017306B">
              <w:tc>
                <w:tcPr>
                  <w:tcW w:w="1059" w:type="dxa"/>
                </w:tcPr>
                <w:p w14:paraId="251ED0AE"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Cetánové</w:t>
                  </w:r>
                  <w:proofErr w:type="spellEnd"/>
                  <w:r w:rsidRPr="00257FB3">
                    <w:rPr>
                      <w:sz w:val="16"/>
                      <w:szCs w:val="16"/>
                    </w:rPr>
                    <w:t xml:space="preserve"> číslo</w:t>
                  </w:r>
                </w:p>
              </w:tc>
              <w:tc>
                <w:tcPr>
                  <w:tcW w:w="1060" w:type="dxa"/>
                </w:tcPr>
                <w:p w14:paraId="2A387C61" w14:textId="77777777" w:rsidR="009D00F4" w:rsidRPr="00257FB3" w:rsidRDefault="009D00F4" w:rsidP="00654418">
                  <w:pPr>
                    <w:framePr w:hSpace="141" w:wrap="around" w:hAnchor="margin" w:xAlign="center" w:y="-1415"/>
                    <w:jc w:val="center"/>
                    <w:rPr>
                      <w:sz w:val="16"/>
                      <w:szCs w:val="16"/>
                    </w:rPr>
                  </w:pPr>
                </w:p>
              </w:tc>
              <w:tc>
                <w:tcPr>
                  <w:tcW w:w="1060" w:type="dxa"/>
                </w:tcPr>
                <w:p w14:paraId="54084E8F" w14:textId="77777777" w:rsidR="009D00F4" w:rsidRPr="00257FB3" w:rsidRDefault="009D00F4" w:rsidP="00654418">
                  <w:pPr>
                    <w:framePr w:hSpace="141" w:wrap="around" w:hAnchor="margin" w:xAlign="center" w:y="-1415"/>
                    <w:jc w:val="center"/>
                    <w:rPr>
                      <w:sz w:val="16"/>
                      <w:szCs w:val="16"/>
                    </w:rPr>
                  </w:pPr>
                  <w:r w:rsidRPr="00257FB3">
                    <w:rPr>
                      <w:sz w:val="16"/>
                      <w:szCs w:val="16"/>
                    </w:rPr>
                    <w:t>51,0</w:t>
                  </w:r>
                </w:p>
              </w:tc>
              <w:tc>
                <w:tcPr>
                  <w:tcW w:w="1060" w:type="dxa"/>
                </w:tcPr>
                <w:p w14:paraId="5DBA9C10" w14:textId="77777777" w:rsidR="009D00F4" w:rsidRPr="00257FB3" w:rsidRDefault="009D00F4" w:rsidP="00654418">
                  <w:pPr>
                    <w:framePr w:hSpace="141" w:wrap="around" w:hAnchor="margin" w:xAlign="center" w:y="-1415"/>
                    <w:jc w:val="center"/>
                    <w:rPr>
                      <w:sz w:val="16"/>
                      <w:szCs w:val="16"/>
                    </w:rPr>
                  </w:pPr>
                </w:p>
              </w:tc>
            </w:tr>
            <w:tr w:rsidR="009D00F4" w:rsidRPr="00257FB3" w14:paraId="449BB74F" w14:textId="77777777" w:rsidTr="0017306B">
              <w:tc>
                <w:tcPr>
                  <w:tcW w:w="1059" w:type="dxa"/>
                </w:tcPr>
                <w:p w14:paraId="773B0EFD" w14:textId="77777777" w:rsidR="009D00F4" w:rsidRPr="00257FB3" w:rsidRDefault="009D00F4" w:rsidP="00654418">
                  <w:pPr>
                    <w:framePr w:hSpace="141" w:wrap="around" w:hAnchor="margin" w:xAlign="center" w:y="-1415"/>
                    <w:rPr>
                      <w:sz w:val="16"/>
                      <w:szCs w:val="16"/>
                    </w:rPr>
                  </w:pPr>
                  <w:r w:rsidRPr="00257FB3">
                    <w:rPr>
                      <w:sz w:val="16"/>
                      <w:szCs w:val="16"/>
                    </w:rPr>
                    <w:lastRenderedPageBreak/>
                    <w:t>Hustota pri 15 °C</w:t>
                  </w:r>
                </w:p>
              </w:tc>
              <w:tc>
                <w:tcPr>
                  <w:tcW w:w="1060" w:type="dxa"/>
                </w:tcPr>
                <w:p w14:paraId="2FBAEBE2" w14:textId="77777777" w:rsidR="009D00F4" w:rsidRPr="00257FB3" w:rsidRDefault="009D00F4" w:rsidP="00654418">
                  <w:pPr>
                    <w:framePr w:hSpace="141" w:wrap="around" w:hAnchor="margin" w:xAlign="center" w:y="-1415"/>
                    <w:jc w:val="center"/>
                    <w:rPr>
                      <w:sz w:val="16"/>
                      <w:szCs w:val="16"/>
                    </w:rPr>
                  </w:pPr>
                  <w:r w:rsidRPr="00257FB3">
                    <w:rPr>
                      <w:sz w:val="16"/>
                      <w:szCs w:val="16"/>
                    </w:rPr>
                    <w:t>kg/m</w:t>
                  </w:r>
                  <w:r w:rsidRPr="00257FB3">
                    <w:rPr>
                      <w:sz w:val="16"/>
                      <w:szCs w:val="16"/>
                      <w:vertAlign w:val="superscript"/>
                    </w:rPr>
                    <w:t>3</w:t>
                  </w:r>
                </w:p>
              </w:tc>
              <w:tc>
                <w:tcPr>
                  <w:tcW w:w="1060" w:type="dxa"/>
                </w:tcPr>
                <w:p w14:paraId="30F80D33"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371F3E09" w14:textId="77777777" w:rsidR="009D00F4" w:rsidRPr="00257FB3" w:rsidRDefault="009D00F4" w:rsidP="00654418">
                  <w:pPr>
                    <w:framePr w:hSpace="141" w:wrap="around" w:hAnchor="margin" w:xAlign="center" w:y="-1415"/>
                    <w:jc w:val="center"/>
                    <w:rPr>
                      <w:sz w:val="16"/>
                      <w:szCs w:val="16"/>
                    </w:rPr>
                  </w:pPr>
                  <w:r w:rsidRPr="00257FB3">
                    <w:rPr>
                      <w:sz w:val="16"/>
                      <w:szCs w:val="16"/>
                    </w:rPr>
                    <w:t>845,0</w:t>
                  </w:r>
                </w:p>
              </w:tc>
            </w:tr>
            <w:tr w:rsidR="009D00F4" w:rsidRPr="00257FB3" w14:paraId="60E89E2C" w14:textId="77777777" w:rsidTr="0017306B">
              <w:tc>
                <w:tcPr>
                  <w:tcW w:w="1059" w:type="dxa"/>
                </w:tcPr>
                <w:p w14:paraId="24D43BF3" w14:textId="77777777" w:rsidR="009D00F4" w:rsidRPr="00257FB3" w:rsidRDefault="009D00F4" w:rsidP="00654418">
                  <w:pPr>
                    <w:framePr w:hSpace="141" w:wrap="around" w:hAnchor="margin" w:xAlign="center" w:y="-1415"/>
                    <w:rPr>
                      <w:sz w:val="16"/>
                      <w:szCs w:val="16"/>
                    </w:rPr>
                  </w:pPr>
                  <w:r w:rsidRPr="00257FB3">
                    <w:rPr>
                      <w:sz w:val="16"/>
                      <w:szCs w:val="16"/>
                    </w:rPr>
                    <w:t>Destilácia - 95 % získanej pri</w:t>
                  </w:r>
                </w:p>
              </w:tc>
              <w:tc>
                <w:tcPr>
                  <w:tcW w:w="1060" w:type="dxa"/>
                </w:tcPr>
                <w:p w14:paraId="7D0CA27B" w14:textId="77777777" w:rsidR="009D00F4" w:rsidRPr="00257FB3" w:rsidRDefault="009D00F4" w:rsidP="00654418">
                  <w:pPr>
                    <w:framePr w:hSpace="141" w:wrap="around" w:hAnchor="margin" w:xAlign="center" w:y="-1415"/>
                    <w:jc w:val="center"/>
                    <w:rPr>
                      <w:sz w:val="16"/>
                      <w:szCs w:val="16"/>
                    </w:rPr>
                  </w:pPr>
                  <w:r w:rsidRPr="00257FB3">
                    <w:rPr>
                      <w:sz w:val="16"/>
                      <w:szCs w:val="16"/>
                    </w:rPr>
                    <w:t>°C</w:t>
                  </w:r>
                </w:p>
              </w:tc>
              <w:tc>
                <w:tcPr>
                  <w:tcW w:w="1060" w:type="dxa"/>
                </w:tcPr>
                <w:p w14:paraId="68C23447"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7D5C81B3" w14:textId="77777777" w:rsidR="009D00F4" w:rsidRPr="00257FB3" w:rsidRDefault="009D00F4" w:rsidP="00654418">
                  <w:pPr>
                    <w:framePr w:hSpace="141" w:wrap="around" w:hAnchor="margin" w:xAlign="center" w:y="-1415"/>
                    <w:jc w:val="center"/>
                    <w:rPr>
                      <w:sz w:val="16"/>
                      <w:szCs w:val="16"/>
                    </w:rPr>
                  </w:pPr>
                  <w:r w:rsidRPr="00257FB3">
                    <w:rPr>
                      <w:sz w:val="16"/>
                      <w:szCs w:val="16"/>
                    </w:rPr>
                    <w:t>360,0</w:t>
                  </w:r>
                </w:p>
              </w:tc>
            </w:tr>
            <w:tr w:rsidR="009D00F4" w:rsidRPr="00257FB3" w14:paraId="1E4921EA" w14:textId="77777777" w:rsidTr="0017306B">
              <w:tc>
                <w:tcPr>
                  <w:tcW w:w="1059" w:type="dxa"/>
                </w:tcPr>
                <w:p w14:paraId="5708D86C"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Polycyklické</w:t>
                  </w:r>
                  <w:proofErr w:type="spellEnd"/>
                  <w:r w:rsidRPr="00257FB3">
                    <w:rPr>
                      <w:sz w:val="16"/>
                      <w:szCs w:val="16"/>
                    </w:rPr>
                    <w:t xml:space="preserve"> aromatické uhľovodíky</w:t>
                  </w:r>
                </w:p>
              </w:tc>
              <w:tc>
                <w:tcPr>
                  <w:tcW w:w="1060" w:type="dxa"/>
                </w:tcPr>
                <w:p w14:paraId="09638A4B" w14:textId="77777777" w:rsidR="009D00F4" w:rsidRPr="00257FB3" w:rsidRDefault="009D00F4" w:rsidP="00654418">
                  <w:pPr>
                    <w:framePr w:hSpace="141" w:wrap="around" w:hAnchor="margin" w:xAlign="center" w:y="-1415"/>
                    <w:jc w:val="center"/>
                    <w:rPr>
                      <w:sz w:val="16"/>
                      <w:szCs w:val="16"/>
                    </w:rPr>
                  </w:pPr>
                  <w:r w:rsidRPr="00257FB3">
                    <w:rPr>
                      <w:sz w:val="16"/>
                      <w:szCs w:val="16"/>
                    </w:rPr>
                    <w:t>% hmotnosti</w:t>
                  </w:r>
                </w:p>
              </w:tc>
              <w:tc>
                <w:tcPr>
                  <w:tcW w:w="1060" w:type="dxa"/>
                </w:tcPr>
                <w:p w14:paraId="4ABD17AB"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5341CC58" w14:textId="77777777" w:rsidR="009D00F4" w:rsidRPr="00257FB3" w:rsidRDefault="009D00F4" w:rsidP="00654418">
                  <w:pPr>
                    <w:framePr w:hSpace="141" w:wrap="around" w:hAnchor="margin" w:xAlign="center" w:y="-1415"/>
                    <w:jc w:val="center"/>
                    <w:rPr>
                      <w:sz w:val="16"/>
                      <w:szCs w:val="16"/>
                    </w:rPr>
                  </w:pPr>
                  <w:r w:rsidRPr="00257FB3">
                    <w:rPr>
                      <w:sz w:val="16"/>
                      <w:szCs w:val="16"/>
                    </w:rPr>
                    <w:t>8,0</w:t>
                  </w:r>
                </w:p>
              </w:tc>
            </w:tr>
            <w:tr w:rsidR="009D00F4" w:rsidRPr="00257FB3" w14:paraId="1A0DAC45" w14:textId="77777777" w:rsidTr="0017306B">
              <w:tc>
                <w:tcPr>
                  <w:tcW w:w="1059" w:type="dxa"/>
                </w:tcPr>
                <w:p w14:paraId="76A6CE98" w14:textId="77777777" w:rsidR="009D00F4" w:rsidRPr="00257FB3" w:rsidRDefault="009D00F4" w:rsidP="00654418">
                  <w:pPr>
                    <w:framePr w:hSpace="141" w:wrap="around" w:hAnchor="margin" w:xAlign="center" w:y="-1415"/>
                    <w:rPr>
                      <w:sz w:val="16"/>
                      <w:szCs w:val="16"/>
                    </w:rPr>
                  </w:pPr>
                  <w:r w:rsidRPr="00257FB3">
                    <w:rPr>
                      <w:sz w:val="16"/>
                      <w:szCs w:val="16"/>
                    </w:rPr>
                    <w:t>Obsah síry</w:t>
                  </w:r>
                </w:p>
              </w:tc>
              <w:tc>
                <w:tcPr>
                  <w:tcW w:w="1060" w:type="dxa"/>
                </w:tcPr>
                <w:p w14:paraId="78508D15" w14:textId="77777777" w:rsidR="009D00F4" w:rsidRPr="00257FB3" w:rsidRDefault="009D00F4" w:rsidP="00654418">
                  <w:pPr>
                    <w:framePr w:hSpace="141" w:wrap="around" w:hAnchor="margin" w:xAlign="center" w:y="-1415"/>
                    <w:jc w:val="center"/>
                    <w:rPr>
                      <w:sz w:val="16"/>
                      <w:szCs w:val="16"/>
                    </w:rPr>
                  </w:pPr>
                  <w:r w:rsidRPr="00257FB3">
                    <w:rPr>
                      <w:sz w:val="16"/>
                      <w:szCs w:val="16"/>
                    </w:rPr>
                    <w:t>mg/kg</w:t>
                  </w:r>
                </w:p>
              </w:tc>
              <w:tc>
                <w:tcPr>
                  <w:tcW w:w="1060" w:type="dxa"/>
                </w:tcPr>
                <w:p w14:paraId="4541662D" w14:textId="77777777" w:rsidR="009D00F4" w:rsidRPr="00257FB3" w:rsidRDefault="009D00F4" w:rsidP="00654418">
                  <w:pPr>
                    <w:framePr w:hSpace="141" w:wrap="around" w:hAnchor="margin" w:xAlign="center" w:y="-1415"/>
                    <w:jc w:val="center"/>
                    <w:rPr>
                      <w:sz w:val="16"/>
                      <w:szCs w:val="16"/>
                    </w:rPr>
                  </w:pPr>
                </w:p>
              </w:tc>
              <w:tc>
                <w:tcPr>
                  <w:tcW w:w="1060" w:type="dxa"/>
                </w:tcPr>
                <w:p w14:paraId="78F99673" w14:textId="77777777" w:rsidR="009D00F4" w:rsidRPr="00257FB3" w:rsidRDefault="009D00F4" w:rsidP="00654418">
                  <w:pPr>
                    <w:framePr w:hSpace="141" w:wrap="around" w:hAnchor="margin" w:xAlign="center" w:y="-1415"/>
                    <w:jc w:val="center"/>
                    <w:rPr>
                      <w:sz w:val="16"/>
                      <w:szCs w:val="16"/>
                    </w:rPr>
                  </w:pPr>
                  <w:r w:rsidRPr="00257FB3">
                    <w:rPr>
                      <w:sz w:val="16"/>
                      <w:szCs w:val="16"/>
                    </w:rPr>
                    <w:t>10,0</w:t>
                  </w:r>
                </w:p>
              </w:tc>
            </w:tr>
          </w:tbl>
          <w:p w14:paraId="19969B86" w14:textId="77777777" w:rsidR="009D00F4" w:rsidRPr="00257FB3" w:rsidRDefault="009D00F4" w:rsidP="009D00F4">
            <w:pPr>
              <w:ind w:left="-180"/>
              <w:rPr>
                <w:sz w:val="16"/>
                <w:szCs w:val="16"/>
              </w:rPr>
            </w:pPr>
          </w:p>
          <w:p w14:paraId="4411A065" w14:textId="77777777" w:rsidR="009D00F4" w:rsidRPr="00257FB3" w:rsidRDefault="009D00F4" w:rsidP="009D00F4">
            <w:pPr>
              <w:ind w:left="-180"/>
              <w:rPr>
                <w:sz w:val="16"/>
                <w:szCs w:val="16"/>
              </w:rPr>
            </w:pPr>
            <w:r w:rsidRPr="00257FB3">
              <w:rPr>
                <w:sz w:val="16"/>
                <w:szCs w:val="16"/>
              </w:rPr>
              <w:t xml:space="preserve">    </w:t>
            </w:r>
            <w:r>
              <w:rPr>
                <w:sz w:val="16"/>
                <w:szCs w:val="16"/>
              </w:rPr>
              <w:t>Vysvetlivky</w:t>
            </w:r>
            <w:r w:rsidRPr="00257FB3">
              <w:rPr>
                <w:sz w:val="16"/>
                <w:szCs w:val="16"/>
              </w:rPr>
              <w:t>:</w:t>
            </w:r>
            <w:r>
              <w:rPr>
                <w:sz w:val="16"/>
                <w:szCs w:val="16"/>
              </w:rPr>
              <w:t xml:space="preserve"> </w:t>
            </w:r>
            <w:r w:rsidRPr="00257FB3">
              <w:rPr>
                <w:sz w:val="16"/>
                <w:szCs w:val="16"/>
              </w:rPr>
              <w:t xml:space="preserve">   </w:t>
            </w:r>
          </w:p>
          <w:p w14:paraId="73432D16" w14:textId="77777777" w:rsidR="009D00F4" w:rsidRPr="00257FB3" w:rsidRDefault="009D00F4" w:rsidP="009D00F4">
            <w:pPr>
              <w:keepNext/>
              <w:numPr>
                <w:ilvl w:val="0"/>
                <w:numId w:val="10"/>
              </w:numPr>
              <w:spacing w:before="60" w:after="60" w:line="240" w:lineRule="auto"/>
              <w:jc w:val="both"/>
              <w:rPr>
                <w:sz w:val="16"/>
                <w:szCs w:val="16"/>
              </w:rPr>
            </w:pPr>
            <w:r w:rsidRPr="00257FB3">
              <w:rPr>
                <w:sz w:val="16"/>
                <w:szCs w:val="16"/>
              </w:rPr>
              <w:t>Skúšobné metódy sú špecifikované v technickej norme</w:t>
            </w:r>
            <w:r>
              <w:rPr>
                <w:sz w:val="16"/>
                <w:szCs w:val="16"/>
                <w:vertAlign w:val="superscript"/>
              </w:rPr>
              <w:t>21a</w:t>
            </w:r>
            <w:r w:rsidRPr="00257FB3">
              <w:rPr>
                <w:sz w:val="16"/>
                <w:szCs w:val="16"/>
              </w:rPr>
              <w:t>) alebo inej obdobnej technickej špecifikácii s porovnateľnými alebo prísnejšími požiadavkami.</w:t>
            </w:r>
          </w:p>
          <w:p w14:paraId="7325A27F" w14:textId="77777777" w:rsidR="009D00F4" w:rsidRPr="00257FB3" w:rsidRDefault="009D00F4" w:rsidP="009D00F4">
            <w:pPr>
              <w:keepNext/>
              <w:numPr>
                <w:ilvl w:val="0"/>
                <w:numId w:val="10"/>
              </w:numPr>
              <w:spacing w:before="60" w:after="60" w:line="240" w:lineRule="auto"/>
              <w:jc w:val="both"/>
              <w:rPr>
                <w:sz w:val="16"/>
                <w:szCs w:val="16"/>
              </w:rPr>
            </w:pPr>
            <w:r w:rsidRPr="00257FB3">
              <w:rPr>
                <w:sz w:val="16"/>
                <w:szCs w:val="16"/>
              </w:rPr>
              <w:t>Hodnoty uvedené v špecifikácii sú „skutočné hodnoty“. Pri stanovení ich limitných hodnôt sa použili podmienky technickej normy</w:t>
            </w:r>
            <w:r>
              <w:rPr>
                <w:sz w:val="16"/>
                <w:szCs w:val="16"/>
                <w:vertAlign w:val="superscript"/>
              </w:rPr>
              <w:t>45</w:t>
            </w:r>
            <w:r w:rsidRPr="00257FB3">
              <w:rPr>
                <w:sz w:val="16"/>
                <w:szCs w:val="16"/>
              </w:rPr>
              <w:t>) alebo inej obdobnej technickej špecifikácie s porovnateľnými alebo prísnejšími požiadavkami. Pri stanovení najnižšej hodnoty sa zohľadnil najmenší rozdiel 2R nad nulou (R = reprodukovateľnosť). Výsledky jednotlivých meraní sa interpretujú na základe kritérií uvedených v technickej norme</w:t>
            </w:r>
            <w:r>
              <w:rPr>
                <w:sz w:val="16"/>
                <w:szCs w:val="16"/>
                <w:vertAlign w:val="superscript"/>
              </w:rPr>
              <w:t>45</w:t>
            </w:r>
            <w:r w:rsidRPr="00257FB3">
              <w:rPr>
                <w:sz w:val="16"/>
                <w:szCs w:val="16"/>
              </w:rPr>
              <w:t>) alebo inej obdobnej technickej špecifikácii s porovnateľnými alebo prísnejšími požiadavkami.</w:t>
            </w:r>
          </w:p>
          <w:p w14:paraId="05D7C592" w14:textId="77777777" w:rsidR="009D00F4" w:rsidRPr="00257FB3" w:rsidRDefault="00654418" w:rsidP="009D00F4">
            <w:pPr>
              <w:spacing w:line="240" w:lineRule="atLeast"/>
              <w:ind w:left="-44" w:firstLine="44"/>
              <w:jc w:val="both"/>
            </w:pPr>
            <w:r>
              <w:rPr>
                <w:noProof/>
              </w:rPr>
              <w:pict w14:anchorId="4364D0DA">
                <v:shape id="_x0000_s1045" type="#_x0000_t32" style="position:absolute;left:0;text-align:left;margin-left:.1pt;margin-top:5.4pt;width:58.2pt;height:0;z-index:251684864" o:connectortype="straight"/>
              </w:pict>
            </w:r>
          </w:p>
          <w:p w14:paraId="41C32703" w14:textId="77777777" w:rsidR="009D00F4" w:rsidRPr="00257FB3" w:rsidRDefault="009D00F4" w:rsidP="009D00F4">
            <w:pPr>
              <w:pStyle w:val="Textpoznmkypodiarou"/>
              <w:jc w:val="both"/>
              <w:rPr>
                <w:rFonts w:eastAsia="Calibri"/>
                <w:sz w:val="18"/>
                <w:szCs w:val="18"/>
                <w:lang w:eastAsia="sk-SK"/>
              </w:rPr>
            </w:pPr>
            <w:r w:rsidRPr="00132312">
              <w:rPr>
                <w:sz w:val="18"/>
                <w:szCs w:val="18"/>
                <w:vertAlign w:val="superscript"/>
              </w:rPr>
              <w:t>21a</w:t>
            </w:r>
            <w:r w:rsidRPr="00132312">
              <w:rPr>
                <w:sz w:val="18"/>
                <w:szCs w:val="18"/>
              </w:rPr>
              <w:t xml:space="preserve">) </w:t>
            </w:r>
            <w:r w:rsidRPr="00132312">
              <w:rPr>
                <w:sz w:val="18"/>
                <w:szCs w:val="18"/>
                <w:lang w:eastAsia="sk-SK"/>
              </w:rPr>
              <w:t>STN EN 590 Automobilové palivá. Motorová nafta. Požiadavky a skúšobné metódy (65 6506).</w:t>
            </w:r>
            <w:r w:rsidRPr="00257FB3">
              <w:t xml:space="preserve">  </w:t>
            </w:r>
          </w:p>
          <w:p w14:paraId="76BC8809" w14:textId="77777777" w:rsidR="009D00F4" w:rsidRDefault="009D00F4" w:rsidP="009D00F4">
            <w:pPr>
              <w:keepNext/>
              <w:spacing w:before="60" w:after="60"/>
              <w:jc w:val="both"/>
              <w:rPr>
                <w:sz w:val="18"/>
                <w:szCs w:val="18"/>
                <w:lang w:eastAsia="sk-SK"/>
              </w:rPr>
            </w:pPr>
            <w:r>
              <w:rPr>
                <w:sz w:val="18"/>
                <w:szCs w:val="18"/>
                <w:vertAlign w:val="superscript"/>
              </w:rPr>
              <w:t>45</w:t>
            </w:r>
            <w:r w:rsidRPr="00257FB3">
              <w:rPr>
                <w:sz w:val="18"/>
                <w:szCs w:val="18"/>
              </w:rPr>
              <w:t xml:space="preserve">) </w:t>
            </w:r>
            <w:r w:rsidRPr="0097586D">
              <w:rPr>
                <w:rFonts w:eastAsia="Calibri"/>
                <w:sz w:val="18"/>
                <w:szCs w:val="18"/>
                <w:lang w:eastAsia="sk-SK"/>
              </w:rPr>
              <w:t>Súbor STN EN ISO 4259 Ropné výrobky a príbuzné výrobky. Zhodnosť metód merania a výsledkov merania (65 6004).</w:t>
            </w:r>
            <w:r>
              <w:rPr>
                <w:sz w:val="18"/>
                <w:szCs w:val="18"/>
                <w:lang w:eastAsia="sk-SK"/>
              </w:rPr>
              <w:t xml:space="preserve"> </w:t>
            </w:r>
          </w:p>
          <w:p w14:paraId="39BBBB54" w14:textId="77777777" w:rsidR="009D00F4" w:rsidRDefault="009D00F4" w:rsidP="009D00F4">
            <w:pPr>
              <w:keepNext/>
              <w:spacing w:before="60" w:after="60"/>
              <w:jc w:val="both"/>
              <w:rPr>
                <w:sz w:val="18"/>
                <w:szCs w:val="18"/>
                <w:lang w:eastAsia="sk-SK"/>
              </w:rPr>
            </w:pPr>
          </w:p>
          <w:p w14:paraId="720E5B4E" w14:textId="77777777" w:rsidR="009D00F4" w:rsidRPr="00110DE3"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110DE3">
              <w:rPr>
                <w:rFonts w:ascii="Times New Roman" w:eastAsia="Times New Roman" w:hAnsi="Times New Roman" w:cs="Times New Roman"/>
                <w:color w:val="000000" w:themeColor="text1"/>
                <w:sz w:val="20"/>
                <w:szCs w:val="20"/>
                <w:lang w:eastAsia="sk-SK"/>
              </w:rPr>
              <w:t>Príloha č. 2a</w:t>
            </w:r>
          </w:p>
          <w:p w14:paraId="2BD1BEB7" w14:textId="77777777" w:rsidR="009D00F4" w:rsidRPr="00110DE3"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110DE3">
              <w:rPr>
                <w:rFonts w:ascii="Times New Roman" w:eastAsia="Times New Roman" w:hAnsi="Times New Roman" w:cs="Times New Roman"/>
                <w:color w:val="000000" w:themeColor="text1"/>
                <w:sz w:val="20"/>
                <w:szCs w:val="20"/>
                <w:lang w:eastAsia="sk-SK"/>
              </w:rPr>
              <w:t xml:space="preserve">Požiadavky na kvalitu motorovej nafty s  obsahom </w:t>
            </w:r>
            <w:proofErr w:type="spellStart"/>
            <w:r w:rsidRPr="00110DE3">
              <w:rPr>
                <w:rFonts w:ascii="Times New Roman" w:eastAsia="Times New Roman" w:hAnsi="Times New Roman" w:cs="Times New Roman"/>
                <w:color w:val="000000" w:themeColor="text1"/>
                <w:sz w:val="20"/>
                <w:szCs w:val="20"/>
                <w:lang w:eastAsia="sk-SK"/>
              </w:rPr>
              <w:t>metylesterov</w:t>
            </w:r>
            <w:proofErr w:type="spellEnd"/>
            <w:r w:rsidRPr="00110DE3">
              <w:rPr>
                <w:rFonts w:ascii="Times New Roman" w:eastAsia="Times New Roman" w:hAnsi="Times New Roman" w:cs="Times New Roman"/>
                <w:color w:val="000000" w:themeColor="text1"/>
                <w:sz w:val="20"/>
                <w:szCs w:val="20"/>
                <w:lang w:eastAsia="sk-SK"/>
              </w:rPr>
              <w:t xml:space="preserve"> mastných kyselín (B7)</w:t>
            </w:r>
          </w:p>
          <w:p w14:paraId="74DC456D" w14:textId="77777777" w:rsidR="009D00F4" w:rsidRPr="00257FB3" w:rsidRDefault="009D00F4" w:rsidP="009D00F4">
            <w:pPr>
              <w:ind w:left="-180"/>
              <w:rPr>
                <w:sz w:val="16"/>
                <w:szCs w:val="16"/>
              </w:rPr>
            </w:pPr>
            <w:r w:rsidRPr="00257FB3">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1060"/>
              <w:gridCol w:w="1060"/>
              <w:gridCol w:w="1060"/>
            </w:tblGrid>
            <w:tr w:rsidR="009D00F4" w:rsidRPr="00257FB3" w14:paraId="7E0304E9" w14:textId="77777777" w:rsidTr="0017306B">
              <w:tc>
                <w:tcPr>
                  <w:tcW w:w="1059" w:type="dxa"/>
                  <w:vMerge w:val="restart"/>
                </w:tcPr>
                <w:p w14:paraId="41605711" w14:textId="77777777" w:rsidR="009D00F4" w:rsidRPr="00257FB3" w:rsidRDefault="009D00F4" w:rsidP="00654418">
                  <w:pPr>
                    <w:framePr w:hSpace="141" w:wrap="around" w:hAnchor="margin" w:xAlign="center" w:y="-1415"/>
                    <w:jc w:val="center"/>
                    <w:rPr>
                      <w:sz w:val="16"/>
                      <w:szCs w:val="16"/>
                    </w:rPr>
                  </w:pPr>
                  <w:proofErr w:type="spellStart"/>
                  <w:r w:rsidRPr="00257FB3">
                    <w:rPr>
                      <w:b/>
                      <w:bCs/>
                      <w:sz w:val="16"/>
                      <w:szCs w:val="16"/>
                    </w:rPr>
                    <w:t>Parameter</w:t>
                  </w:r>
                  <w:r w:rsidRPr="00257FB3">
                    <w:rPr>
                      <w:b/>
                      <w:bCs/>
                      <w:sz w:val="16"/>
                      <w:szCs w:val="16"/>
                      <w:vertAlign w:val="superscript"/>
                    </w:rPr>
                    <w:t>a</w:t>
                  </w:r>
                  <w:proofErr w:type="spellEnd"/>
                  <w:r w:rsidRPr="00257FB3">
                    <w:rPr>
                      <w:b/>
                      <w:bCs/>
                      <w:sz w:val="16"/>
                      <w:szCs w:val="16"/>
                    </w:rPr>
                    <w:t>)</w:t>
                  </w:r>
                </w:p>
              </w:tc>
              <w:tc>
                <w:tcPr>
                  <w:tcW w:w="1060" w:type="dxa"/>
                  <w:vMerge w:val="restart"/>
                </w:tcPr>
                <w:p w14:paraId="27F8F361" w14:textId="77777777" w:rsidR="009D00F4" w:rsidRPr="00257FB3" w:rsidRDefault="009D00F4" w:rsidP="00654418">
                  <w:pPr>
                    <w:framePr w:hSpace="141" w:wrap="around" w:hAnchor="margin" w:xAlign="center" w:y="-1415"/>
                    <w:jc w:val="center"/>
                    <w:rPr>
                      <w:sz w:val="16"/>
                      <w:szCs w:val="16"/>
                    </w:rPr>
                  </w:pPr>
                  <w:r w:rsidRPr="00257FB3">
                    <w:rPr>
                      <w:b/>
                      <w:bCs/>
                      <w:sz w:val="16"/>
                      <w:szCs w:val="16"/>
                    </w:rPr>
                    <w:t>Jednotka</w:t>
                  </w:r>
                </w:p>
              </w:tc>
              <w:tc>
                <w:tcPr>
                  <w:tcW w:w="2120" w:type="dxa"/>
                  <w:gridSpan w:val="2"/>
                </w:tcPr>
                <w:p w14:paraId="149D9FAA" w14:textId="77777777" w:rsidR="009D00F4" w:rsidRPr="00257FB3" w:rsidRDefault="009D00F4" w:rsidP="00654418">
                  <w:pPr>
                    <w:framePr w:hSpace="141" w:wrap="around" w:hAnchor="margin" w:xAlign="center" w:y="-1415"/>
                    <w:jc w:val="center"/>
                    <w:rPr>
                      <w:sz w:val="16"/>
                      <w:szCs w:val="16"/>
                    </w:rPr>
                  </w:pPr>
                  <w:proofErr w:type="spellStart"/>
                  <w:r w:rsidRPr="00257FB3">
                    <w:rPr>
                      <w:b/>
                      <w:bCs/>
                      <w:sz w:val="16"/>
                      <w:szCs w:val="16"/>
                    </w:rPr>
                    <w:t>Limity</w:t>
                  </w:r>
                  <w:r w:rsidRPr="00257FB3">
                    <w:rPr>
                      <w:b/>
                      <w:bCs/>
                      <w:sz w:val="16"/>
                      <w:szCs w:val="16"/>
                      <w:vertAlign w:val="superscript"/>
                    </w:rPr>
                    <w:t>b</w:t>
                  </w:r>
                  <w:proofErr w:type="spellEnd"/>
                  <w:r w:rsidRPr="00257FB3">
                    <w:rPr>
                      <w:b/>
                      <w:bCs/>
                      <w:sz w:val="16"/>
                      <w:szCs w:val="16"/>
                    </w:rPr>
                    <w:t>)</w:t>
                  </w:r>
                </w:p>
              </w:tc>
            </w:tr>
            <w:tr w:rsidR="009D00F4" w:rsidRPr="00257FB3" w14:paraId="48212F36" w14:textId="77777777" w:rsidTr="0017306B">
              <w:tc>
                <w:tcPr>
                  <w:tcW w:w="1059" w:type="dxa"/>
                  <w:vMerge/>
                </w:tcPr>
                <w:p w14:paraId="54E05BC6" w14:textId="77777777" w:rsidR="009D00F4" w:rsidRPr="00257FB3" w:rsidRDefault="009D00F4" w:rsidP="00654418">
                  <w:pPr>
                    <w:framePr w:hSpace="141" w:wrap="around" w:hAnchor="margin" w:xAlign="center" w:y="-1415"/>
                    <w:jc w:val="center"/>
                    <w:rPr>
                      <w:sz w:val="16"/>
                      <w:szCs w:val="16"/>
                    </w:rPr>
                  </w:pPr>
                </w:p>
              </w:tc>
              <w:tc>
                <w:tcPr>
                  <w:tcW w:w="1060" w:type="dxa"/>
                  <w:vMerge/>
                </w:tcPr>
                <w:p w14:paraId="3E2DA1F5" w14:textId="77777777" w:rsidR="009D00F4" w:rsidRPr="00257FB3" w:rsidRDefault="009D00F4" w:rsidP="00654418">
                  <w:pPr>
                    <w:framePr w:hSpace="141" w:wrap="around" w:hAnchor="margin" w:xAlign="center" w:y="-1415"/>
                    <w:jc w:val="center"/>
                    <w:rPr>
                      <w:sz w:val="16"/>
                      <w:szCs w:val="16"/>
                    </w:rPr>
                  </w:pPr>
                </w:p>
              </w:tc>
              <w:tc>
                <w:tcPr>
                  <w:tcW w:w="1060" w:type="dxa"/>
                </w:tcPr>
                <w:p w14:paraId="77AB0479" w14:textId="77777777" w:rsidR="009D00F4" w:rsidRPr="00257FB3" w:rsidRDefault="009D00F4" w:rsidP="00654418">
                  <w:pPr>
                    <w:framePr w:hSpace="141" w:wrap="around" w:hAnchor="margin" w:xAlign="center" w:y="-1415"/>
                    <w:jc w:val="center"/>
                    <w:rPr>
                      <w:sz w:val="16"/>
                      <w:szCs w:val="16"/>
                    </w:rPr>
                  </w:pPr>
                  <w:r w:rsidRPr="00257FB3">
                    <w:rPr>
                      <w:b/>
                      <w:bCs/>
                      <w:sz w:val="16"/>
                      <w:szCs w:val="16"/>
                    </w:rPr>
                    <w:t>Najmenej</w:t>
                  </w:r>
                </w:p>
              </w:tc>
              <w:tc>
                <w:tcPr>
                  <w:tcW w:w="1060" w:type="dxa"/>
                </w:tcPr>
                <w:p w14:paraId="76D7994E" w14:textId="77777777" w:rsidR="009D00F4" w:rsidRPr="00257FB3" w:rsidRDefault="009D00F4" w:rsidP="00654418">
                  <w:pPr>
                    <w:framePr w:hSpace="141" w:wrap="around" w:hAnchor="margin" w:xAlign="center" w:y="-1415"/>
                    <w:jc w:val="center"/>
                    <w:rPr>
                      <w:sz w:val="16"/>
                      <w:szCs w:val="16"/>
                    </w:rPr>
                  </w:pPr>
                  <w:r w:rsidRPr="00257FB3">
                    <w:rPr>
                      <w:b/>
                      <w:bCs/>
                      <w:sz w:val="16"/>
                      <w:szCs w:val="16"/>
                    </w:rPr>
                    <w:t>Najviac</w:t>
                  </w:r>
                </w:p>
              </w:tc>
            </w:tr>
            <w:tr w:rsidR="009D00F4" w:rsidRPr="00257FB3" w14:paraId="3E4CA4AE" w14:textId="77777777" w:rsidTr="0017306B">
              <w:tc>
                <w:tcPr>
                  <w:tcW w:w="4239" w:type="dxa"/>
                  <w:gridSpan w:val="4"/>
                </w:tcPr>
                <w:p w14:paraId="3C1CF76B" w14:textId="77777777" w:rsidR="009D00F4" w:rsidRPr="00257FB3" w:rsidRDefault="009D00F4" w:rsidP="00654418">
                  <w:pPr>
                    <w:framePr w:hSpace="141" w:wrap="around" w:hAnchor="margin" w:xAlign="center" w:y="-1415"/>
                    <w:rPr>
                      <w:sz w:val="16"/>
                      <w:szCs w:val="16"/>
                    </w:rPr>
                  </w:pPr>
                  <w:r w:rsidRPr="00257FB3">
                    <w:rPr>
                      <w:b/>
                      <w:sz w:val="16"/>
                      <w:szCs w:val="16"/>
                    </w:rPr>
                    <w:t>MOTOROVÁ NAFTA</w:t>
                  </w:r>
                </w:p>
              </w:tc>
            </w:tr>
            <w:tr w:rsidR="009D00F4" w:rsidRPr="00257FB3" w14:paraId="02F5ECCD" w14:textId="77777777" w:rsidTr="0017306B">
              <w:tc>
                <w:tcPr>
                  <w:tcW w:w="1059" w:type="dxa"/>
                </w:tcPr>
                <w:p w14:paraId="1D5674C4"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Cetánové</w:t>
                  </w:r>
                  <w:proofErr w:type="spellEnd"/>
                  <w:r w:rsidRPr="00257FB3">
                    <w:rPr>
                      <w:sz w:val="16"/>
                      <w:szCs w:val="16"/>
                    </w:rPr>
                    <w:t xml:space="preserve"> číslo</w:t>
                  </w:r>
                </w:p>
              </w:tc>
              <w:tc>
                <w:tcPr>
                  <w:tcW w:w="1060" w:type="dxa"/>
                </w:tcPr>
                <w:p w14:paraId="18CA369B" w14:textId="77777777" w:rsidR="009D00F4" w:rsidRPr="00257FB3" w:rsidRDefault="009D00F4" w:rsidP="00654418">
                  <w:pPr>
                    <w:framePr w:hSpace="141" w:wrap="around" w:hAnchor="margin" w:xAlign="center" w:y="-1415"/>
                    <w:jc w:val="center"/>
                    <w:rPr>
                      <w:sz w:val="16"/>
                      <w:szCs w:val="16"/>
                    </w:rPr>
                  </w:pPr>
                </w:p>
              </w:tc>
              <w:tc>
                <w:tcPr>
                  <w:tcW w:w="1060" w:type="dxa"/>
                </w:tcPr>
                <w:p w14:paraId="209DA304" w14:textId="77777777" w:rsidR="009D00F4" w:rsidRPr="00257FB3" w:rsidRDefault="009D00F4" w:rsidP="00654418">
                  <w:pPr>
                    <w:framePr w:hSpace="141" w:wrap="around" w:hAnchor="margin" w:xAlign="center" w:y="-1415"/>
                    <w:jc w:val="center"/>
                    <w:rPr>
                      <w:sz w:val="16"/>
                      <w:szCs w:val="16"/>
                    </w:rPr>
                  </w:pPr>
                  <w:r w:rsidRPr="00257FB3">
                    <w:rPr>
                      <w:sz w:val="16"/>
                      <w:szCs w:val="16"/>
                    </w:rPr>
                    <w:t>51,0</w:t>
                  </w:r>
                </w:p>
              </w:tc>
              <w:tc>
                <w:tcPr>
                  <w:tcW w:w="1060" w:type="dxa"/>
                </w:tcPr>
                <w:p w14:paraId="5A838799" w14:textId="77777777" w:rsidR="009D00F4" w:rsidRPr="00257FB3" w:rsidRDefault="009D00F4" w:rsidP="00654418">
                  <w:pPr>
                    <w:framePr w:hSpace="141" w:wrap="around" w:hAnchor="margin" w:xAlign="center" w:y="-1415"/>
                    <w:jc w:val="center"/>
                    <w:rPr>
                      <w:sz w:val="16"/>
                      <w:szCs w:val="16"/>
                    </w:rPr>
                  </w:pPr>
                </w:p>
              </w:tc>
            </w:tr>
            <w:tr w:rsidR="009D00F4" w:rsidRPr="00257FB3" w14:paraId="5DEC0EA3" w14:textId="77777777" w:rsidTr="0017306B">
              <w:tc>
                <w:tcPr>
                  <w:tcW w:w="1059" w:type="dxa"/>
                </w:tcPr>
                <w:p w14:paraId="2F8A1D63" w14:textId="77777777" w:rsidR="009D00F4" w:rsidRPr="00257FB3" w:rsidRDefault="009D00F4" w:rsidP="00654418">
                  <w:pPr>
                    <w:framePr w:hSpace="141" w:wrap="around" w:hAnchor="margin" w:xAlign="center" w:y="-1415"/>
                    <w:rPr>
                      <w:sz w:val="16"/>
                      <w:szCs w:val="16"/>
                    </w:rPr>
                  </w:pPr>
                  <w:r w:rsidRPr="00257FB3">
                    <w:rPr>
                      <w:sz w:val="16"/>
                      <w:szCs w:val="16"/>
                    </w:rPr>
                    <w:t>Hustota pri 15 °C</w:t>
                  </w:r>
                </w:p>
              </w:tc>
              <w:tc>
                <w:tcPr>
                  <w:tcW w:w="1060" w:type="dxa"/>
                </w:tcPr>
                <w:p w14:paraId="6096192F" w14:textId="77777777" w:rsidR="009D00F4" w:rsidRPr="00257FB3" w:rsidRDefault="009D00F4" w:rsidP="00654418">
                  <w:pPr>
                    <w:framePr w:hSpace="141" w:wrap="around" w:hAnchor="margin" w:xAlign="center" w:y="-1415"/>
                    <w:jc w:val="center"/>
                    <w:rPr>
                      <w:sz w:val="16"/>
                      <w:szCs w:val="16"/>
                    </w:rPr>
                  </w:pPr>
                  <w:r w:rsidRPr="00257FB3">
                    <w:rPr>
                      <w:sz w:val="16"/>
                      <w:szCs w:val="16"/>
                    </w:rPr>
                    <w:t>kg/m</w:t>
                  </w:r>
                  <w:r w:rsidRPr="00257FB3">
                    <w:rPr>
                      <w:sz w:val="16"/>
                      <w:szCs w:val="16"/>
                      <w:vertAlign w:val="superscript"/>
                    </w:rPr>
                    <w:t>3</w:t>
                  </w:r>
                </w:p>
              </w:tc>
              <w:tc>
                <w:tcPr>
                  <w:tcW w:w="1060" w:type="dxa"/>
                </w:tcPr>
                <w:p w14:paraId="79511615"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36C9270E" w14:textId="77777777" w:rsidR="009D00F4" w:rsidRPr="00257FB3" w:rsidRDefault="009D00F4" w:rsidP="00654418">
                  <w:pPr>
                    <w:framePr w:hSpace="141" w:wrap="around" w:hAnchor="margin" w:xAlign="center" w:y="-1415"/>
                    <w:jc w:val="center"/>
                    <w:rPr>
                      <w:sz w:val="16"/>
                      <w:szCs w:val="16"/>
                    </w:rPr>
                  </w:pPr>
                  <w:r w:rsidRPr="00257FB3">
                    <w:rPr>
                      <w:sz w:val="16"/>
                      <w:szCs w:val="16"/>
                    </w:rPr>
                    <w:t>845,0</w:t>
                  </w:r>
                </w:p>
              </w:tc>
            </w:tr>
            <w:tr w:rsidR="009D00F4" w:rsidRPr="00257FB3" w14:paraId="09866481" w14:textId="77777777" w:rsidTr="0017306B">
              <w:tc>
                <w:tcPr>
                  <w:tcW w:w="1059" w:type="dxa"/>
                </w:tcPr>
                <w:p w14:paraId="43FA7927" w14:textId="77777777" w:rsidR="009D00F4" w:rsidRPr="00257FB3" w:rsidRDefault="009D00F4" w:rsidP="00654418">
                  <w:pPr>
                    <w:framePr w:hSpace="141" w:wrap="around" w:hAnchor="margin" w:xAlign="center" w:y="-1415"/>
                    <w:rPr>
                      <w:sz w:val="16"/>
                      <w:szCs w:val="16"/>
                    </w:rPr>
                  </w:pPr>
                  <w:r w:rsidRPr="00257FB3">
                    <w:rPr>
                      <w:sz w:val="16"/>
                      <w:szCs w:val="16"/>
                    </w:rPr>
                    <w:t>Destilácia - 95 % získanej pri</w:t>
                  </w:r>
                </w:p>
              </w:tc>
              <w:tc>
                <w:tcPr>
                  <w:tcW w:w="1060" w:type="dxa"/>
                </w:tcPr>
                <w:p w14:paraId="7B06A342" w14:textId="77777777" w:rsidR="009D00F4" w:rsidRPr="00257FB3" w:rsidRDefault="009D00F4" w:rsidP="00654418">
                  <w:pPr>
                    <w:framePr w:hSpace="141" w:wrap="around" w:hAnchor="margin" w:xAlign="center" w:y="-1415"/>
                    <w:jc w:val="center"/>
                    <w:rPr>
                      <w:sz w:val="16"/>
                      <w:szCs w:val="16"/>
                    </w:rPr>
                  </w:pPr>
                  <w:r w:rsidRPr="00257FB3">
                    <w:rPr>
                      <w:sz w:val="16"/>
                      <w:szCs w:val="16"/>
                    </w:rPr>
                    <w:t>°C</w:t>
                  </w:r>
                </w:p>
              </w:tc>
              <w:tc>
                <w:tcPr>
                  <w:tcW w:w="1060" w:type="dxa"/>
                </w:tcPr>
                <w:p w14:paraId="48B20FDD"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721778E9" w14:textId="77777777" w:rsidR="009D00F4" w:rsidRPr="00257FB3" w:rsidRDefault="009D00F4" w:rsidP="00654418">
                  <w:pPr>
                    <w:framePr w:hSpace="141" w:wrap="around" w:hAnchor="margin" w:xAlign="center" w:y="-1415"/>
                    <w:jc w:val="center"/>
                    <w:rPr>
                      <w:sz w:val="16"/>
                      <w:szCs w:val="16"/>
                    </w:rPr>
                  </w:pPr>
                  <w:r w:rsidRPr="00257FB3">
                    <w:rPr>
                      <w:sz w:val="16"/>
                      <w:szCs w:val="16"/>
                    </w:rPr>
                    <w:t>360,0</w:t>
                  </w:r>
                </w:p>
              </w:tc>
            </w:tr>
            <w:tr w:rsidR="009D00F4" w:rsidRPr="00257FB3" w14:paraId="02F24988" w14:textId="77777777" w:rsidTr="0017306B">
              <w:tc>
                <w:tcPr>
                  <w:tcW w:w="1059" w:type="dxa"/>
                </w:tcPr>
                <w:p w14:paraId="03CA6509"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Polycyklické</w:t>
                  </w:r>
                  <w:proofErr w:type="spellEnd"/>
                  <w:r w:rsidRPr="00257FB3">
                    <w:rPr>
                      <w:sz w:val="16"/>
                      <w:szCs w:val="16"/>
                    </w:rPr>
                    <w:t xml:space="preserve"> aromatické uhľovodíky</w:t>
                  </w:r>
                </w:p>
              </w:tc>
              <w:tc>
                <w:tcPr>
                  <w:tcW w:w="1060" w:type="dxa"/>
                </w:tcPr>
                <w:p w14:paraId="0692B848" w14:textId="77777777" w:rsidR="009D00F4" w:rsidRPr="00257FB3" w:rsidRDefault="009D00F4" w:rsidP="00654418">
                  <w:pPr>
                    <w:framePr w:hSpace="141" w:wrap="around" w:hAnchor="margin" w:xAlign="center" w:y="-1415"/>
                    <w:jc w:val="center"/>
                    <w:rPr>
                      <w:sz w:val="16"/>
                      <w:szCs w:val="16"/>
                    </w:rPr>
                  </w:pPr>
                  <w:r w:rsidRPr="00257FB3">
                    <w:rPr>
                      <w:sz w:val="16"/>
                      <w:szCs w:val="16"/>
                    </w:rPr>
                    <w:t>% hmotnosti</w:t>
                  </w:r>
                </w:p>
              </w:tc>
              <w:tc>
                <w:tcPr>
                  <w:tcW w:w="1060" w:type="dxa"/>
                </w:tcPr>
                <w:p w14:paraId="45B44380"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2F8E58D2" w14:textId="77777777" w:rsidR="009D00F4" w:rsidRPr="00257FB3" w:rsidRDefault="009D00F4" w:rsidP="00654418">
                  <w:pPr>
                    <w:framePr w:hSpace="141" w:wrap="around" w:hAnchor="margin" w:xAlign="center" w:y="-1415"/>
                    <w:jc w:val="center"/>
                    <w:rPr>
                      <w:sz w:val="16"/>
                      <w:szCs w:val="16"/>
                    </w:rPr>
                  </w:pPr>
                  <w:r w:rsidRPr="00257FB3">
                    <w:rPr>
                      <w:sz w:val="16"/>
                      <w:szCs w:val="16"/>
                    </w:rPr>
                    <w:t>8,0</w:t>
                  </w:r>
                </w:p>
              </w:tc>
            </w:tr>
            <w:tr w:rsidR="009D00F4" w:rsidRPr="00257FB3" w14:paraId="44C7B6BD" w14:textId="77777777" w:rsidTr="0017306B">
              <w:tc>
                <w:tcPr>
                  <w:tcW w:w="1059" w:type="dxa"/>
                </w:tcPr>
                <w:p w14:paraId="23FBA6B2" w14:textId="77777777" w:rsidR="009D00F4" w:rsidRPr="00257FB3" w:rsidRDefault="009D00F4" w:rsidP="00654418">
                  <w:pPr>
                    <w:framePr w:hSpace="141" w:wrap="around" w:hAnchor="margin" w:xAlign="center" w:y="-1415"/>
                    <w:rPr>
                      <w:sz w:val="16"/>
                      <w:szCs w:val="16"/>
                    </w:rPr>
                  </w:pPr>
                  <w:r w:rsidRPr="00257FB3">
                    <w:rPr>
                      <w:sz w:val="16"/>
                      <w:szCs w:val="16"/>
                    </w:rPr>
                    <w:t>Obsah síry</w:t>
                  </w:r>
                </w:p>
              </w:tc>
              <w:tc>
                <w:tcPr>
                  <w:tcW w:w="1060" w:type="dxa"/>
                </w:tcPr>
                <w:p w14:paraId="0836CEAA" w14:textId="77777777" w:rsidR="009D00F4" w:rsidRPr="00257FB3" w:rsidRDefault="009D00F4" w:rsidP="00654418">
                  <w:pPr>
                    <w:framePr w:hSpace="141" w:wrap="around" w:hAnchor="margin" w:xAlign="center" w:y="-1415"/>
                    <w:jc w:val="center"/>
                    <w:rPr>
                      <w:sz w:val="16"/>
                      <w:szCs w:val="16"/>
                    </w:rPr>
                  </w:pPr>
                  <w:r w:rsidRPr="00257FB3">
                    <w:rPr>
                      <w:sz w:val="16"/>
                      <w:szCs w:val="16"/>
                    </w:rPr>
                    <w:t>mg/kg</w:t>
                  </w:r>
                </w:p>
              </w:tc>
              <w:tc>
                <w:tcPr>
                  <w:tcW w:w="1060" w:type="dxa"/>
                </w:tcPr>
                <w:p w14:paraId="39A30BA0" w14:textId="77777777" w:rsidR="009D00F4" w:rsidRPr="00257FB3" w:rsidRDefault="009D00F4" w:rsidP="00654418">
                  <w:pPr>
                    <w:framePr w:hSpace="141" w:wrap="around" w:hAnchor="margin" w:xAlign="center" w:y="-1415"/>
                    <w:jc w:val="center"/>
                    <w:rPr>
                      <w:sz w:val="16"/>
                      <w:szCs w:val="16"/>
                    </w:rPr>
                  </w:pPr>
                </w:p>
              </w:tc>
              <w:tc>
                <w:tcPr>
                  <w:tcW w:w="1060" w:type="dxa"/>
                </w:tcPr>
                <w:p w14:paraId="3F01D7FC" w14:textId="77777777" w:rsidR="009D00F4" w:rsidRPr="00257FB3" w:rsidRDefault="009D00F4" w:rsidP="00654418">
                  <w:pPr>
                    <w:framePr w:hSpace="141" w:wrap="around" w:hAnchor="margin" w:xAlign="center" w:y="-1415"/>
                    <w:jc w:val="center"/>
                    <w:rPr>
                      <w:sz w:val="16"/>
                      <w:szCs w:val="16"/>
                    </w:rPr>
                  </w:pPr>
                  <w:r w:rsidRPr="00257FB3">
                    <w:rPr>
                      <w:sz w:val="16"/>
                      <w:szCs w:val="16"/>
                    </w:rPr>
                    <w:t>10,0</w:t>
                  </w:r>
                </w:p>
              </w:tc>
            </w:tr>
            <w:tr w:rsidR="009D00F4" w:rsidRPr="00257FB3" w14:paraId="732A9CB6" w14:textId="77777777" w:rsidTr="0017306B">
              <w:tc>
                <w:tcPr>
                  <w:tcW w:w="1059" w:type="dxa"/>
                </w:tcPr>
                <w:p w14:paraId="3CBA427B" w14:textId="77777777" w:rsidR="009D00F4" w:rsidRPr="00257FB3" w:rsidRDefault="009D00F4" w:rsidP="00654418">
                  <w:pPr>
                    <w:framePr w:hSpace="141" w:wrap="around" w:hAnchor="margin" w:xAlign="center" w:y="-1415"/>
                    <w:rPr>
                      <w:sz w:val="16"/>
                      <w:szCs w:val="16"/>
                    </w:rPr>
                  </w:pPr>
                  <w:r w:rsidRPr="00257FB3">
                    <w:rPr>
                      <w:sz w:val="16"/>
                      <w:szCs w:val="16"/>
                    </w:rPr>
                    <w:t xml:space="preserve">Obsah </w:t>
                  </w:r>
                  <w:proofErr w:type="spellStart"/>
                  <w:r w:rsidRPr="00257FB3">
                    <w:rPr>
                      <w:sz w:val="16"/>
                      <w:szCs w:val="16"/>
                    </w:rPr>
                    <w:t>metylesterov</w:t>
                  </w:r>
                  <w:proofErr w:type="spellEnd"/>
                  <w:r w:rsidRPr="00257FB3">
                    <w:rPr>
                      <w:sz w:val="16"/>
                      <w:szCs w:val="16"/>
                    </w:rPr>
                    <w:t xml:space="preserve"> mastných kyselín</w:t>
                  </w:r>
                  <w:r>
                    <w:rPr>
                      <w:sz w:val="16"/>
                      <w:szCs w:val="16"/>
                      <w:vertAlign w:val="superscript"/>
                    </w:rPr>
                    <w:t>45a</w:t>
                  </w:r>
                  <w:r w:rsidRPr="00257FB3">
                    <w:rPr>
                      <w:sz w:val="16"/>
                      <w:szCs w:val="16"/>
                    </w:rPr>
                    <w:t>)</w:t>
                  </w:r>
                </w:p>
              </w:tc>
              <w:tc>
                <w:tcPr>
                  <w:tcW w:w="1060" w:type="dxa"/>
                </w:tcPr>
                <w:p w14:paraId="50955002" w14:textId="77777777" w:rsidR="009D00F4" w:rsidRPr="00257FB3" w:rsidRDefault="009D00F4" w:rsidP="00654418">
                  <w:pPr>
                    <w:framePr w:hSpace="141" w:wrap="around" w:hAnchor="margin" w:xAlign="center" w:y="-1415"/>
                    <w:jc w:val="center"/>
                    <w:rPr>
                      <w:sz w:val="16"/>
                      <w:szCs w:val="16"/>
                    </w:rPr>
                  </w:pPr>
                  <w:r w:rsidRPr="00257FB3">
                    <w:rPr>
                      <w:sz w:val="16"/>
                      <w:szCs w:val="16"/>
                    </w:rPr>
                    <w:t>%</w:t>
                  </w:r>
                </w:p>
              </w:tc>
              <w:tc>
                <w:tcPr>
                  <w:tcW w:w="1060" w:type="dxa"/>
                </w:tcPr>
                <w:p w14:paraId="0B2B4914" w14:textId="77777777" w:rsidR="009D00F4" w:rsidRPr="00257FB3" w:rsidRDefault="009D00F4" w:rsidP="00654418">
                  <w:pPr>
                    <w:framePr w:hSpace="141" w:wrap="around" w:hAnchor="margin" w:xAlign="center" w:y="-1415"/>
                    <w:jc w:val="center"/>
                    <w:rPr>
                      <w:sz w:val="16"/>
                      <w:szCs w:val="16"/>
                    </w:rPr>
                  </w:pPr>
                </w:p>
              </w:tc>
              <w:tc>
                <w:tcPr>
                  <w:tcW w:w="1060" w:type="dxa"/>
                </w:tcPr>
                <w:p w14:paraId="169F2A68" w14:textId="77777777" w:rsidR="009D00F4" w:rsidRPr="00257FB3" w:rsidRDefault="009D00F4" w:rsidP="00654418">
                  <w:pPr>
                    <w:framePr w:hSpace="141" w:wrap="around" w:hAnchor="margin" w:xAlign="center" w:y="-1415"/>
                    <w:jc w:val="center"/>
                    <w:rPr>
                      <w:sz w:val="16"/>
                      <w:szCs w:val="16"/>
                    </w:rPr>
                  </w:pPr>
                  <w:r>
                    <w:rPr>
                      <w:sz w:val="16"/>
                      <w:szCs w:val="16"/>
                    </w:rPr>
                    <w:t>7</w:t>
                  </w:r>
                  <w:r w:rsidRPr="00257FB3">
                    <w:rPr>
                      <w:sz w:val="16"/>
                      <w:szCs w:val="16"/>
                    </w:rPr>
                    <w:t>,0</w:t>
                  </w:r>
                  <w:r w:rsidRPr="00257FB3">
                    <w:rPr>
                      <w:sz w:val="16"/>
                      <w:szCs w:val="16"/>
                      <w:vertAlign w:val="superscript"/>
                    </w:rPr>
                    <w:t>c</w:t>
                  </w:r>
                  <w:r w:rsidRPr="00257FB3">
                    <w:rPr>
                      <w:sz w:val="16"/>
                      <w:szCs w:val="16"/>
                    </w:rPr>
                    <w:t>)</w:t>
                  </w:r>
                </w:p>
              </w:tc>
            </w:tr>
          </w:tbl>
          <w:p w14:paraId="395FFE4B" w14:textId="77777777" w:rsidR="009D00F4" w:rsidRPr="00257FB3" w:rsidRDefault="009D00F4" w:rsidP="009D00F4">
            <w:pPr>
              <w:ind w:left="-180"/>
              <w:rPr>
                <w:sz w:val="16"/>
                <w:szCs w:val="16"/>
              </w:rPr>
            </w:pPr>
          </w:p>
          <w:p w14:paraId="32AB6301" w14:textId="77777777" w:rsidR="009D00F4" w:rsidRPr="00257FB3" w:rsidRDefault="009D00F4" w:rsidP="009D00F4">
            <w:pPr>
              <w:ind w:left="-180"/>
              <w:rPr>
                <w:sz w:val="16"/>
                <w:szCs w:val="16"/>
              </w:rPr>
            </w:pPr>
            <w:r w:rsidRPr="00257FB3">
              <w:rPr>
                <w:sz w:val="16"/>
                <w:szCs w:val="16"/>
              </w:rPr>
              <w:t xml:space="preserve">    </w:t>
            </w:r>
            <w:r>
              <w:rPr>
                <w:sz w:val="16"/>
                <w:szCs w:val="16"/>
              </w:rPr>
              <w:t>Vysvetlivky</w:t>
            </w:r>
            <w:r w:rsidRPr="00257FB3">
              <w:rPr>
                <w:sz w:val="16"/>
                <w:szCs w:val="16"/>
              </w:rPr>
              <w:t>:</w:t>
            </w:r>
            <w:r>
              <w:rPr>
                <w:sz w:val="16"/>
                <w:szCs w:val="16"/>
              </w:rPr>
              <w:t xml:space="preserve"> </w:t>
            </w:r>
            <w:r w:rsidRPr="00257FB3">
              <w:rPr>
                <w:sz w:val="16"/>
                <w:szCs w:val="16"/>
              </w:rPr>
              <w:t xml:space="preserve">   </w:t>
            </w:r>
          </w:p>
          <w:p w14:paraId="7401FC72" w14:textId="77777777" w:rsidR="009D00F4" w:rsidRPr="00257FB3" w:rsidRDefault="009D00F4" w:rsidP="009D00F4">
            <w:pPr>
              <w:keepNext/>
              <w:numPr>
                <w:ilvl w:val="0"/>
                <w:numId w:val="9"/>
              </w:numPr>
              <w:spacing w:before="60" w:after="60" w:line="240" w:lineRule="auto"/>
              <w:jc w:val="both"/>
              <w:rPr>
                <w:sz w:val="16"/>
                <w:szCs w:val="16"/>
              </w:rPr>
            </w:pPr>
            <w:r w:rsidRPr="00257FB3">
              <w:rPr>
                <w:sz w:val="16"/>
                <w:szCs w:val="16"/>
              </w:rPr>
              <w:t>Skúšobné metódy sú špecifikované v technickej norme</w:t>
            </w:r>
            <w:r>
              <w:rPr>
                <w:sz w:val="16"/>
                <w:szCs w:val="16"/>
                <w:vertAlign w:val="superscript"/>
              </w:rPr>
              <w:t>21a</w:t>
            </w:r>
            <w:r w:rsidRPr="00257FB3">
              <w:rPr>
                <w:sz w:val="16"/>
                <w:szCs w:val="16"/>
              </w:rPr>
              <w:t>) alebo inej obdobnej technickej špecifikácii s porovnateľnými alebo prísnejšími požiadavkami.</w:t>
            </w:r>
          </w:p>
          <w:p w14:paraId="0B3E8E83" w14:textId="77777777" w:rsidR="009D00F4" w:rsidRPr="00257FB3" w:rsidRDefault="009D00F4" w:rsidP="009D00F4">
            <w:pPr>
              <w:keepNext/>
              <w:numPr>
                <w:ilvl w:val="0"/>
                <w:numId w:val="9"/>
              </w:numPr>
              <w:spacing w:before="60" w:after="60" w:line="240" w:lineRule="auto"/>
              <w:jc w:val="both"/>
              <w:rPr>
                <w:sz w:val="16"/>
                <w:szCs w:val="16"/>
              </w:rPr>
            </w:pPr>
            <w:r w:rsidRPr="00257FB3">
              <w:rPr>
                <w:sz w:val="16"/>
                <w:szCs w:val="16"/>
              </w:rPr>
              <w:t>Hodnoty uvedené v špecifikácii sú „skutočné hodnoty“. Pri stanovení ich limitných hodnôt sa použili podmienky technickej normy</w:t>
            </w:r>
            <w:r>
              <w:rPr>
                <w:sz w:val="16"/>
                <w:szCs w:val="16"/>
                <w:vertAlign w:val="superscript"/>
              </w:rPr>
              <w:t>45</w:t>
            </w:r>
            <w:r w:rsidRPr="00257FB3">
              <w:rPr>
                <w:sz w:val="16"/>
                <w:szCs w:val="16"/>
              </w:rPr>
              <w:t>) alebo inej obdobnej technickej špecifikácie s porovnateľnými alebo prísnejšími požiadavkami. Pri stanovení najnižšej hodnoty sa zohľadnil najmenší rozdiel 2R nad nulou (R = reprodukovateľnosť). Výsledky jednotlivých meraní sa interpretujú na základe kritérií uvedených v technickej norme</w:t>
            </w:r>
            <w:r>
              <w:rPr>
                <w:sz w:val="16"/>
                <w:szCs w:val="16"/>
                <w:vertAlign w:val="superscript"/>
              </w:rPr>
              <w:t>45</w:t>
            </w:r>
            <w:r w:rsidRPr="00257FB3">
              <w:rPr>
                <w:sz w:val="16"/>
                <w:szCs w:val="16"/>
              </w:rPr>
              <w:t>) alebo inej obdobnej technickej špecifikácii s porovnateľnými alebo prísnejšími požiadavkami.</w:t>
            </w:r>
          </w:p>
          <w:p w14:paraId="79EDFD0C" w14:textId="77777777" w:rsidR="009D00F4" w:rsidRPr="00257FB3" w:rsidRDefault="009D00F4" w:rsidP="009D00F4">
            <w:pPr>
              <w:keepNext/>
              <w:numPr>
                <w:ilvl w:val="0"/>
                <w:numId w:val="9"/>
              </w:numPr>
              <w:spacing w:before="60" w:after="60" w:line="240" w:lineRule="auto"/>
              <w:jc w:val="both"/>
              <w:rPr>
                <w:sz w:val="20"/>
                <w:lang w:eastAsia="sk-SK"/>
              </w:rPr>
            </w:pPr>
            <w:proofErr w:type="spellStart"/>
            <w:r w:rsidRPr="00257FB3">
              <w:rPr>
                <w:sz w:val="16"/>
                <w:szCs w:val="16"/>
              </w:rPr>
              <w:t>Metylestery</w:t>
            </w:r>
            <w:proofErr w:type="spellEnd"/>
            <w:r w:rsidRPr="00257FB3">
              <w:rPr>
                <w:sz w:val="16"/>
                <w:szCs w:val="16"/>
              </w:rPr>
              <w:t xml:space="preserve"> mastných kyselín musia spĺňať technickú normu</w:t>
            </w:r>
            <w:r>
              <w:rPr>
                <w:sz w:val="16"/>
                <w:szCs w:val="16"/>
                <w:vertAlign w:val="superscript"/>
              </w:rPr>
              <w:t>23</w:t>
            </w:r>
            <w:r w:rsidRPr="00257FB3">
              <w:rPr>
                <w:sz w:val="16"/>
                <w:szCs w:val="16"/>
              </w:rPr>
              <w:t>) alebo inú obdobnú technickú špecifikáciu s porovnateľnými alebo prísnejšími požiadavkami.</w:t>
            </w:r>
            <w:r>
              <w:rPr>
                <w:sz w:val="16"/>
                <w:szCs w:val="16"/>
              </w:rPr>
              <w:t xml:space="preserve"> </w:t>
            </w:r>
          </w:p>
          <w:p w14:paraId="3A119DCF" w14:textId="77777777" w:rsidR="009D00F4" w:rsidRPr="00257FB3" w:rsidRDefault="00654418" w:rsidP="009D00F4">
            <w:pPr>
              <w:spacing w:line="240" w:lineRule="atLeast"/>
              <w:ind w:left="-44" w:firstLine="44"/>
              <w:jc w:val="both"/>
            </w:pPr>
            <w:r>
              <w:rPr>
                <w:noProof/>
              </w:rPr>
              <w:lastRenderedPageBreak/>
              <w:pict w14:anchorId="0DAD17BC">
                <v:shape id="_x0000_s1046" type="#_x0000_t32" style="position:absolute;left:0;text-align:left;margin-left:.1pt;margin-top:5.4pt;width:58.2pt;height:0;z-index:251685888" o:connectortype="straight"/>
              </w:pict>
            </w:r>
          </w:p>
          <w:p w14:paraId="50DFF021" w14:textId="77777777" w:rsidR="009D00F4" w:rsidRDefault="009D00F4" w:rsidP="009D00F4">
            <w:pPr>
              <w:pStyle w:val="Textpoznmkypodiarou"/>
              <w:jc w:val="both"/>
              <w:rPr>
                <w:rFonts w:eastAsia="Calibri"/>
                <w:sz w:val="18"/>
                <w:szCs w:val="18"/>
                <w:lang w:eastAsia="sk-SK"/>
              </w:rPr>
            </w:pPr>
            <w:r w:rsidRPr="00411D3B">
              <w:rPr>
                <w:rFonts w:eastAsia="Calibri"/>
                <w:sz w:val="18"/>
                <w:szCs w:val="18"/>
                <w:vertAlign w:val="superscript"/>
                <w:lang w:eastAsia="sk-SK"/>
              </w:rPr>
              <w:t>45a</w:t>
            </w:r>
            <w:r w:rsidRPr="00411D3B">
              <w:rPr>
                <w:rFonts w:eastAsia="Calibri"/>
                <w:sz w:val="18"/>
                <w:szCs w:val="18"/>
                <w:lang w:eastAsia="sk-SK"/>
              </w:rPr>
              <w:t xml:space="preserve">) STN EN 14078 Kvapalné ropné výrobky. Stanovenie obsahu </w:t>
            </w:r>
            <w:proofErr w:type="spellStart"/>
            <w:r w:rsidRPr="00411D3B">
              <w:rPr>
                <w:rFonts w:eastAsia="Calibri"/>
                <w:sz w:val="18"/>
                <w:szCs w:val="18"/>
                <w:lang w:eastAsia="sk-SK"/>
              </w:rPr>
              <w:t>metylesterov</w:t>
            </w:r>
            <w:proofErr w:type="spellEnd"/>
            <w:r w:rsidRPr="00411D3B">
              <w:rPr>
                <w:rFonts w:eastAsia="Calibri"/>
                <w:sz w:val="18"/>
                <w:szCs w:val="18"/>
                <w:lang w:eastAsia="sk-SK"/>
              </w:rPr>
              <w:t xml:space="preserve"> mastných kyselín (FAME) v stredných destilátoch. Metóda infračervenej </w:t>
            </w:r>
            <w:proofErr w:type="spellStart"/>
            <w:r w:rsidRPr="00411D3B">
              <w:rPr>
                <w:rFonts w:eastAsia="Calibri"/>
                <w:sz w:val="18"/>
                <w:szCs w:val="18"/>
                <w:lang w:eastAsia="sk-SK"/>
              </w:rPr>
              <w:t>spektrometrie</w:t>
            </w:r>
            <w:proofErr w:type="spellEnd"/>
            <w:r w:rsidRPr="00411D3B">
              <w:rPr>
                <w:rFonts w:eastAsia="Calibri"/>
                <w:sz w:val="18"/>
                <w:szCs w:val="18"/>
                <w:lang w:eastAsia="sk-SK"/>
              </w:rPr>
              <w:t xml:space="preserve"> (</w:t>
            </w:r>
            <w:hyperlink r:id="rId11" w:tgtFrame="_blank" w:history="1">
              <w:r w:rsidRPr="00411D3B">
                <w:rPr>
                  <w:rFonts w:eastAsia="Calibri"/>
                  <w:sz w:val="18"/>
                  <w:szCs w:val="18"/>
                  <w:lang w:eastAsia="sk-SK"/>
                </w:rPr>
                <w:t>65 6532</w:t>
              </w:r>
            </w:hyperlink>
            <w:r w:rsidRPr="00411D3B">
              <w:rPr>
                <w:rFonts w:eastAsia="Calibri"/>
                <w:sz w:val="18"/>
                <w:szCs w:val="18"/>
                <w:lang w:eastAsia="sk-SK"/>
              </w:rPr>
              <w:t>).</w:t>
            </w:r>
          </w:p>
          <w:p w14:paraId="3A0C0B57" w14:textId="77777777" w:rsidR="009D00F4" w:rsidRPr="00257FB3" w:rsidRDefault="009D00F4" w:rsidP="009D00F4">
            <w:pPr>
              <w:pStyle w:val="Textpoznmkypodiarou"/>
              <w:jc w:val="both"/>
              <w:rPr>
                <w:rFonts w:eastAsia="Calibri"/>
                <w:sz w:val="18"/>
                <w:szCs w:val="18"/>
                <w:lang w:eastAsia="sk-SK"/>
              </w:rPr>
            </w:pPr>
            <w:r>
              <w:rPr>
                <w:sz w:val="18"/>
                <w:szCs w:val="18"/>
                <w:vertAlign w:val="superscript"/>
              </w:rPr>
              <w:t>21a</w:t>
            </w:r>
            <w:r w:rsidRPr="00257FB3">
              <w:rPr>
                <w:sz w:val="18"/>
                <w:szCs w:val="18"/>
              </w:rPr>
              <w:t xml:space="preserve">) </w:t>
            </w:r>
            <w:r w:rsidRPr="00132312">
              <w:rPr>
                <w:sz w:val="18"/>
                <w:szCs w:val="18"/>
                <w:lang w:eastAsia="sk-SK"/>
              </w:rPr>
              <w:t>STN EN 590 Automobilové palivá. Motorová nafta. Požiadavky a skúšobné metódy (65 6506).</w:t>
            </w:r>
            <w:r w:rsidRPr="00257FB3">
              <w:t xml:space="preserve">  </w:t>
            </w:r>
          </w:p>
          <w:p w14:paraId="7B1BCAEA" w14:textId="77777777" w:rsidR="009D00F4" w:rsidRPr="00257FB3" w:rsidRDefault="009D00F4" w:rsidP="009D00F4">
            <w:pPr>
              <w:keepNext/>
              <w:spacing w:before="60" w:after="60"/>
              <w:jc w:val="both"/>
              <w:rPr>
                <w:sz w:val="18"/>
                <w:szCs w:val="18"/>
                <w:lang w:eastAsia="sk-SK"/>
              </w:rPr>
            </w:pPr>
            <w:r>
              <w:rPr>
                <w:sz w:val="18"/>
                <w:szCs w:val="18"/>
                <w:vertAlign w:val="superscript"/>
              </w:rPr>
              <w:t>45</w:t>
            </w:r>
            <w:r w:rsidRPr="00257FB3">
              <w:rPr>
                <w:sz w:val="18"/>
                <w:szCs w:val="18"/>
              </w:rPr>
              <w:t xml:space="preserve">) </w:t>
            </w:r>
            <w:r w:rsidRPr="0097586D">
              <w:rPr>
                <w:rFonts w:eastAsia="Calibri"/>
                <w:sz w:val="18"/>
                <w:szCs w:val="18"/>
                <w:lang w:eastAsia="sk-SK"/>
              </w:rPr>
              <w:t>Súbor STN EN ISO 4259 Ropné výrobky a príbuzné výrobky. Zhodnosť metód merania a výsledkov merania (65 6004).</w:t>
            </w:r>
          </w:p>
          <w:p w14:paraId="744469B1" w14:textId="77777777" w:rsidR="009D00F4" w:rsidRDefault="009D00F4" w:rsidP="009D00F4">
            <w:pPr>
              <w:keepNext/>
              <w:spacing w:before="60" w:after="60"/>
              <w:jc w:val="both"/>
              <w:rPr>
                <w:sz w:val="18"/>
                <w:szCs w:val="18"/>
                <w:lang w:eastAsia="sk-SK"/>
              </w:rPr>
            </w:pPr>
            <w:r>
              <w:rPr>
                <w:sz w:val="18"/>
                <w:szCs w:val="18"/>
                <w:vertAlign w:val="superscript"/>
              </w:rPr>
              <w:t>23</w:t>
            </w:r>
            <w:r w:rsidRPr="00257FB3">
              <w:rPr>
                <w:sz w:val="18"/>
                <w:szCs w:val="18"/>
              </w:rPr>
              <w:t xml:space="preserve">) </w:t>
            </w:r>
            <w:r>
              <w:rPr>
                <w:sz w:val="18"/>
                <w:szCs w:val="18"/>
                <w:lang w:eastAsia="sk-SK"/>
              </w:rPr>
              <w:t>STN EN 14214+A2</w:t>
            </w:r>
            <w:r w:rsidRPr="00257FB3">
              <w:rPr>
                <w:sz w:val="18"/>
                <w:szCs w:val="18"/>
                <w:lang w:eastAsia="sk-SK"/>
              </w:rPr>
              <w:t xml:space="preserve"> Kvapalné ropné výrobky. </w:t>
            </w:r>
            <w:proofErr w:type="spellStart"/>
            <w:r w:rsidRPr="00257FB3">
              <w:rPr>
                <w:sz w:val="18"/>
                <w:szCs w:val="18"/>
                <w:lang w:eastAsia="sk-SK"/>
              </w:rPr>
              <w:t>Metylestery</w:t>
            </w:r>
            <w:proofErr w:type="spellEnd"/>
            <w:r w:rsidRPr="00257FB3">
              <w:rPr>
                <w:sz w:val="18"/>
                <w:szCs w:val="18"/>
                <w:lang w:eastAsia="sk-SK"/>
              </w:rPr>
              <w:t xml:space="preserve"> mastných kyselín (FAME) pre vznetové motory a na vykurovanie. Požiadavky a skúšobné metódy (65 6531).</w:t>
            </w:r>
          </w:p>
          <w:p w14:paraId="7F97A0B6" w14:textId="77777777" w:rsidR="009D00F4" w:rsidRDefault="009D00F4" w:rsidP="009D00F4">
            <w:pPr>
              <w:keepNext/>
              <w:spacing w:before="60" w:after="60"/>
              <w:jc w:val="both"/>
              <w:rPr>
                <w:sz w:val="18"/>
                <w:szCs w:val="18"/>
                <w:lang w:eastAsia="sk-SK"/>
              </w:rPr>
            </w:pPr>
          </w:p>
          <w:p w14:paraId="76FD583B" w14:textId="77777777" w:rsidR="009D00F4" w:rsidRPr="00110DE3"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110DE3">
              <w:rPr>
                <w:rFonts w:ascii="Times New Roman" w:eastAsia="Times New Roman" w:hAnsi="Times New Roman" w:cs="Times New Roman"/>
                <w:color w:val="000000" w:themeColor="text1"/>
                <w:sz w:val="20"/>
                <w:szCs w:val="20"/>
                <w:lang w:eastAsia="sk-SK"/>
              </w:rPr>
              <w:t>Príloha č. 2b</w:t>
            </w:r>
          </w:p>
          <w:p w14:paraId="50E4AEEB" w14:textId="0F532206" w:rsidR="009D00F4" w:rsidRPr="00110DE3" w:rsidRDefault="009D00F4" w:rsidP="009D00F4">
            <w:pPr>
              <w:autoSpaceDE w:val="0"/>
              <w:autoSpaceDN w:val="0"/>
              <w:spacing w:after="0" w:line="240" w:lineRule="auto"/>
              <w:rPr>
                <w:rFonts w:ascii="Times New Roman" w:eastAsia="Times New Roman" w:hAnsi="Times New Roman" w:cs="Times New Roman"/>
                <w:color w:val="000000" w:themeColor="text1"/>
                <w:sz w:val="20"/>
                <w:szCs w:val="20"/>
                <w:lang w:eastAsia="sk-SK"/>
              </w:rPr>
            </w:pPr>
            <w:r w:rsidRPr="00110DE3">
              <w:rPr>
                <w:rFonts w:ascii="Times New Roman" w:eastAsia="Times New Roman" w:hAnsi="Times New Roman" w:cs="Times New Roman"/>
                <w:color w:val="000000" w:themeColor="text1"/>
                <w:sz w:val="20"/>
                <w:szCs w:val="20"/>
                <w:lang w:eastAsia="sk-SK"/>
              </w:rPr>
              <w:t xml:space="preserve">Požiadavky na kvalitu motorovej nafty s vyšším obsahom </w:t>
            </w:r>
            <w:proofErr w:type="spellStart"/>
            <w:r w:rsidRPr="00110DE3">
              <w:rPr>
                <w:rFonts w:ascii="Times New Roman" w:eastAsia="Times New Roman" w:hAnsi="Times New Roman" w:cs="Times New Roman"/>
                <w:color w:val="000000" w:themeColor="text1"/>
                <w:sz w:val="20"/>
                <w:szCs w:val="20"/>
                <w:lang w:eastAsia="sk-SK"/>
              </w:rPr>
              <w:t>metylesterov</w:t>
            </w:r>
            <w:proofErr w:type="spellEnd"/>
            <w:r w:rsidRPr="00110DE3">
              <w:rPr>
                <w:rFonts w:ascii="Times New Roman" w:eastAsia="Times New Roman" w:hAnsi="Times New Roman" w:cs="Times New Roman"/>
                <w:color w:val="000000" w:themeColor="text1"/>
                <w:sz w:val="20"/>
                <w:szCs w:val="20"/>
                <w:lang w:eastAsia="sk-SK"/>
              </w:rPr>
              <w:t xml:space="preserve"> mastných kyselín (B10)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1060"/>
              <w:gridCol w:w="1060"/>
              <w:gridCol w:w="1060"/>
            </w:tblGrid>
            <w:tr w:rsidR="009D00F4" w:rsidRPr="00257FB3" w14:paraId="44E89CE4" w14:textId="77777777" w:rsidTr="0017306B">
              <w:tc>
                <w:tcPr>
                  <w:tcW w:w="1059" w:type="dxa"/>
                  <w:vMerge w:val="restart"/>
                </w:tcPr>
                <w:p w14:paraId="7017463C" w14:textId="77777777" w:rsidR="009D00F4" w:rsidRPr="00257FB3" w:rsidRDefault="009D00F4" w:rsidP="00654418">
                  <w:pPr>
                    <w:framePr w:hSpace="141" w:wrap="around" w:hAnchor="margin" w:xAlign="center" w:y="-1415"/>
                    <w:jc w:val="center"/>
                    <w:rPr>
                      <w:sz w:val="16"/>
                      <w:szCs w:val="16"/>
                    </w:rPr>
                  </w:pPr>
                  <w:proofErr w:type="spellStart"/>
                  <w:r w:rsidRPr="00257FB3">
                    <w:rPr>
                      <w:b/>
                      <w:bCs/>
                      <w:sz w:val="16"/>
                      <w:szCs w:val="16"/>
                    </w:rPr>
                    <w:t>Parameter</w:t>
                  </w:r>
                  <w:r w:rsidRPr="00257FB3">
                    <w:rPr>
                      <w:b/>
                      <w:bCs/>
                      <w:sz w:val="16"/>
                      <w:szCs w:val="16"/>
                      <w:vertAlign w:val="superscript"/>
                    </w:rPr>
                    <w:t>a</w:t>
                  </w:r>
                  <w:proofErr w:type="spellEnd"/>
                  <w:r w:rsidRPr="00257FB3">
                    <w:rPr>
                      <w:b/>
                      <w:bCs/>
                      <w:sz w:val="16"/>
                      <w:szCs w:val="16"/>
                    </w:rPr>
                    <w:t>)</w:t>
                  </w:r>
                </w:p>
              </w:tc>
              <w:tc>
                <w:tcPr>
                  <w:tcW w:w="1060" w:type="dxa"/>
                  <w:vMerge w:val="restart"/>
                </w:tcPr>
                <w:p w14:paraId="47EE55F8" w14:textId="77777777" w:rsidR="009D00F4" w:rsidRPr="00257FB3" w:rsidRDefault="009D00F4" w:rsidP="00654418">
                  <w:pPr>
                    <w:framePr w:hSpace="141" w:wrap="around" w:hAnchor="margin" w:xAlign="center" w:y="-1415"/>
                    <w:jc w:val="center"/>
                    <w:rPr>
                      <w:sz w:val="16"/>
                      <w:szCs w:val="16"/>
                    </w:rPr>
                  </w:pPr>
                  <w:r w:rsidRPr="00257FB3">
                    <w:rPr>
                      <w:b/>
                      <w:bCs/>
                      <w:sz w:val="16"/>
                      <w:szCs w:val="16"/>
                    </w:rPr>
                    <w:t>Jednotka</w:t>
                  </w:r>
                </w:p>
              </w:tc>
              <w:tc>
                <w:tcPr>
                  <w:tcW w:w="2120" w:type="dxa"/>
                  <w:gridSpan w:val="2"/>
                </w:tcPr>
                <w:p w14:paraId="1D64F3C5" w14:textId="77777777" w:rsidR="009D00F4" w:rsidRPr="00257FB3" w:rsidRDefault="009D00F4" w:rsidP="00654418">
                  <w:pPr>
                    <w:framePr w:hSpace="141" w:wrap="around" w:hAnchor="margin" w:xAlign="center" w:y="-1415"/>
                    <w:jc w:val="center"/>
                    <w:rPr>
                      <w:sz w:val="16"/>
                      <w:szCs w:val="16"/>
                    </w:rPr>
                  </w:pPr>
                  <w:proofErr w:type="spellStart"/>
                  <w:r w:rsidRPr="00257FB3">
                    <w:rPr>
                      <w:b/>
                      <w:bCs/>
                      <w:sz w:val="16"/>
                      <w:szCs w:val="16"/>
                    </w:rPr>
                    <w:t>Limity</w:t>
                  </w:r>
                  <w:r w:rsidRPr="00257FB3">
                    <w:rPr>
                      <w:b/>
                      <w:bCs/>
                      <w:sz w:val="16"/>
                      <w:szCs w:val="16"/>
                      <w:vertAlign w:val="superscript"/>
                    </w:rPr>
                    <w:t>b</w:t>
                  </w:r>
                  <w:proofErr w:type="spellEnd"/>
                  <w:r w:rsidRPr="00257FB3">
                    <w:rPr>
                      <w:b/>
                      <w:bCs/>
                      <w:sz w:val="16"/>
                      <w:szCs w:val="16"/>
                    </w:rPr>
                    <w:t>)</w:t>
                  </w:r>
                </w:p>
              </w:tc>
            </w:tr>
            <w:tr w:rsidR="009D00F4" w:rsidRPr="00257FB3" w14:paraId="1AE7322C" w14:textId="77777777" w:rsidTr="0017306B">
              <w:tc>
                <w:tcPr>
                  <w:tcW w:w="1059" w:type="dxa"/>
                  <w:vMerge/>
                </w:tcPr>
                <w:p w14:paraId="2AD7A5E1" w14:textId="77777777" w:rsidR="009D00F4" w:rsidRPr="00257FB3" w:rsidRDefault="009D00F4" w:rsidP="00654418">
                  <w:pPr>
                    <w:framePr w:hSpace="141" w:wrap="around" w:hAnchor="margin" w:xAlign="center" w:y="-1415"/>
                    <w:jc w:val="center"/>
                    <w:rPr>
                      <w:sz w:val="16"/>
                      <w:szCs w:val="16"/>
                    </w:rPr>
                  </w:pPr>
                </w:p>
              </w:tc>
              <w:tc>
                <w:tcPr>
                  <w:tcW w:w="1060" w:type="dxa"/>
                  <w:vMerge/>
                </w:tcPr>
                <w:p w14:paraId="2E03746B" w14:textId="77777777" w:rsidR="009D00F4" w:rsidRPr="00257FB3" w:rsidRDefault="009D00F4" w:rsidP="00654418">
                  <w:pPr>
                    <w:framePr w:hSpace="141" w:wrap="around" w:hAnchor="margin" w:xAlign="center" w:y="-1415"/>
                    <w:jc w:val="center"/>
                    <w:rPr>
                      <w:sz w:val="16"/>
                      <w:szCs w:val="16"/>
                    </w:rPr>
                  </w:pPr>
                </w:p>
              </w:tc>
              <w:tc>
                <w:tcPr>
                  <w:tcW w:w="1060" w:type="dxa"/>
                </w:tcPr>
                <w:p w14:paraId="5595F1E1" w14:textId="77777777" w:rsidR="009D00F4" w:rsidRPr="00257FB3" w:rsidRDefault="009D00F4" w:rsidP="00654418">
                  <w:pPr>
                    <w:framePr w:hSpace="141" w:wrap="around" w:hAnchor="margin" w:xAlign="center" w:y="-1415"/>
                    <w:jc w:val="center"/>
                    <w:rPr>
                      <w:sz w:val="16"/>
                      <w:szCs w:val="16"/>
                    </w:rPr>
                  </w:pPr>
                  <w:r w:rsidRPr="00257FB3">
                    <w:rPr>
                      <w:b/>
                      <w:bCs/>
                      <w:sz w:val="16"/>
                      <w:szCs w:val="16"/>
                    </w:rPr>
                    <w:t>Najmenej</w:t>
                  </w:r>
                </w:p>
              </w:tc>
              <w:tc>
                <w:tcPr>
                  <w:tcW w:w="1060" w:type="dxa"/>
                </w:tcPr>
                <w:p w14:paraId="746D29BD" w14:textId="77777777" w:rsidR="009D00F4" w:rsidRPr="00257FB3" w:rsidRDefault="009D00F4" w:rsidP="00654418">
                  <w:pPr>
                    <w:framePr w:hSpace="141" w:wrap="around" w:hAnchor="margin" w:xAlign="center" w:y="-1415"/>
                    <w:jc w:val="center"/>
                    <w:rPr>
                      <w:sz w:val="16"/>
                      <w:szCs w:val="16"/>
                    </w:rPr>
                  </w:pPr>
                  <w:r w:rsidRPr="00257FB3">
                    <w:rPr>
                      <w:b/>
                      <w:bCs/>
                      <w:sz w:val="16"/>
                      <w:szCs w:val="16"/>
                    </w:rPr>
                    <w:t>Najviac</w:t>
                  </w:r>
                </w:p>
              </w:tc>
            </w:tr>
            <w:tr w:rsidR="009D00F4" w:rsidRPr="00257FB3" w14:paraId="6B9C0292" w14:textId="77777777" w:rsidTr="0017306B">
              <w:tc>
                <w:tcPr>
                  <w:tcW w:w="4239" w:type="dxa"/>
                  <w:gridSpan w:val="4"/>
                </w:tcPr>
                <w:p w14:paraId="327C74DD" w14:textId="77777777" w:rsidR="009D00F4" w:rsidRPr="00257FB3" w:rsidRDefault="009D00F4" w:rsidP="00654418">
                  <w:pPr>
                    <w:framePr w:hSpace="141" w:wrap="around" w:hAnchor="margin" w:xAlign="center" w:y="-1415"/>
                    <w:rPr>
                      <w:sz w:val="16"/>
                      <w:szCs w:val="16"/>
                    </w:rPr>
                  </w:pPr>
                  <w:r w:rsidRPr="00257FB3">
                    <w:rPr>
                      <w:b/>
                      <w:sz w:val="16"/>
                      <w:szCs w:val="16"/>
                    </w:rPr>
                    <w:t>MOTOROVÁ NAFTA</w:t>
                  </w:r>
                </w:p>
              </w:tc>
            </w:tr>
            <w:tr w:rsidR="009D00F4" w:rsidRPr="00257FB3" w14:paraId="725EAFBC" w14:textId="77777777" w:rsidTr="0017306B">
              <w:tc>
                <w:tcPr>
                  <w:tcW w:w="1059" w:type="dxa"/>
                </w:tcPr>
                <w:p w14:paraId="5B1B9565"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Cetánové</w:t>
                  </w:r>
                  <w:proofErr w:type="spellEnd"/>
                  <w:r w:rsidRPr="00257FB3">
                    <w:rPr>
                      <w:sz w:val="16"/>
                      <w:szCs w:val="16"/>
                    </w:rPr>
                    <w:t xml:space="preserve"> číslo</w:t>
                  </w:r>
                </w:p>
              </w:tc>
              <w:tc>
                <w:tcPr>
                  <w:tcW w:w="1060" w:type="dxa"/>
                </w:tcPr>
                <w:p w14:paraId="4C3F355B" w14:textId="77777777" w:rsidR="009D00F4" w:rsidRPr="00257FB3" w:rsidRDefault="009D00F4" w:rsidP="00654418">
                  <w:pPr>
                    <w:framePr w:hSpace="141" w:wrap="around" w:hAnchor="margin" w:xAlign="center" w:y="-1415"/>
                    <w:jc w:val="center"/>
                    <w:rPr>
                      <w:sz w:val="16"/>
                      <w:szCs w:val="16"/>
                    </w:rPr>
                  </w:pPr>
                </w:p>
              </w:tc>
              <w:tc>
                <w:tcPr>
                  <w:tcW w:w="1060" w:type="dxa"/>
                </w:tcPr>
                <w:p w14:paraId="2FEED2F4" w14:textId="77777777" w:rsidR="009D00F4" w:rsidRPr="00257FB3" w:rsidRDefault="009D00F4" w:rsidP="00654418">
                  <w:pPr>
                    <w:framePr w:hSpace="141" w:wrap="around" w:hAnchor="margin" w:xAlign="center" w:y="-1415"/>
                    <w:jc w:val="center"/>
                    <w:rPr>
                      <w:sz w:val="16"/>
                      <w:szCs w:val="16"/>
                    </w:rPr>
                  </w:pPr>
                  <w:r w:rsidRPr="00257FB3">
                    <w:rPr>
                      <w:sz w:val="16"/>
                      <w:szCs w:val="16"/>
                    </w:rPr>
                    <w:t>51,0</w:t>
                  </w:r>
                </w:p>
              </w:tc>
              <w:tc>
                <w:tcPr>
                  <w:tcW w:w="1060" w:type="dxa"/>
                </w:tcPr>
                <w:p w14:paraId="781FADE2" w14:textId="77777777" w:rsidR="009D00F4" w:rsidRPr="00257FB3" w:rsidRDefault="009D00F4" w:rsidP="00654418">
                  <w:pPr>
                    <w:framePr w:hSpace="141" w:wrap="around" w:hAnchor="margin" w:xAlign="center" w:y="-1415"/>
                    <w:jc w:val="center"/>
                    <w:rPr>
                      <w:sz w:val="16"/>
                      <w:szCs w:val="16"/>
                    </w:rPr>
                  </w:pPr>
                </w:p>
              </w:tc>
            </w:tr>
            <w:tr w:rsidR="009D00F4" w:rsidRPr="00257FB3" w14:paraId="32E2899B" w14:textId="77777777" w:rsidTr="0017306B">
              <w:tc>
                <w:tcPr>
                  <w:tcW w:w="1059" w:type="dxa"/>
                </w:tcPr>
                <w:p w14:paraId="3588AA38" w14:textId="77777777" w:rsidR="009D00F4" w:rsidRPr="00257FB3" w:rsidRDefault="009D00F4" w:rsidP="00654418">
                  <w:pPr>
                    <w:framePr w:hSpace="141" w:wrap="around" w:hAnchor="margin" w:xAlign="center" w:y="-1415"/>
                    <w:rPr>
                      <w:sz w:val="16"/>
                      <w:szCs w:val="16"/>
                    </w:rPr>
                  </w:pPr>
                  <w:r w:rsidRPr="00257FB3">
                    <w:rPr>
                      <w:sz w:val="16"/>
                      <w:szCs w:val="16"/>
                    </w:rPr>
                    <w:t>Hustota pri 15 °C</w:t>
                  </w:r>
                </w:p>
              </w:tc>
              <w:tc>
                <w:tcPr>
                  <w:tcW w:w="1060" w:type="dxa"/>
                </w:tcPr>
                <w:p w14:paraId="56F707F9" w14:textId="77777777" w:rsidR="009D00F4" w:rsidRPr="00257FB3" w:rsidRDefault="009D00F4" w:rsidP="00654418">
                  <w:pPr>
                    <w:framePr w:hSpace="141" w:wrap="around" w:hAnchor="margin" w:xAlign="center" w:y="-1415"/>
                    <w:jc w:val="center"/>
                    <w:rPr>
                      <w:sz w:val="16"/>
                      <w:szCs w:val="16"/>
                    </w:rPr>
                  </w:pPr>
                  <w:r w:rsidRPr="00257FB3">
                    <w:rPr>
                      <w:sz w:val="16"/>
                      <w:szCs w:val="16"/>
                    </w:rPr>
                    <w:t>kg/m</w:t>
                  </w:r>
                  <w:r w:rsidRPr="00257FB3">
                    <w:rPr>
                      <w:sz w:val="16"/>
                      <w:szCs w:val="16"/>
                      <w:vertAlign w:val="superscript"/>
                    </w:rPr>
                    <w:t>3</w:t>
                  </w:r>
                </w:p>
              </w:tc>
              <w:tc>
                <w:tcPr>
                  <w:tcW w:w="1060" w:type="dxa"/>
                </w:tcPr>
                <w:p w14:paraId="5DF9CF4B"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53926967" w14:textId="77777777" w:rsidR="009D00F4" w:rsidRPr="00257FB3" w:rsidRDefault="009D00F4" w:rsidP="00654418">
                  <w:pPr>
                    <w:framePr w:hSpace="141" w:wrap="around" w:hAnchor="margin" w:xAlign="center" w:y="-1415"/>
                    <w:jc w:val="center"/>
                    <w:rPr>
                      <w:sz w:val="16"/>
                      <w:szCs w:val="16"/>
                    </w:rPr>
                  </w:pPr>
                  <w:r w:rsidRPr="00257FB3">
                    <w:rPr>
                      <w:sz w:val="16"/>
                      <w:szCs w:val="16"/>
                    </w:rPr>
                    <w:t>845,0</w:t>
                  </w:r>
                </w:p>
              </w:tc>
            </w:tr>
            <w:tr w:rsidR="009D00F4" w:rsidRPr="00257FB3" w14:paraId="2E9DE4F5" w14:textId="77777777" w:rsidTr="0017306B">
              <w:tc>
                <w:tcPr>
                  <w:tcW w:w="1059" w:type="dxa"/>
                </w:tcPr>
                <w:p w14:paraId="37C5DC72" w14:textId="77777777" w:rsidR="009D00F4" w:rsidRPr="00257FB3" w:rsidRDefault="009D00F4" w:rsidP="00654418">
                  <w:pPr>
                    <w:framePr w:hSpace="141" w:wrap="around" w:hAnchor="margin" w:xAlign="center" w:y="-1415"/>
                    <w:rPr>
                      <w:sz w:val="16"/>
                      <w:szCs w:val="16"/>
                    </w:rPr>
                  </w:pPr>
                  <w:r w:rsidRPr="00257FB3">
                    <w:rPr>
                      <w:sz w:val="16"/>
                      <w:szCs w:val="16"/>
                    </w:rPr>
                    <w:t>Destilácia - 95 % získanej pri</w:t>
                  </w:r>
                </w:p>
              </w:tc>
              <w:tc>
                <w:tcPr>
                  <w:tcW w:w="1060" w:type="dxa"/>
                </w:tcPr>
                <w:p w14:paraId="3CA6D2C9" w14:textId="77777777" w:rsidR="009D00F4" w:rsidRPr="00257FB3" w:rsidRDefault="009D00F4" w:rsidP="00654418">
                  <w:pPr>
                    <w:framePr w:hSpace="141" w:wrap="around" w:hAnchor="margin" w:xAlign="center" w:y="-1415"/>
                    <w:jc w:val="center"/>
                    <w:rPr>
                      <w:sz w:val="16"/>
                      <w:szCs w:val="16"/>
                    </w:rPr>
                  </w:pPr>
                  <w:r w:rsidRPr="00257FB3">
                    <w:rPr>
                      <w:sz w:val="16"/>
                      <w:szCs w:val="16"/>
                    </w:rPr>
                    <w:t>°C</w:t>
                  </w:r>
                </w:p>
              </w:tc>
              <w:tc>
                <w:tcPr>
                  <w:tcW w:w="1060" w:type="dxa"/>
                </w:tcPr>
                <w:p w14:paraId="66F14CE6"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521FF243" w14:textId="77777777" w:rsidR="009D00F4" w:rsidRPr="00257FB3" w:rsidRDefault="009D00F4" w:rsidP="00654418">
                  <w:pPr>
                    <w:framePr w:hSpace="141" w:wrap="around" w:hAnchor="margin" w:xAlign="center" w:y="-1415"/>
                    <w:jc w:val="center"/>
                    <w:rPr>
                      <w:sz w:val="16"/>
                      <w:szCs w:val="16"/>
                    </w:rPr>
                  </w:pPr>
                  <w:r w:rsidRPr="00257FB3">
                    <w:rPr>
                      <w:sz w:val="16"/>
                      <w:szCs w:val="16"/>
                    </w:rPr>
                    <w:t>360,0</w:t>
                  </w:r>
                </w:p>
              </w:tc>
            </w:tr>
            <w:tr w:rsidR="009D00F4" w:rsidRPr="00257FB3" w14:paraId="21D77B0B" w14:textId="77777777" w:rsidTr="0017306B">
              <w:tc>
                <w:tcPr>
                  <w:tcW w:w="1059" w:type="dxa"/>
                </w:tcPr>
                <w:p w14:paraId="7A656511" w14:textId="77777777" w:rsidR="009D00F4" w:rsidRPr="00257FB3" w:rsidRDefault="009D00F4" w:rsidP="00654418">
                  <w:pPr>
                    <w:framePr w:hSpace="141" w:wrap="around" w:hAnchor="margin" w:xAlign="center" w:y="-1415"/>
                    <w:rPr>
                      <w:sz w:val="16"/>
                      <w:szCs w:val="16"/>
                    </w:rPr>
                  </w:pPr>
                  <w:proofErr w:type="spellStart"/>
                  <w:r w:rsidRPr="00257FB3">
                    <w:rPr>
                      <w:sz w:val="16"/>
                      <w:szCs w:val="16"/>
                    </w:rPr>
                    <w:t>Polycyklické</w:t>
                  </w:r>
                  <w:proofErr w:type="spellEnd"/>
                  <w:r w:rsidRPr="00257FB3">
                    <w:rPr>
                      <w:sz w:val="16"/>
                      <w:szCs w:val="16"/>
                    </w:rPr>
                    <w:t xml:space="preserve"> aromatické uhľovodíky</w:t>
                  </w:r>
                </w:p>
              </w:tc>
              <w:tc>
                <w:tcPr>
                  <w:tcW w:w="1060" w:type="dxa"/>
                </w:tcPr>
                <w:p w14:paraId="1EE323C1" w14:textId="77777777" w:rsidR="009D00F4" w:rsidRPr="00257FB3" w:rsidRDefault="009D00F4" w:rsidP="00654418">
                  <w:pPr>
                    <w:framePr w:hSpace="141" w:wrap="around" w:hAnchor="margin" w:xAlign="center" w:y="-1415"/>
                    <w:jc w:val="center"/>
                    <w:rPr>
                      <w:sz w:val="16"/>
                      <w:szCs w:val="16"/>
                    </w:rPr>
                  </w:pPr>
                  <w:r w:rsidRPr="00257FB3">
                    <w:rPr>
                      <w:sz w:val="16"/>
                      <w:szCs w:val="16"/>
                    </w:rPr>
                    <w:t>% hmotnosti</w:t>
                  </w:r>
                </w:p>
              </w:tc>
              <w:tc>
                <w:tcPr>
                  <w:tcW w:w="1060" w:type="dxa"/>
                </w:tcPr>
                <w:p w14:paraId="0ADF7038" w14:textId="77777777" w:rsidR="009D00F4" w:rsidRPr="00257FB3" w:rsidRDefault="009D00F4" w:rsidP="00654418">
                  <w:pPr>
                    <w:framePr w:hSpace="141" w:wrap="around" w:hAnchor="margin" w:xAlign="center" w:y="-1415"/>
                    <w:jc w:val="center"/>
                    <w:rPr>
                      <w:sz w:val="16"/>
                      <w:szCs w:val="16"/>
                    </w:rPr>
                  </w:pPr>
                </w:p>
              </w:tc>
              <w:tc>
                <w:tcPr>
                  <w:tcW w:w="1060" w:type="dxa"/>
                  <w:vAlign w:val="center"/>
                </w:tcPr>
                <w:p w14:paraId="38E0C44C" w14:textId="77777777" w:rsidR="009D00F4" w:rsidRPr="00257FB3" w:rsidRDefault="009D00F4" w:rsidP="00654418">
                  <w:pPr>
                    <w:framePr w:hSpace="141" w:wrap="around" w:hAnchor="margin" w:xAlign="center" w:y="-1415"/>
                    <w:jc w:val="center"/>
                    <w:rPr>
                      <w:sz w:val="16"/>
                      <w:szCs w:val="16"/>
                    </w:rPr>
                  </w:pPr>
                  <w:r w:rsidRPr="00257FB3">
                    <w:rPr>
                      <w:sz w:val="16"/>
                      <w:szCs w:val="16"/>
                    </w:rPr>
                    <w:t>8,0</w:t>
                  </w:r>
                </w:p>
              </w:tc>
            </w:tr>
            <w:tr w:rsidR="009D00F4" w:rsidRPr="00257FB3" w14:paraId="6B6BE47E" w14:textId="77777777" w:rsidTr="0017306B">
              <w:tc>
                <w:tcPr>
                  <w:tcW w:w="1059" w:type="dxa"/>
                </w:tcPr>
                <w:p w14:paraId="629809E5" w14:textId="77777777" w:rsidR="009D00F4" w:rsidRPr="00257FB3" w:rsidRDefault="009D00F4" w:rsidP="00654418">
                  <w:pPr>
                    <w:framePr w:hSpace="141" w:wrap="around" w:hAnchor="margin" w:xAlign="center" w:y="-1415"/>
                    <w:rPr>
                      <w:sz w:val="16"/>
                      <w:szCs w:val="16"/>
                    </w:rPr>
                  </w:pPr>
                  <w:r w:rsidRPr="00257FB3">
                    <w:rPr>
                      <w:sz w:val="16"/>
                      <w:szCs w:val="16"/>
                    </w:rPr>
                    <w:t>Obsah síry</w:t>
                  </w:r>
                </w:p>
              </w:tc>
              <w:tc>
                <w:tcPr>
                  <w:tcW w:w="1060" w:type="dxa"/>
                </w:tcPr>
                <w:p w14:paraId="7DC0792B" w14:textId="77777777" w:rsidR="009D00F4" w:rsidRPr="00257FB3" w:rsidRDefault="009D00F4" w:rsidP="00654418">
                  <w:pPr>
                    <w:framePr w:hSpace="141" w:wrap="around" w:hAnchor="margin" w:xAlign="center" w:y="-1415"/>
                    <w:jc w:val="center"/>
                    <w:rPr>
                      <w:sz w:val="16"/>
                      <w:szCs w:val="16"/>
                    </w:rPr>
                  </w:pPr>
                  <w:r w:rsidRPr="00257FB3">
                    <w:rPr>
                      <w:sz w:val="16"/>
                      <w:szCs w:val="16"/>
                    </w:rPr>
                    <w:t>mg/kg</w:t>
                  </w:r>
                </w:p>
              </w:tc>
              <w:tc>
                <w:tcPr>
                  <w:tcW w:w="1060" w:type="dxa"/>
                </w:tcPr>
                <w:p w14:paraId="5BF564CD" w14:textId="77777777" w:rsidR="009D00F4" w:rsidRPr="00257FB3" w:rsidRDefault="009D00F4" w:rsidP="00654418">
                  <w:pPr>
                    <w:framePr w:hSpace="141" w:wrap="around" w:hAnchor="margin" w:xAlign="center" w:y="-1415"/>
                    <w:jc w:val="center"/>
                    <w:rPr>
                      <w:sz w:val="16"/>
                      <w:szCs w:val="16"/>
                    </w:rPr>
                  </w:pPr>
                </w:p>
              </w:tc>
              <w:tc>
                <w:tcPr>
                  <w:tcW w:w="1060" w:type="dxa"/>
                </w:tcPr>
                <w:p w14:paraId="7028E1D0" w14:textId="77777777" w:rsidR="009D00F4" w:rsidRPr="00257FB3" w:rsidRDefault="009D00F4" w:rsidP="00654418">
                  <w:pPr>
                    <w:framePr w:hSpace="141" w:wrap="around" w:hAnchor="margin" w:xAlign="center" w:y="-1415"/>
                    <w:jc w:val="center"/>
                    <w:rPr>
                      <w:sz w:val="16"/>
                      <w:szCs w:val="16"/>
                    </w:rPr>
                  </w:pPr>
                  <w:r w:rsidRPr="00257FB3">
                    <w:rPr>
                      <w:sz w:val="16"/>
                      <w:szCs w:val="16"/>
                    </w:rPr>
                    <w:t>10,0</w:t>
                  </w:r>
                </w:p>
              </w:tc>
            </w:tr>
            <w:tr w:rsidR="009D00F4" w:rsidRPr="00257FB3" w14:paraId="7A337BBA" w14:textId="77777777" w:rsidTr="0017306B">
              <w:tc>
                <w:tcPr>
                  <w:tcW w:w="1059" w:type="dxa"/>
                </w:tcPr>
                <w:p w14:paraId="2529A066" w14:textId="77777777" w:rsidR="009D00F4" w:rsidRPr="00257FB3" w:rsidRDefault="009D00F4" w:rsidP="00654418">
                  <w:pPr>
                    <w:framePr w:hSpace="141" w:wrap="around" w:hAnchor="margin" w:xAlign="center" w:y="-1415"/>
                    <w:rPr>
                      <w:sz w:val="16"/>
                      <w:szCs w:val="16"/>
                    </w:rPr>
                  </w:pPr>
                  <w:r w:rsidRPr="00257FB3">
                    <w:rPr>
                      <w:sz w:val="16"/>
                      <w:szCs w:val="16"/>
                    </w:rPr>
                    <w:t xml:space="preserve">Obsah </w:t>
                  </w:r>
                  <w:proofErr w:type="spellStart"/>
                  <w:r w:rsidRPr="00257FB3">
                    <w:rPr>
                      <w:sz w:val="16"/>
                      <w:szCs w:val="16"/>
                    </w:rPr>
                    <w:t>metylestero</w:t>
                  </w:r>
                  <w:r w:rsidRPr="00257FB3">
                    <w:rPr>
                      <w:sz w:val="16"/>
                      <w:szCs w:val="16"/>
                    </w:rPr>
                    <w:lastRenderedPageBreak/>
                    <w:t>v</w:t>
                  </w:r>
                  <w:proofErr w:type="spellEnd"/>
                  <w:r w:rsidRPr="00257FB3">
                    <w:rPr>
                      <w:sz w:val="16"/>
                      <w:szCs w:val="16"/>
                    </w:rPr>
                    <w:t xml:space="preserve"> mastných kyselín</w:t>
                  </w:r>
                  <w:r>
                    <w:rPr>
                      <w:sz w:val="16"/>
                      <w:szCs w:val="16"/>
                      <w:vertAlign w:val="superscript"/>
                    </w:rPr>
                    <w:t>45a</w:t>
                  </w:r>
                  <w:r w:rsidRPr="00257FB3">
                    <w:rPr>
                      <w:sz w:val="16"/>
                      <w:szCs w:val="16"/>
                    </w:rPr>
                    <w:t>)</w:t>
                  </w:r>
                </w:p>
              </w:tc>
              <w:tc>
                <w:tcPr>
                  <w:tcW w:w="1060" w:type="dxa"/>
                </w:tcPr>
                <w:p w14:paraId="48FB2ED0" w14:textId="77777777" w:rsidR="009D00F4" w:rsidRPr="00257FB3" w:rsidRDefault="009D00F4" w:rsidP="00654418">
                  <w:pPr>
                    <w:framePr w:hSpace="141" w:wrap="around" w:hAnchor="margin" w:xAlign="center" w:y="-1415"/>
                    <w:jc w:val="center"/>
                    <w:rPr>
                      <w:sz w:val="16"/>
                      <w:szCs w:val="16"/>
                    </w:rPr>
                  </w:pPr>
                  <w:r w:rsidRPr="00257FB3">
                    <w:rPr>
                      <w:sz w:val="16"/>
                      <w:szCs w:val="16"/>
                    </w:rPr>
                    <w:lastRenderedPageBreak/>
                    <w:t>%</w:t>
                  </w:r>
                </w:p>
              </w:tc>
              <w:tc>
                <w:tcPr>
                  <w:tcW w:w="1060" w:type="dxa"/>
                </w:tcPr>
                <w:p w14:paraId="673FBF85" w14:textId="77777777" w:rsidR="009D00F4" w:rsidRPr="00257FB3" w:rsidRDefault="009D00F4" w:rsidP="00654418">
                  <w:pPr>
                    <w:framePr w:hSpace="141" w:wrap="around" w:hAnchor="margin" w:xAlign="center" w:y="-1415"/>
                    <w:jc w:val="center"/>
                    <w:rPr>
                      <w:sz w:val="16"/>
                      <w:szCs w:val="16"/>
                    </w:rPr>
                  </w:pPr>
                </w:p>
              </w:tc>
              <w:tc>
                <w:tcPr>
                  <w:tcW w:w="1060" w:type="dxa"/>
                </w:tcPr>
                <w:p w14:paraId="13A348FB" w14:textId="77777777" w:rsidR="009D00F4" w:rsidRPr="00257FB3" w:rsidRDefault="009D00F4" w:rsidP="00654418">
                  <w:pPr>
                    <w:framePr w:hSpace="141" w:wrap="around" w:hAnchor="margin" w:xAlign="center" w:y="-1415"/>
                    <w:jc w:val="center"/>
                    <w:rPr>
                      <w:sz w:val="16"/>
                      <w:szCs w:val="16"/>
                    </w:rPr>
                  </w:pPr>
                  <w:r>
                    <w:rPr>
                      <w:sz w:val="16"/>
                      <w:szCs w:val="16"/>
                    </w:rPr>
                    <w:t>10</w:t>
                  </w:r>
                  <w:r w:rsidRPr="00257FB3">
                    <w:rPr>
                      <w:sz w:val="16"/>
                      <w:szCs w:val="16"/>
                    </w:rPr>
                    <w:t>,0</w:t>
                  </w:r>
                  <w:r w:rsidRPr="00257FB3">
                    <w:rPr>
                      <w:sz w:val="16"/>
                      <w:szCs w:val="16"/>
                      <w:vertAlign w:val="superscript"/>
                    </w:rPr>
                    <w:t>c</w:t>
                  </w:r>
                  <w:r w:rsidRPr="00257FB3">
                    <w:rPr>
                      <w:sz w:val="16"/>
                      <w:szCs w:val="16"/>
                    </w:rPr>
                    <w:t>)</w:t>
                  </w:r>
                </w:p>
              </w:tc>
            </w:tr>
          </w:tbl>
          <w:p w14:paraId="241E97C4" w14:textId="77777777" w:rsidR="009D00F4" w:rsidRPr="00257FB3" w:rsidRDefault="009D00F4" w:rsidP="009D00F4">
            <w:pPr>
              <w:ind w:left="-180"/>
              <w:rPr>
                <w:sz w:val="16"/>
                <w:szCs w:val="16"/>
              </w:rPr>
            </w:pPr>
          </w:p>
          <w:p w14:paraId="55F95716" w14:textId="77777777" w:rsidR="009D00F4" w:rsidRPr="00257FB3" w:rsidRDefault="009D00F4" w:rsidP="009D00F4">
            <w:pPr>
              <w:ind w:left="-180"/>
              <w:rPr>
                <w:sz w:val="16"/>
                <w:szCs w:val="16"/>
              </w:rPr>
            </w:pPr>
            <w:r w:rsidRPr="00257FB3">
              <w:rPr>
                <w:sz w:val="16"/>
                <w:szCs w:val="16"/>
              </w:rPr>
              <w:t xml:space="preserve">    </w:t>
            </w:r>
            <w:r>
              <w:rPr>
                <w:sz w:val="16"/>
                <w:szCs w:val="16"/>
              </w:rPr>
              <w:t>Vysvetlivky</w:t>
            </w:r>
            <w:r w:rsidRPr="00257FB3">
              <w:rPr>
                <w:sz w:val="16"/>
                <w:szCs w:val="16"/>
              </w:rPr>
              <w:t>:</w:t>
            </w:r>
            <w:r>
              <w:rPr>
                <w:sz w:val="16"/>
                <w:szCs w:val="16"/>
              </w:rPr>
              <w:t xml:space="preserve"> </w:t>
            </w:r>
            <w:r w:rsidRPr="00257FB3">
              <w:rPr>
                <w:sz w:val="16"/>
                <w:szCs w:val="16"/>
              </w:rPr>
              <w:t xml:space="preserve">   </w:t>
            </w:r>
          </w:p>
          <w:p w14:paraId="598EB7B0" w14:textId="77777777" w:rsidR="009D00F4" w:rsidRPr="00257FB3" w:rsidRDefault="009D00F4" w:rsidP="009D00F4">
            <w:pPr>
              <w:keepNext/>
              <w:numPr>
                <w:ilvl w:val="0"/>
                <w:numId w:val="11"/>
              </w:numPr>
              <w:spacing w:before="60" w:after="60" w:line="240" w:lineRule="auto"/>
              <w:jc w:val="both"/>
              <w:rPr>
                <w:sz w:val="16"/>
                <w:szCs w:val="16"/>
              </w:rPr>
            </w:pPr>
            <w:r w:rsidRPr="00257FB3">
              <w:rPr>
                <w:sz w:val="16"/>
                <w:szCs w:val="16"/>
              </w:rPr>
              <w:t>Skúšobné metódy sú špecifikované v technickej norme</w:t>
            </w:r>
            <w:r>
              <w:rPr>
                <w:sz w:val="16"/>
                <w:szCs w:val="16"/>
                <w:vertAlign w:val="superscript"/>
              </w:rPr>
              <w:t>21b</w:t>
            </w:r>
            <w:r w:rsidRPr="00257FB3">
              <w:rPr>
                <w:sz w:val="16"/>
                <w:szCs w:val="16"/>
              </w:rPr>
              <w:t>) alebo inej obdobnej technickej špecifikácii s porovnateľnými alebo prísnejšími požiadavkami.</w:t>
            </w:r>
          </w:p>
          <w:p w14:paraId="5329CCD4" w14:textId="77777777" w:rsidR="009D00F4" w:rsidRPr="00257FB3" w:rsidRDefault="009D00F4" w:rsidP="009D00F4">
            <w:pPr>
              <w:keepNext/>
              <w:numPr>
                <w:ilvl w:val="0"/>
                <w:numId w:val="11"/>
              </w:numPr>
              <w:spacing w:before="60" w:after="60" w:line="240" w:lineRule="auto"/>
              <w:jc w:val="both"/>
              <w:rPr>
                <w:sz w:val="16"/>
                <w:szCs w:val="16"/>
              </w:rPr>
            </w:pPr>
            <w:r w:rsidRPr="00257FB3">
              <w:rPr>
                <w:sz w:val="16"/>
                <w:szCs w:val="16"/>
              </w:rPr>
              <w:t>Hodnoty uvedené v špecifikácii sú „skutočné hodnoty“. Pri stanovení ich limitných hodnôt sa použili podmienky technickej normy</w:t>
            </w:r>
            <w:r>
              <w:rPr>
                <w:sz w:val="16"/>
                <w:szCs w:val="16"/>
                <w:vertAlign w:val="superscript"/>
              </w:rPr>
              <w:t>45</w:t>
            </w:r>
            <w:r w:rsidRPr="00257FB3">
              <w:rPr>
                <w:sz w:val="16"/>
                <w:szCs w:val="16"/>
              </w:rPr>
              <w:t>) alebo inej obdobnej technickej špecifikácie s porovnateľnými alebo prísnejšími požiadavkami. Pri stanovení najnižšej hodnoty sa zohľadnil najmenší rozdiel 2R nad nulou (R = reprodukovateľnosť). Výsledky jednotlivých meraní sa interpretujú na základe kritérií uvedených v technickej norme</w:t>
            </w:r>
            <w:r>
              <w:rPr>
                <w:sz w:val="16"/>
                <w:szCs w:val="16"/>
                <w:vertAlign w:val="superscript"/>
              </w:rPr>
              <w:t>45</w:t>
            </w:r>
            <w:r w:rsidRPr="00257FB3">
              <w:rPr>
                <w:sz w:val="16"/>
                <w:szCs w:val="16"/>
              </w:rPr>
              <w:t>) alebo inej obdobnej technickej špecifikácii s porovnateľnými alebo prísnejšími požiadavkami.</w:t>
            </w:r>
          </w:p>
          <w:p w14:paraId="05A3BE75" w14:textId="77777777" w:rsidR="009D00F4" w:rsidRPr="00257FB3" w:rsidRDefault="009D00F4" w:rsidP="009D00F4">
            <w:pPr>
              <w:keepNext/>
              <w:numPr>
                <w:ilvl w:val="0"/>
                <w:numId w:val="11"/>
              </w:numPr>
              <w:spacing w:before="60" w:after="60" w:line="240" w:lineRule="auto"/>
              <w:jc w:val="both"/>
              <w:rPr>
                <w:sz w:val="20"/>
                <w:lang w:eastAsia="sk-SK"/>
              </w:rPr>
            </w:pPr>
            <w:proofErr w:type="spellStart"/>
            <w:r w:rsidRPr="00257FB3">
              <w:rPr>
                <w:sz w:val="16"/>
                <w:szCs w:val="16"/>
              </w:rPr>
              <w:t>Metylestery</w:t>
            </w:r>
            <w:proofErr w:type="spellEnd"/>
            <w:r w:rsidRPr="00257FB3">
              <w:rPr>
                <w:sz w:val="16"/>
                <w:szCs w:val="16"/>
              </w:rPr>
              <w:t xml:space="preserve"> mastných kyselín musia spĺňať technickú normu</w:t>
            </w:r>
            <w:r>
              <w:rPr>
                <w:sz w:val="16"/>
                <w:szCs w:val="16"/>
                <w:vertAlign w:val="superscript"/>
              </w:rPr>
              <w:t>23</w:t>
            </w:r>
            <w:r w:rsidRPr="00257FB3">
              <w:rPr>
                <w:sz w:val="16"/>
                <w:szCs w:val="16"/>
              </w:rPr>
              <w:t>) alebo inú obdobnú technickú špecifikáciu s porovnateľnými alebo prísnejšími požiadavkami.</w:t>
            </w:r>
            <w:r>
              <w:rPr>
                <w:sz w:val="16"/>
                <w:szCs w:val="16"/>
              </w:rPr>
              <w:t xml:space="preserve"> </w:t>
            </w:r>
          </w:p>
          <w:p w14:paraId="75CE2F05" w14:textId="77777777" w:rsidR="009D00F4" w:rsidRPr="00257FB3" w:rsidRDefault="00654418" w:rsidP="009D00F4">
            <w:pPr>
              <w:spacing w:line="240" w:lineRule="atLeast"/>
              <w:ind w:left="-44" w:firstLine="44"/>
              <w:jc w:val="both"/>
            </w:pPr>
            <w:r>
              <w:rPr>
                <w:noProof/>
              </w:rPr>
              <w:pict w14:anchorId="44744749">
                <v:shape id="_x0000_s1047" type="#_x0000_t32" style="position:absolute;left:0;text-align:left;margin-left:.1pt;margin-top:5.4pt;width:58.2pt;height:0;z-index:251686912" o:connectortype="straight"/>
              </w:pict>
            </w:r>
          </w:p>
          <w:p w14:paraId="01EECC94" w14:textId="77777777" w:rsidR="009D00F4" w:rsidRDefault="009D00F4" w:rsidP="009D00F4">
            <w:pPr>
              <w:pStyle w:val="Textpoznmkypodiarou"/>
              <w:jc w:val="both"/>
              <w:rPr>
                <w:rFonts w:eastAsia="Calibri"/>
                <w:sz w:val="18"/>
                <w:szCs w:val="18"/>
                <w:lang w:eastAsia="sk-SK"/>
              </w:rPr>
            </w:pPr>
            <w:r w:rsidRPr="00411D3B">
              <w:rPr>
                <w:rFonts w:eastAsia="Calibri"/>
                <w:sz w:val="18"/>
                <w:szCs w:val="18"/>
                <w:vertAlign w:val="superscript"/>
                <w:lang w:eastAsia="sk-SK"/>
              </w:rPr>
              <w:t>45a</w:t>
            </w:r>
            <w:r w:rsidRPr="00411D3B">
              <w:rPr>
                <w:rFonts w:eastAsia="Calibri"/>
                <w:sz w:val="18"/>
                <w:szCs w:val="18"/>
                <w:lang w:eastAsia="sk-SK"/>
              </w:rPr>
              <w:t xml:space="preserve">) STN EN 14078 Kvapalné ropné výrobky. Stanovenie obsahu </w:t>
            </w:r>
            <w:proofErr w:type="spellStart"/>
            <w:r w:rsidRPr="00411D3B">
              <w:rPr>
                <w:rFonts w:eastAsia="Calibri"/>
                <w:sz w:val="18"/>
                <w:szCs w:val="18"/>
                <w:lang w:eastAsia="sk-SK"/>
              </w:rPr>
              <w:t>metylesterov</w:t>
            </w:r>
            <w:proofErr w:type="spellEnd"/>
            <w:r w:rsidRPr="00411D3B">
              <w:rPr>
                <w:rFonts w:eastAsia="Calibri"/>
                <w:sz w:val="18"/>
                <w:szCs w:val="18"/>
                <w:lang w:eastAsia="sk-SK"/>
              </w:rPr>
              <w:t xml:space="preserve"> mastných kyselín (FAME) v stredných destilátoch. Metóda infračervenej </w:t>
            </w:r>
            <w:proofErr w:type="spellStart"/>
            <w:r w:rsidRPr="00411D3B">
              <w:rPr>
                <w:rFonts w:eastAsia="Calibri"/>
                <w:sz w:val="18"/>
                <w:szCs w:val="18"/>
                <w:lang w:eastAsia="sk-SK"/>
              </w:rPr>
              <w:t>spektrometrie</w:t>
            </w:r>
            <w:proofErr w:type="spellEnd"/>
            <w:r w:rsidRPr="00411D3B">
              <w:rPr>
                <w:rFonts w:eastAsia="Calibri"/>
                <w:sz w:val="18"/>
                <w:szCs w:val="18"/>
                <w:lang w:eastAsia="sk-SK"/>
              </w:rPr>
              <w:t xml:space="preserve"> (</w:t>
            </w:r>
            <w:hyperlink r:id="rId12" w:tgtFrame="_blank" w:history="1">
              <w:r w:rsidRPr="00411D3B">
                <w:rPr>
                  <w:rFonts w:eastAsia="Calibri"/>
                  <w:sz w:val="18"/>
                  <w:szCs w:val="18"/>
                  <w:lang w:eastAsia="sk-SK"/>
                </w:rPr>
                <w:t>65 6532</w:t>
              </w:r>
            </w:hyperlink>
            <w:r w:rsidRPr="00411D3B">
              <w:rPr>
                <w:rFonts w:eastAsia="Calibri"/>
                <w:sz w:val="18"/>
                <w:szCs w:val="18"/>
                <w:lang w:eastAsia="sk-SK"/>
              </w:rPr>
              <w:t>).</w:t>
            </w:r>
          </w:p>
          <w:p w14:paraId="412B03AF" w14:textId="77777777" w:rsidR="009D00F4" w:rsidRPr="00257FB3" w:rsidRDefault="009D00F4" w:rsidP="009D00F4">
            <w:pPr>
              <w:pStyle w:val="Textpoznmkypodiarou"/>
              <w:jc w:val="both"/>
              <w:rPr>
                <w:rFonts w:eastAsia="Calibri"/>
                <w:sz w:val="18"/>
                <w:szCs w:val="18"/>
                <w:lang w:eastAsia="sk-SK"/>
              </w:rPr>
            </w:pPr>
            <w:r>
              <w:rPr>
                <w:sz w:val="18"/>
                <w:szCs w:val="18"/>
                <w:vertAlign w:val="superscript"/>
              </w:rPr>
              <w:t>21b</w:t>
            </w:r>
            <w:r w:rsidRPr="00257FB3">
              <w:rPr>
                <w:sz w:val="18"/>
                <w:szCs w:val="18"/>
              </w:rPr>
              <w:t xml:space="preserve">) </w:t>
            </w:r>
            <w:r w:rsidRPr="00A36725">
              <w:rPr>
                <w:rFonts w:eastAsia="Calibri"/>
                <w:sz w:val="18"/>
                <w:szCs w:val="18"/>
                <w:lang w:eastAsia="sk-SK"/>
              </w:rPr>
              <w:t>STN EN 16734 Automobilové palivá. Motorová nafta B10. Požiadavky a skúšobné metódy (65 6526).</w:t>
            </w:r>
            <w:r w:rsidRPr="00257FB3">
              <w:t xml:space="preserve">  </w:t>
            </w:r>
          </w:p>
          <w:p w14:paraId="2A393A14" w14:textId="77777777" w:rsidR="009D00F4" w:rsidRPr="00257FB3" w:rsidRDefault="009D00F4" w:rsidP="009D00F4">
            <w:pPr>
              <w:keepNext/>
              <w:spacing w:before="60" w:after="60"/>
              <w:jc w:val="both"/>
              <w:rPr>
                <w:sz w:val="18"/>
                <w:szCs w:val="18"/>
                <w:lang w:eastAsia="sk-SK"/>
              </w:rPr>
            </w:pPr>
            <w:r>
              <w:rPr>
                <w:sz w:val="18"/>
                <w:szCs w:val="18"/>
                <w:vertAlign w:val="superscript"/>
              </w:rPr>
              <w:t>45</w:t>
            </w:r>
            <w:r w:rsidRPr="00257FB3">
              <w:rPr>
                <w:sz w:val="18"/>
                <w:szCs w:val="18"/>
              </w:rPr>
              <w:t xml:space="preserve">) </w:t>
            </w:r>
            <w:r w:rsidRPr="0097586D">
              <w:rPr>
                <w:rFonts w:eastAsia="Calibri"/>
                <w:sz w:val="18"/>
                <w:szCs w:val="18"/>
                <w:lang w:eastAsia="sk-SK"/>
              </w:rPr>
              <w:t>Súbor STN EN ISO 4259 Ropné výrobky a príbuzné výrobky. Zhodnosť metód merania a výsledkov merania (65 6004).</w:t>
            </w:r>
          </w:p>
          <w:p w14:paraId="320F791B" w14:textId="7075D227" w:rsidR="009D00F4" w:rsidRPr="0029105C" w:rsidRDefault="009D00F4" w:rsidP="009D00F4">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lang w:eastAsia="sk-SK"/>
              </w:rPr>
            </w:pPr>
            <w:r>
              <w:rPr>
                <w:sz w:val="18"/>
                <w:szCs w:val="18"/>
                <w:vertAlign w:val="superscript"/>
              </w:rPr>
              <w:t>23</w:t>
            </w:r>
            <w:r w:rsidRPr="00257FB3">
              <w:rPr>
                <w:sz w:val="18"/>
                <w:szCs w:val="18"/>
              </w:rPr>
              <w:t xml:space="preserve">) </w:t>
            </w:r>
            <w:r>
              <w:rPr>
                <w:sz w:val="18"/>
                <w:szCs w:val="18"/>
                <w:lang w:eastAsia="sk-SK"/>
              </w:rPr>
              <w:t>STN EN 14214+A2</w:t>
            </w:r>
            <w:r w:rsidRPr="00257FB3">
              <w:rPr>
                <w:sz w:val="18"/>
                <w:szCs w:val="18"/>
                <w:lang w:eastAsia="sk-SK"/>
              </w:rPr>
              <w:t xml:space="preserve"> Kvapalné ropné výrobky. </w:t>
            </w:r>
            <w:proofErr w:type="spellStart"/>
            <w:r w:rsidRPr="00257FB3">
              <w:rPr>
                <w:sz w:val="18"/>
                <w:szCs w:val="18"/>
                <w:lang w:eastAsia="sk-SK"/>
              </w:rPr>
              <w:t>Metylestery</w:t>
            </w:r>
            <w:proofErr w:type="spellEnd"/>
            <w:r w:rsidRPr="00257FB3">
              <w:rPr>
                <w:sz w:val="18"/>
                <w:szCs w:val="18"/>
                <w:lang w:eastAsia="sk-SK"/>
              </w:rPr>
              <w:t xml:space="preserve"> mastných kyselín (FAME) pre vznetové motory a na vykurovanie. Požiadavky a skúšobné metódy (65 6531).</w:t>
            </w:r>
          </w:p>
        </w:tc>
        <w:tc>
          <w:tcPr>
            <w:tcW w:w="849" w:type="dxa"/>
            <w:tcBorders>
              <w:top w:val="single" w:sz="4" w:space="0" w:color="auto"/>
              <w:left w:val="single" w:sz="4" w:space="0" w:color="auto"/>
              <w:bottom w:val="single" w:sz="4" w:space="0" w:color="auto"/>
              <w:right w:val="single" w:sz="4" w:space="0" w:color="auto"/>
            </w:tcBorders>
          </w:tcPr>
          <w:p w14:paraId="16A5C85E" w14:textId="4DCF7024"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lastRenderedPageBreak/>
              <w:t>Ú</w:t>
            </w:r>
          </w:p>
        </w:tc>
        <w:tc>
          <w:tcPr>
            <w:tcW w:w="1360" w:type="dxa"/>
            <w:tcBorders>
              <w:top w:val="single" w:sz="4" w:space="0" w:color="auto"/>
              <w:left w:val="single" w:sz="4" w:space="0" w:color="auto"/>
              <w:bottom w:val="single" w:sz="4" w:space="0" w:color="auto"/>
              <w:right w:val="single" w:sz="4" w:space="0" w:color="auto"/>
            </w:tcBorders>
          </w:tcPr>
          <w:p w14:paraId="71048388" w14:textId="1D93E546" w:rsidR="009D00F4" w:rsidRPr="00C91C8C"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r w:rsidRPr="00942E12">
              <w:rPr>
                <w:rFonts w:ascii="Times New Roman" w:eastAsia="Times New Roman" w:hAnsi="Times New Roman" w:cs="Times New Roman"/>
                <w:color w:val="000000" w:themeColor="text1"/>
                <w:sz w:val="20"/>
                <w:szCs w:val="20"/>
                <w:lang w:eastAsia="sk-SK"/>
              </w:rPr>
              <w:t>Bez potreby legislatívnej úpravy vyhlášky č. 251/2023 Z. z. - technické normy prebraté bez roku vydania, platí aktuálne platná daná technická norma.</w:t>
            </w:r>
          </w:p>
        </w:tc>
        <w:tc>
          <w:tcPr>
            <w:tcW w:w="1360" w:type="dxa"/>
            <w:tcBorders>
              <w:top w:val="single" w:sz="4" w:space="0" w:color="auto"/>
              <w:left w:val="single" w:sz="4" w:space="0" w:color="auto"/>
              <w:bottom w:val="single" w:sz="4" w:space="0" w:color="auto"/>
              <w:right w:val="single" w:sz="4" w:space="0" w:color="auto"/>
            </w:tcBorders>
          </w:tcPr>
          <w:p w14:paraId="5536D9E3" w14:textId="73676D5C" w:rsidR="009D00F4" w:rsidRPr="0029105C" w:rsidRDefault="009D00F4" w:rsidP="009D00F4">
            <w:pPr>
              <w:autoSpaceDE w:val="0"/>
              <w:autoSpaceDN w:val="0"/>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GP-N</w:t>
            </w:r>
          </w:p>
        </w:tc>
        <w:tc>
          <w:tcPr>
            <w:tcW w:w="1360" w:type="dxa"/>
            <w:tcBorders>
              <w:top w:val="single" w:sz="4" w:space="0" w:color="auto"/>
              <w:left w:val="single" w:sz="4" w:space="0" w:color="auto"/>
              <w:bottom w:val="single" w:sz="4" w:space="0" w:color="auto"/>
              <w:right w:val="single" w:sz="4" w:space="0" w:color="auto"/>
            </w:tcBorders>
          </w:tcPr>
          <w:p w14:paraId="3451BF71" w14:textId="77777777" w:rsidR="009D00F4" w:rsidRPr="0029105C" w:rsidRDefault="009D00F4" w:rsidP="009D00F4">
            <w:pPr>
              <w:autoSpaceDE w:val="0"/>
              <w:autoSpaceDN w:val="0"/>
              <w:spacing w:after="0" w:line="240" w:lineRule="auto"/>
              <w:jc w:val="both"/>
              <w:rPr>
                <w:rFonts w:ascii="Times New Roman" w:eastAsia="Times New Roman" w:hAnsi="Times New Roman" w:cs="Times New Roman"/>
                <w:color w:val="000000" w:themeColor="text1"/>
                <w:sz w:val="20"/>
                <w:szCs w:val="20"/>
                <w:lang w:eastAsia="sk-SK"/>
              </w:rPr>
            </w:pPr>
          </w:p>
        </w:tc>
      </w:tr>
    </w:tbl>
    <w:p w14:paraId="780C8507"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p>
    <w:p w14:paraId="0D3F45A0" w14:textId="77777777" w:rsidR="0057633B" w:rsidRPr="0057633B" w:rsidRDefault="0057633B" w:rsidP="00865A6D">
      <w:pPr>
        <w:keepNext/>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lastRenderedPageBreak/>
        <w:t>LEGENDA:</w:t>
      </w:r>
    </w:p>
    <w:tbl>
      <w:tblPr>
        <w:tblW w:w="14767" w:type="dxa"/>
        <w:tblCellMar>
          <w:left w:w="70" w:type="dxa"/>
          <w:right w:w="70" w:type="dxa"/>
        </w:tblCellMar>
        <w:tblLook w:val="0000" w:firstRow="0" w:lastRow="0" w:firstColumn="0" w:lastColumn="0" w:noHBand="0" w:noVBand="0"/>
      </w:tblPr>
      <w:tblGrid>
        <w:gridCol w:w="2262"/>
        <w:gridCol w:w="3887"/>
        <w:gridCol w:w="2262"/>
        <w:gridCol w:w="6356"/>
      </w:tblGrid>
      <w:tr w:rsidR="0057633B" w:rsidRPr="0057633B" w14:paraId="26F33016" w14:textId="77777777" w:rsidTr="00402EF0">
        <w:trPr>
          <w:trHeight w:val="2173"/>
        </w:trPr>
        <w:tc>
          <w:tcPr>
            <w:tcW w:w="2262" w:type="dxa"/>
            <w:tcBorders>
              <w:top w:val="nil"/>
              <w:left w:val="nil"/>
              <w:bottom w:val="nil"/>
              <w:right w:val="nil"/>
            </w:tcBorders>
          </w:tcPr>
          <w:p w14:paraId="65EAE874" w14:textId="77777777" w:rsidR="0057633B" w:rsidRPr="0057633B" w:rsidRDefault="0057633B" w:rsidP="0057633B">
            <w:pPr>
              <w:spacing w:after="6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V stĺpci (1):</w:t>
            </w:r>
          </w:p>
          <w:p w14:paraId="4182B8F6"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Č – článok</w:t>
            </w:r>
          </w:p>
          <w:p w14:paraId="1C4ABFFF"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O – odsek</w:t>
            </w:r>
          </w:p>
          <w:p w14:paraId="27B361C9"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V – veta</w:t>
            </w:r>
          </w:p>
          <w:p w14:paraId="5CE5F756"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P – písmeno (číslo)</w:t>
            </w:r>
          </w:p>
          <w:p w14:paraId="70EA92A7"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p>
        </w:tc>
        <w:tc>
          <w:tcPr>
            <w:tcW w:w="3887" w:type="dxa"/>
            <w:tcBorders>
              <w:top w:val="nil"/>
              <w:left w:val="nil"/>
              <w:bottom w:val="nil"/>
              <w:right w:val="nil"/>
            </w:tcBorders>
          </w:tcPr>
          <w:p w14:paraId="327BCC8D" w14:textId="77777777" w:rsidR="0057633B" w:rsidRPr="0057633B" w:rsidRDefault="0057633B" w:rsidP="0057633B">
            <w:pPr>
              <w:spacing w:after="6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V stĺpci (3):</w:t>
            </w:r>
          </w:p>
          <w:p w14:paraId="6002FA7D"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N – bežná transpozícia</w:t>
            </w:r>
          </w:p>
          <w:p w14:paraId="63E6BD5E"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O – transpozícia s možnosťou voľby</w:t>
            </w:r>
          </w:p>
          <w:p w14:paraId="7FF66A1B"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D – transpozícia podľa úvahy (dobrovoľná)</w:t>
            </w:r>
          </w:p>
          <w:p w14:paraId="7122521E"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proofErr w:type="spellStart"/>
            <w:r w:rsidRPr="0057633B">
              <w:rPr>
                <w:rFonts w:ascii="Times New Roman" w:eastAsia="Times New Roman" w:hAnsi="Times New Roman" w:cs="Times New Roman"/>
                <w:sz w:val="20"/>
                <w:szCs w:val="20"/>
                <w:lang w:eastAsia="sk-SK"/>
              </w:rPr>
              <w:t>n.a</w:t>
            </w:r>
            <w:proofErr w:type="spellEnd"/>
            <w:r w:rsidRPr="0057633B">
              <w:rPr>
                <w:rFonts w:ascii="Times New Roman" w:eastAsia="Times New Roman" w:hAnsi="Times New Roman" w:cs="Times New Roman"/>
                <w:sz w:val="20"/>
                <w:szCs w:val="20"/>
                <w:lang w:eastAsia="sk-SK"/>
              </w:rPr>
              <w:t>. – transpozícia sa neuskutočňuje</w:t>
            </w:r>
          </w:p>
        </w:tc>
        <w:tc>
          <w:tcPr>
            <w:tcW w:w="2262" w:type="dxa"/>
            <w:tcBorders>
              <w:top w:val="nil"/>
              <w:left w:val="nil"/>
              <w:bottom w:val="nil"/>
              <w:right w:val="nil"/>
            </w:tcBorders>
          </w:tcPr>
          <w:p w14:paraId="13AAE22C" w14:textId="77777777" w:rsidR="0057633B" w:rsidRPr="0057633B" w:rsidRDefault="0057633B" w:rsidP="0057633B">
            <w:pPr>
              <w:spacing w:after="6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V stĺpci (5):</w:t>
            </w:r>
          </w:p>
          <w:p w14:paraId="547335F5"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Č – článok</w:t>
            </w:r>
          </w:p>
          <w:p w14:paraId="09E4C6BC"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 – paragraf</w:t>
            </w:r>
          </w:p>
          <w:p w14:paraId="027801A5"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O – odsek</w:t>
            </w:r>
          </w:p>
          <w:p w14:paraId="4D5BE087"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V – veta</w:t>
            </w:r>
          </w:p>
          <w:p w14:paraId="0EE14A43"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P – písmeno</w:t>
            </w:r>
          </w:p>
        </w:tc>
        <w:tc>
          <w:tcPr>
            <w:tcW w:w="6356" w:type="dxa"/>
            <w:tcBorders>
              <w:top w:val="nil"/>
              <w:left w:val="nil"/>
              <w:bottom w:val="nil"/>
              <w:right w:val="nil"/>
            </w:tcBorders>
          </w:tcPr>
          <w:p w14:paraId="785DB5E2" w14:textId="77777777" w:rsidR="0057633B" w:rsidRPr="0057633B" w:rsidRDefault="0057633B" w:rsidP="0057633B">
            <w:pPr>
              <w:spacing w:after="6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V stĺpci (7):</w:t>
            </w:r>
          </w:p>
          <w:p w14:paraId="52A3D971"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Ú – úplná zhoda (ak bolo ustanovenie smernice prebraté v celom rozsahu, správne, v príslušnej forme, so zabezpečenou inštitucionálnou infraštruktúrou, s príslušnými sankciami a vo vzájomnej súvislosti)</w:t>
            </w:r>
          </w:p>
          <w:p w14:paraId="2F4D6BC3"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Č – čiastočná zhoda (ak minimálne jedna z podmienok úplnej zhody nie je splnená)</w:t>
            </w:r>
          </w:p>
          <w:p w14:paraId="79AE4EC2"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 xml:space="preserve">Ž – žiadna zhoda (ak nebola dosiahnutá ani úplná ani </w:t>
            </w:r>
            <w:proofErr w:type="spellStart"/>
            <w:r w:rsidRPr="0057633B">
              <w:rPr>
                <w:rFonts w:ascii="Times New Roman" w:eastAsia="Times New Roman" w:hAnsi="Times New Roman" w:cs="Times New Roman"/>
                <w:sz w:val="20"/>
                <w:szCs w:val="20"/>
                <w:lang w:eastAsia="sk-SK"/>
              </w:rPr>
              <w:t>čiast</w:t>
            </w:r>
            <w:proofErr w:type="spellEnd"/>
            <w:r w:rsidRPr="0057633B">
              <w:rPr>
                <w:rFonts w:ascii="Times New Roman" w:eastAsia="Times New Roman" w:hAnsi="Times New Roman" w:cs="Times New Roman"/>
                <w:sz w:val="20"/>
                <w:szCs w:val="20"/>
                <w:lang w:eastAsia="sk-SK"/>
              </w:rPr>
              <w:t>. zhoda alebo k prebratiu dôjde v budúcnosti)</w:t>
            </w:r>
          </w:p>
          <w:p w14:paraId="4F5042EF"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proofErr w:type="spellStart"/>
            <w:r w:rsidRPr="0057633B">
              <w:rPr>
                <w:rFonts w:ascii="Times New Roman" w:eastAsia="Times New Roman" w:hAnsi="Times New Roman" w:cs="Times New Roman"/>
                <w:sz w:val="20"/>
                <w:szCs w:val="20"/>
                <w:lang w:eastAsia="sk-SK"/>
              </w:rPr>
              <w:t>n.a</w:t>
            </w:r>
            <w:proofErr w:type="spellEnd"/>
            <w:r w:rsidRPr="0057633B">
              <w:rPr>
                <w:rFonts w:ascii="Times New Roman" w:eastAsia="Times New Roman" w:hAnsi="Times New Roman" w:cs="Times New Roman"/>
                <w:sz w:val="20"/>
                <w:szCs w:val="20"/>
                <w:lang w:eastAsia="sk-SK"/>
              </w:rPr>
              <w:t>. – neaplikovateľnosť (ak sa ustanovenie smernice netýka SR alebo nie je potrebné ho prebrať)</w:t>
            </w:r>
          </w:p>
        </w:tc>
      </w:tr>
    </w:tbl>
    <w:p w14:paraId="56B38645"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0"/>
          <w:szCs w:val="20"/>
          <w:lang w:eastAsia="sk-SK"/>
        </w:rPr>
      </w:pPr>
    </w:p>
    <w:p w14:paraId="54E926FA" w14:textId="77777777" w:rsidR="0057633B" w:rsidRPr="0057633B" w:rsidRDefault="0057633B" w:rsidP="0057633B">
      <w:pPr>
        <w:autoSpaceDE w:val="0"/>
        <w:autoSpaceDN w:val="0"/>
        <w:spacing w:after="0" w:line="240" w:lineRule="auto"/>
        <w:rPr>
          <w:rFonts w:ascii="Times New Roman" w:eastAsia="Times New Roman" w:hAnsi="Times New Roman" w:cs="Times New Roman"/>
          <w:sz w:val="24"/>
          <w:szCs w:val="24"/>
          <w:lang w:eastAsia="sk-SK"/>
        </w:rPr>
      </w:pPr>
    </w:p>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86"/>
        <w:gridCol w:w="13934"/>
      </w:tblGrid>
      <w:tr w:rsidR="0057633B" w:rsidRPr="0057633B" w14:paraId="70129558" w14:textId="77777777" w:rsidTr="00402EF0">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3C7328DE" w14:textId="0C683247" w:rsidR="0057633B" w:rsidRPr="0057633B" w:rsidRDefault="0057633B" w:rsidP="0057633B">
            <w:pPr>
              <w:keepNext/>
              <w:autoSpaceDE w:val="0"/>
              <w:autoSpaceDN w:val="0"/>
              <w:spacing w:before="240" w:after="60" w:line="240" w:lineRule="auto"/>
              <w:ind w:left="360"/>
              <w:outlineLvl w:val="1"/>
              <w:rPr>
                <w:rFonts w:ascii="Arial" w:eastAsia="Times New Roman" w:hAnsi="Arial" w:cs="Arial"/>
                <w:b/>
                <w:bCs/>
                <w:i/>
                <w:iCs/>
                <w:sz w:val="28"/>
                <w:szCs w:val="28"/>
                <w:lang w:eastAsia="sk-SK"/>
              </w:rPr>
            </w:pPr>
            <w:r w:rsidRPr="0057633B">
              <w:rPr>
                <w:rFonts w:ascii="Times New Roman" w:eastAsia="Times New Roman" w:hAnsi="Times New Roman" w:cs="Times New Roman"/>
                <w:sz w:val="24"/>
                <w:szCs w:val="24"/>
                <w:lang w:eastAsia="sk-SK"/>
              </w:rPr>
              <w:br w:type="page"/>
            </w:r>
            <w:r w:rsidRPr="0057633B">
              <w:rPr>
                <w:rFonts w:ascii="Arial" w:eastAsia="Times New Roman" w:hAnsi="Arial" w:cs="Arial"/>
                <w:b/>
                <w:bCs/>
                <w:i/>
                <w:iCs/>
                <w:sz w:val="28"/>
                <w:szCs w:val="28"/>
                <w:lang w:eastAsia="sk-SK"/>
              </w:rPr>
              <w:t>Zoznam všeobecne záväzných právnych predpisov preberajúcich smernicu: (uveďte číslo smernice)</w:t>
            </w:r>
          </w:p>
          <w:p w14:paraId="233948CA" w14:textId="77777777" w:rsidR="0057633B" w:rsidRPr="0057633B" w:rsidRDefault="0057633B" w:rsidP="0057633B">
            <w:pPr>
              <w:autoSpaceDE w:val="0"/>
              <w:autoSpaceDN w:val="0"/>
              <w:spacing w:after="0" w:line="240" w:lineRule="auto"/>
              <w:jc w:val="center"/>
              <w:rPr>
                <w:rFonts w:ascii="Times New Roman" w:eastAsia="Times New Roman" w:hAnsi="Times New Roman" w:cs="Times New Roman"/>
                <w:b/>
                <w:bCs/>
                <w:sz w:val="20"/>
                <w:szCs w:val="20"/>
                <w:lang w:eastAsia="sk-SK"/>
              </w:rPr>
            </w:pPr>
            <w:r w:rsidRPr="0057633B">
              <w:rPr>
                <w:rFonts w:ascii="Times New Roman" w:eastAsia="Times New Roman" w:hAnsi="Times New Roman" w:cs="Times New Roman"/>
                <w:b/>
                <w:bCs/>
                <w:sz w:val="20"/>
                <w:szCs w:val="20"/>
                <w:lang w:eastAsia="sk-SK"/>
              </w:rPr>
              <w:t>Smernica 2019/944/EU Európskeho Parlamentu a Rady z 5.6.2019 o spoločných pravidlách pre vnútorný trh s elektrinou a o zmene smernice 2012/27/EÚ</w:t>
            </w:r>
          </w:p>
          <w:p w14:paraId="754BFDB0" w14:textId="77777777" w:rsidR="0057633B" w:rsidRPr="0057633B" w:rsidRDefault="0057633B" w:rsidP="0057633B">
            <w:pPr>
              <w:keepNext/>
              <w:autoSpaceDE w:val="0"/>
              <w:autoSpaceDN w:val="0"/>
              <w:spacing w:before="240" w:after="60" w:line="240" w:lineRule="auto"/>
              <w:ind w:left="360"/>
              <w:jc w:val="center"/>
              <w:outlineLvl w:val="2"/>
              <w:rPr>
                <w:rFonts w:ascii="Times New Roman" w:eastAsia="Times New Roman" w:hAnsi="Times New Roman" w:cs="Times New Roman"/>
                <w:b/>
                <w:bCs/>
                <w:sz w:val="20"/>
                <w:szCs w:val="20"/>
                <w:lang w:eastAsia="sk-SK"/>
              </w:rPr>
            </w:pPr>
          </w:p>
        </w:tc>
      </w:tr>
      <w:tr w:rsidR="0057633B" w:rsidRPr="0057633B" w14:paraId="0433A63D" w14:textId="77777777" w:rsidTr="00273926">
        <w:trPr>
          <w:cantSplit/>
        </w:trPr>
        <w:tc>
          <w:tcPr>
            <w:tcW w:w="1186" w:type="dxa"/>
            <w:tcBorders>
              <w:top w:val="single" w:sz="4" w:space="0" w:color="auto"/>
              <w:left w:val="single" w:sz="12" w:space="0" w:color="auto"/>
              <w:bottom w:val="single" w:sz="4" w:space="0" w:color="auto"/>
              <w:right w:val="single" w:sz="4" w:space="0" w:color="auto"/>
            </w:tcBorders>
            <w:vAlign w:val="center"/>
          </w:tcPr>
          <w:p w14:paraId="6141875E" w14:textId="77777777" w:rsidR="0057633B" w:rsidRPr="0057633B" w:rsidRDefault="0057633B" w:rsidP="00031B0D">
            <w:pPr>
              <w:autoSpaceDE w:val="0"/>
              <w:autoSpaceDN w:val="0"/>
              <w:spacing w:before="120" w:after="0" w:line="240" w:lineRule="auto"/>
              <w:jc w:val="center"/>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Por. č.</w:t>
            </w:r>
          </w:p>
        </w:tc>
        <w:tc>
          <w:tcPr>
            <w:tcW w:w="13934" w:type="dxa"/>
            <w:tcBorders>
              <w:top w:val="single" w:sz="4" w:space="0" w:color="auto"/>
              <w:left w:val="single" w:sz="4" w:space="0" w:color="auto"/>
              <w:bottom w:val="single" w:sz="4" w:space="0" w:color="auto"/>
              <w:right w:val="single" w:sz="12" w:space="0" w:color="auto"/>
            </w:tcBorders>
            <w:vAlign w:val="center"/>
          </w:tcPr>
          <w:p w14:paraId="3B2FA98D" w14:textId="17A1C98C" w:rsidR="0057633B" w:rsidRPr="0057633B" w:rsidRDefault="0057633B" w:rsidP="00273926">
            <w:pPr>
              <w:spacing w:after="0" w:line="240" w:lineRule="auto"/>
              <w:outlineLvl w:val="0"/>
              <w:rPr>
                <w:rFonts w:ascii="Times New Roman" w:eastAsia="Times New Roman" w:hAnsi="Times New Roman" w:cs="Times New Roman"/>
                <w:sz w:val="20"/>
                <w:szCs w:val="20"/>
                <w:lang w:eastAsia="sk-SK"/>
              </w:rPr>
            </w:pPr>
            <w:r w:rsidRPr="0057633B">
              <w:rPr>
                <w:rFonts w:ascii="Times New Roman" w:eastAsia="Times New Roman" w:hAnsi="Times New Roman" w:cs="Times New Roman"/>
                <w:bCs/>
                <w:noProof/>
                <w:sz w:val="20"/>
                <w:szCs w:val="20"/>
                <w:lang w:eastAsia="sk-SK"/>
              </w:rPr>
              <w:t>Názov predpisu:</w:t>
            </w:r>
          </w:p>
        </w:tc>
      </w:tr>
      <w:tr w:rsidR="0057633B" w:rsidRPr="0057633B" w14:paraId="21E0A737" w14:textId="77777777" w:rsidTr="00402EF0">
        <w:trPr>
          <w:cantSplit/>
        </w:trPr>
        <w:tc>
          <w:tcPr>
            <w:tcW w:w="1186" w:type="dxa"/>
            <w:tcBorders>
              <w:top w:val="single" w:sz="4" w:space="0" w:color="auto"/>
              <w:left w:val="single" w:sz="12" w:space="0" w:color="auto"/>
              <w:bottom w:val="single" w:sz="4" w:space="0" w:color="auto"/>
              <w:right w:val="single" w:sz="4" w:space="0" w:color="auto"/>
            </w:tcBorders>
          </w:tcPr>
          <w:p w14:paraId="0135CBF0" w14:textId="77777777" w:rsidR="0057633B" w:rsidRPr="0057633B" w:rsidRDefault="0057633B" w:rsidP="0057633B">
            <w:pPr>
              <w:autoSpaceDE w:val="0"/>
              <w:autoSpaceDN w:val="0"/>
              <w:spacing w:after="0" w:line="240" w:lineRule="auto"/>
              <w:ind w:left="360"/>
              <w:jc w:val="center"/>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1.</w:t>
            </w:r>
          </w:p>
        </w:tc>
        <w:tc>
          <w:tcPr>
            <w:tcW w:w="13934" w:type="dxa"/>
            <w:tcBorders>
              <w:top w:val="single" w:sz="4" w:space="0" w:color="auto"/>
              <w:left w:val="single" w:sz="4" w:space="0" w:color="auto"/>
              <w:bottom w:val="single" w:sz="4" w:space="0" w:color="auto"/>
              <w:right w:val="single" w:sz="12" w:space="0" w:color="auto"/>
            </w:tcBorders>
          </w:tcPr>
          <w:p w14:paraId="7D907026" w14:textId="34BDAF4A" w:rsidR="0057633B" w:rsidRPr="0057633B" w:rsidRDefault="0057633B" w:rsidP="00031B0D">
            <w:pPr>
              <w:autoSpaceDE w:val="0"/>
              <w:autoSpaceDN w:val="0"/>
              <w:spacing w:after="0" w:line="240" w:lineRule="auto"/>
              <w:jc w:val="both"/>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Zákon č. 251/2012 Z. z. o energetike a o zmene a doplnení niektorých predpisov</w:t>
            </w:r>
          </w:p>
        </w:tc>
      </w:tr>
      <w:tr w:rsidR="0057633B" w:rsidRPr="0057633B" w14:paraId="145479AA" w14:textId="77777777" w:rsidTr="00402EF0">
        <w:trPr>
          <w:cantSplit/>
        </w:trPr>
        <w:tc>
          <w:tcPr>
            <w:tcW w:w="1186" w:type="dxa"/>
            <w:tcBorders>
              <w:top w:val="single" w:sz="4" w:space="0" w:color="auto"/>
              <w:left w:val="single" w:sz="12" w:space="0" w:color="auto"/>
              <w:bottom w:val="single" w:sz="4" w:space="0" w:color="auto"/>
              <w:right w:val="single" w:sz="4" w:space="0" w:color="auto"/>
            </w:tcBorders>
          </w:tcPr>
          <w:p w14:paraId="1F75A9DD" w14:textId="6BFA82E5" w:rsidR="0057633B" w:rsidRPr="0057633B" w:rsidRDefault="008B59FA" w:rsidP="0057633B">
            <w:pPr>
              <w:autoSpaceDE w:val="0"/>
              <w:autoSpaceDN w:val="0"/>
              <w:spacing w:after="0" w:line="240" w:lineRule="auto"/>
              <w:ind w:left="36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w:t>
            </w:r>
            <w:r w:rsidR="0057633B" w:rsidRPr="0057633B">
              <w:rPr>
                <w:rFonts w:ascii="Times New Roman" w:eastAsia="Times New Roman" w:hAnsi="Times New Roman" w:cs="Times New Roman"/>
                <w:sz w:val="20"/>
                <w:szCs w:val="20"/>
                <w:lang w:eastAsia="sk-SK"/>
              </w:rPr>
              <w:t>.</w:t>
            </w:r>
          </w:p>
        </w:tc>
        <w:tc>
          <w:tcPr>
            <w:tcW w:w="13934" w:type="dxa"/>
            <w:tcBorders>
              <w:top w:val="single" w:sz="4" w:space="0" w:color="auto"/>
              <w:left w:val="single" w:sz="4" w:space="0" w:color="auto"/>
              <w:bottom w:val="single" w:sz="4" w:space="0" w:color="auto"/>
              <w:right w:val="single" w:sz="12" w:space="0" w:color="auto"/>
            </w:tcBorders>
          </w:tcPr>
          <w:p w14:paraId="081B3036" w14:textId="77777777" w:rsidR="0057633B" w:rsidRPr="0057633B" w:rsidRDefault="0057633B" w:rsidP="0057633B">
            <w:pPr>
              <w:autoSpaceDE w:val="0"/>
              <w:autoSpaceDN w:val="0"/>
              <w:spacing w:after="0" w:line="240" w:lineRule="auto"/>
              <w:jc w:val="both"/>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Zákon č. 309/2009 Z. z. o podpore obnoviteľných zdrojov energie a vysoko účinnej kombinovanej výroby a o zmene a doplnení niektorých zákonov</w:t>
            </w:r>
          </w:p>
        </w:tc>
      </w:tr>
      <w:tr w:rsidR="0057633B" w:rsidRPr="0057633B" w14:paraId="19730DD7" w14:textId="77777777" w:rsidTr="00402EF0">
        <w:trPr>
          <w:cantSplit/>
        </w:trPr>
        <w:tc>
          <w:tcPr>
            <w:tcW w:w="1186" w:type="dxa"/>
            <w:tcBorders>
              <w:top w:val="single" w:sz="4" w:space="0" w:color="auto"/>
              <w:left w:val="single" w:sz="12" w:space="0" w:color="auto"/>
              <w:bottom w:val="single" w:sz="4" w:space="0" w:color="auto"/>
              <w:right w:val="single" w:sz="4" w:space="0" w:color="auto"/>
            </w:tcBorders>
          </w:tcPr>
          <w:p w14:paraId="0F9ABB3F" w14:textId="047C834E" w:rsidR="0057633B" w:rsidRPr="0057633B" w:rsidRDefault="008B59FA" w:rsidP="0057633B">
            <w:pPr>
              <w:autoSpaceDE w:val="0"/>
              <w:autoSpaceDN w:val="0"/>
              <w:spacing w:after="0" w:line="240" w:lineRule="auto"/>
              <w:ind w:left="36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w:t>
            </w:r>
            <w:r w:rsidR="0057633B" w:rsidRPr="0057633B">
              <w:rPr>
                <w:rFonts w:ascii="Times New Roman" w:eastAsia="Times New Roman" w:hAnsi="Times New Roman" w:cs="Times New Roman"/>
                <w:sz w:val="20"/>
                <w:szCs w:val="20"/>
                <w:lang w:eastAsia="sk-SK"/>
              </w:rPr>
              <w:t>.</w:t>
            </w:r>
          </w:p>
        </w:tc>
        <w:tc>
          <w:tcPr>
            <w:tcW w:w="13934" w:type="dxa"/>
            <w:tcBorders>
              <w:top w:val="single" w:sz="4" w:space="0" w:color="auto"/>
              <w:left w:val="single" w:sz="4" w:space="0" w:color="auto"/>
              <w:bottom w:val="single" w:sz="4" w:space="0" w:color="auto"/>
              <w:right w:val="single" w:sz="12" w:space="0" w:color="auto"/>
            </w:tcBorders>
          </w:tcPr>
          <w:p w14:paraId="56C34121" w14:textId="77777777" w:rsidR="0057633B" w:rsidRPr="0057633B" w:rsidRDefault="0057633B" w:rsidP="0057633B">
            <w:pPr>
              <w:autoSpaceDE w:val="0"/>
              <w:autoSpaceDN w:val="0"/>
              <w:spacing w:after="0" w:line="240" w:lineRule="auto"/>
              <w:jc w:val="both"/>
              <w:rPr>
                <w:rFonts w:ascii="Times New Roman" w:eastAsia="Times New Roman" w:hAnsi="Times New Roman" w:cs="Times New Roman"/>
                <w:sz w:val="20"/>
                <w:szCs w:val="20"/>
                <w:lang w:eastAsia="sk-SK"/>
              </w:rPr>
            </w:pPr>
            <w:r w:rsidRPr="0057633B">
              <w:rPr>
                <w:rFonts w:ascii="Times New Roman" w:eastAsia="Times New Roman" w:hAnsi="Times New Roman" w:cs="Times New Roman"/>
                <w:sz w:val="20"/>
                <w:szCs w:val="20"/>
                <w:lang w:eastAsia="sk-SK"/>
              </w:rPr>
              <w:t>Zákon č. 657/2004 Z. z. o tepelnej energetike a o zmene a doplnení niektorých zákonov</w:t>
            </w:r>
          </w:p>
        </w:tc>
      </w:tr>
      <w:tr w:rsidR="002E0DAB" w:rsidRPr="0057633B" w14:paraId="233EB7D5" w14:textId="77777777" w:rsidTr="00402EF0">
        <w:trPr>
          <w:cantSplit/>
        </w:trPr>
        <w:tc>
          <w:tcPr>
            <w:tcW w:w="1186" w:type="dxa"/>
            <w:tcBorders>
              <w:top w:val="single" w:sz="4" w:space="0" w:color="auto"/>
              <w:left w:val="single" w:sz="12" w:space="0" w:color="auto"/>
              <w:bottom w:val="single" w:sz="4" w:space="0" w:color="auto"/>
              <w:right w:val="single" w:sz="4" w:space="0" w:color="auto"/>
            </w:tcBorders>
          </w:tcPr>
          <w:p w14:paraId="337FD389" w14:textId="640D8B32" w:rsidR="002E0DAB" w:rsidRDefault="00F06E3C" w:rsidP="0057633B">
            <w:pPr>
              <w:autoSpaceDE w:val="0"/>
              <w:autoSpaceDN w:val="0"/>
              <w:spacing w:after="0" w:line="240" w:lineRule="auto"/>
              <w:ind w:left="36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w:t>
            </w:r>
            <w:r w:rsidR="002E0DAB">
              <w:rPr>
                <w:rFonts w:ascii="Times New Roman" w:eastAsia="Times New Roman" w:hAnsi="Times New Roman" w:cs="Times New Roman"/>
                <w:sz w:val="20"/>
                <w:szCs w:val="20"/>
                <w:lang w:eastAsia="sk-SK"/>
              </w:rPr>
              <w:t>.</w:t>
            </w:r>
          </w:p>
        </w:tc>
        <w:tc>
          <w:tcPr>
            <w:tcW w:w="13934" w:type="dxa"/>
            <w:tcBorders>
              <w:top w:val="single" w:sz="4" w:space="0" w:color="auto"/>
              <w:left w:val="single" w:sz="4" w:space="0" w:color="auto"/>
              <w:bottom w:val="single" w:sz="4" w:space="0" w:color="auto"/>
              <w:right w:val="single" w:sz="12" w:space="0" w:color="auto"/>
            </w:tcBorders>
          </w:tcPr>
          <w:p w14:paraId="49E2F786" w14:textId="55665C77" w:rsidR="002E0DAB" w:rsidRPr="0057633B" w:rsidRDefault="002E0DAB" w:rsidP="002E0DAB">
            <w:pPr>
              <w:autoSpaceDE w:val="0"/>
              <w:autoSpaceDN w:val="0"/>
              <w:spacing w:after="0" w:line="240" w:lineRule="auto"/>
              <w:jc w:val="both"/>
              <w:rPr>
                <w:rFonts w:ascii="Times New Roman" w:eastAsia="Times New Roman" w:hAnsi="Times New Roman" w:cs="Times New Roman"/>
                <w:sz w:val="20"/>
                <w:szCs w:val="20"/>
                <w:lang w:eastAsia="sk-SK"/>
              </w:rPr>
            </w:pPr>
            <w:r w:rsidRPr="002E0DAB">
              <w:rPr>
                <w:rFonts w:ascii="Times New Roman" w:eastAsia="Times New Roman" w:hAnsi="Times New Roman" w:cs="Times New Roman"/>
                <w:sz w:val="20"/>
                <w:szCs w:val="20"/>
                <w:lang w:eastAsia="sk-SK"/>
              </w:rPr>
              <w:t>Návrh vyhlášky Ministerstva životného prostredia SR , ktorou sa ustanovujú kritériá trvalej udržateľnosti</w:t>
            </w:r>
          </w:p>
        </w:tc>
      </w:tr>
      <w:tr w:rsidR="002E0DAB" w:rsidRPr="0057633B" w14:paraId="048E7C45" w14:textId="77777777" w:rsidTr="00402EF0">
        <w:trPr>
          <w:cantSplit/>
        </w:trPr>
        <w:tc>
          <w:tcPr>
            <w:tcW w:w="1186" w:type="dxa"/>
            <w:tcBorders>
              <w:top w:val="single" w:sz="4" w:space="0" w:color="auto"/>
              <w:left w:val="single" w:sz="12" w:space="0" w:color="auto"/>
              <w:bottom w:val="single" w:sz="4" w:space="0" w:color="auto"/>
              <w:right w:val="single" w:sz="4" w:space="0" w:color="auto"/>
            </w:tcBorders>
          </w:tcPr>
          <w:p w14:paraId="656549ED" w14:textId="2C285511" w:rsidR="002E0DAB" w:rsidRDefault="00F06E3C" w:rsidP="0057633B">
            <w:pPr>
              <w:autoSpaceDE w:val="0"/>
              <w:autoSpaceDN w:val="0"/>
              <w:spacing w:after="0" w:line="240" w:lineRule="auto"/>
              <w:ind w:left="360"/>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w:t>
            </w:r>
            <w:r w:rsidR="002E0DAB">
              <w:rPr>
                <w:rFonts w:ascii="Times New Roman" w:eastAsia="Times New Roman" w:hAnsi="Times New Roman" w:cs="Times New Roman"/>
                <w:sz w:val="20"/>
                <w:szCs w:val="20"/>
                <w:lang w:eastAsia="sk-SK"/>
              </w:rPr>
              <w:t>.</w:t>
            </w:r>
          </w:p>
        </w:tc>
        <w:tc>
          <w:tcPr>
            <w:tcW w:w="13934" w:type="dxa"/>
            <w:tcBorders>
              <w:top w:val="single" w:sz="4" w:space="0" w:color="auto"/>
              <w:left w:val="single" w:sz="4" w:space="0" w:color="auto"/>
              <w:bottom w:val="single" w:sz="4" w:space="0" w:color="auto"/>
              <w:right w:val="single" w:sz="12" w:space="0" w:color="auto"/>
            </w:tcBorders>
          </w:tcPr>
          <w:p w14:paraId="79D1E6C1" w14:textId="31062FD9" w:rsidR="002E0DAB" w:rsidRPr="0057633B" w:rsidRDefault="002E0DAB" w:rsidP="002E0DAB">
            <w:pPr>
              <w:autoSpaceDE w:val="0"/>
              <w:autoSpaceDN w:val="0"/>
              <w:spacing w:after="0" w:line="240" w:lineRule="auto"/>
              <w:jc w:val="both"/>
              <w:rPr>
                <w:rFonts w:ascii="Times New Roman" w:eastAsia="Times New Roman" w:hAnsi="Times New Roman" w:cs="Times New Roman"/>
                <w:sz w:val="20"/>
                <w:szCs w:val="20"/>
                <w:lang w:eastAsia="sk-SK"/>
              </w:rPr>
            </w:pPr>
            <w:r w:rsidRPr="002E0DAB">
              <w:rPr>
                <w:rFonts w:ascii="Times New Roman" w:eastAsia="Times New Roman" w:hAnsi="Times New Roman" w:cs="Times New Roman"/>
                <w:sz w:val="20"/>
                <w:szCs w:val="20"/>
                <w:lang w:eastAsia="sk-SK"/>
              </w:rPr>
              <w:t>Návrh vyhlášky Ministerstva životného prostredia Slovenskej republiky, ktorou sa mení a dopĺňa vyhláška Ministerstva životného prostredia Slovenskej republiky č. 251/2023 Z. z. o kvalite palív</w:t>
            </w:r>
          </w:p>
        </w:tc>
      </w:tr>
    </w:tbl>
    <w:p w14:paraId="07610692" w14:textId="77777777" w:rsidR="008F37A0" w:rsidRDefault="008F37A0"/>
    <w:sectPr w:rsidR="008F37A0" w:rsidSect="0057633B">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7508ED" w16cex:dateUtc="2025-03-02T16:03:00Z"/>
  <w16cex:commentExtensible w16cex:durableId="01801E0A" w16cex:dateUtc="2025-03-02T16:05:00Z"/>
  <w16cex:commentExtensible w16cex:durableId="2CB36B61" w16cex:dateUtc="2025-03-02T16:30:00Z"/>
  <w16cex:commentExtensible w16cex:durableId="5E4BD55A" w16cex:dateUtc="2025-03-02T16:45:00Z"/>
  <w16cex:commentExtensible w16cex:durableId="1C5DF771" w16cex:dateUtc="2025-03-02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31075F" w16cid:durableId="2E7508ED"/>
  <w16cid:commentId w16cid:paraId="4FC4023B" w16cid:durableId="01801E0A"/>
  <w16cid:commentId w16cid:paraId="74A9920F" w16cid:durableId="2CB36B61"/>
  <w16cid:commentId w16cid:paraId="713310D2" w16cid:durableId="5E4BD55A"/>
  <w16cid:commentId w16cid:paraId="262AED15" w16cid:durableId="1C5DF7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ira Sans">
    <w:altName w:val="Arial"/>
    <w:charset w:val="00"/>
    <w:family w:val="swiss"/>
    <w:pitch w:val="variable"/>
    <w:sig w:usb0="600002FF"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cs="Times New Roman" w:hint="default"/>
        <w:b w:val="0"/>
        <w:i w:val="0"/>
        <w:sz w:val="22"/>
      </w:rPr>
    </w:lvl>
  </w:abstractNum>
  <w:abstractNum w:abstractNumId="1" w15:restartNumberingAfterBreak="0">
    <w:nsid w:val="134445CE"/>
    <w:multiLevelType w:val="hybridMultilevel"/>
    <w:tmpl w:val="3F54E80C"/>
    <w:lvl w:ilvl="0" w:tplc="041B000F">
      <w:start w:val="1"/>
      <w:numFmt w:val="decimal"/>
      <w:lvlText w:val="%1."/>
      <w:lvlJc w:val="left"/>
      <w:pPr>
        <w:tabs>
          <w:tab w:val="num" w:pos="720"/>
        </w:tabs>
        <w:ind w:left="720" w:hanging="360"/>
      </w:pPr>
      <w:rPr>
        <w:rFonts w:hint="default"/>
      </w:rPr>
    </w:lvl>
    <w:lvl w:ilvl="1" w:tplc="FF2E4292">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 w15:restartNumberingAfterBreak="0">
    <w:nsid w:val="20A764DF"/>
    <w:multiLevelType w:val="hybridMultilevel"/>
    <w:tmpl w:val="FB0E10BE"/>
    <w:lvl w:ilvl="0" w:tplc="5F0E0CCC">
      <w:start w:val="1"/>
      <w:numFmt w:val="lowerLetter"/>
      <w:lvlText w:val="%1)"/>
      <w:lvlJc w:val="left"/>
      <w:pPr>
        <w:tabs>
          <w:tab w:val="num" w:pos="360"/>
        </w:tabs>
        <w:ind w:left="36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4D6EDC"/>
    <w:multiLevelType w:val="hybridMultilevel"/>
    <w:tmpl w:val="CEB6D07A"/>
    <w:lvl w:ilvl="0" w:tplc="6D1A0E82">
      <w:start w:val="1"/>
      <w:numFmt w:val="lowerLetter"/>
      <w:lvlText w:val="%1)"/>
      <w:lvlJc w:val="left"/>
      <w:pPr>
        <w:tabs>
          <w:tab w:val="num" w:pos="360"/>
        </w:tabs>
        <w:ind w:left="360" w:hanging="360"/>
      </w:pPr>
      <w:rPr>
        <w:sz w:val="16"/>
        <w:szCs w:val="16"/>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4B4A1E32"/>
    <w:multiLevelType w:val="hybridMultilevel"/>
    <w:tmpl w:val="1A082BDC"/>
    <w:lvl w:ilvl="0" w:tplc="4002033C">
      <w:start w:val="1"/>
      <w:numFmt w:val="lowerLetter"/>
      <w:lvlText w:val="%1)"/>
      <w:lvlJc w:val="left"/>
      <w:pPr>
        <w:tabs>
          <w:tab w:val="num" w:pos="360"/>
        </w:tabs>
        <w:ind w:left="36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0D6322"/>
    <w:multiLevelType w:val="hybridMultilevel"/>
    <w:tmpl w:val="CFE40500"/>
    <w:lvl w:ilvl="0" w:tplc="E8DCDC72">
      <w:start w:val="1"/>
      <w:numFmt w:val="lowerLetter"/>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8B47C95"/>
    <w:multiLevelType w:val="hybridMultilevel"/>
    <w:tmpl w:val="5A16646C"/>
    <w:lvl w:ilvl="0" w:tplc="FF2E4292">
      <w:start w:val="1"/>
      <w:numFmt w:val="lowerLetter"/>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B544620"/>
    <w:multiLevelType w:val="hybridMultilevel"/>
    <w:tmpl w:val="5FAE0AB8"/>
    <w:lvl w:ilvl="0" w:tplc="8A78A290">
      <w:start w:val="1"/>
      <w:numFmt w:val="lowerLetter"/>
      <w:lvlText w:val="%1)"/>
      <w:lvlJc w:val="left"/>
      <w:pPr>
        <w:tabs>
          <w:tab w:val="num" w:pos="360"/>
        </w:tabs>
        <w:ind w:left="360" w:hanging="360"/>
      </w:pPr>
      <w:rPr>
        <w:sz w:val="16"/>
        <w:szCs w:val="16"/>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780D4B4D"/>
    <w:multiLevelType w:val="hybridMultilevel"/>
    <w:tmpl w:val="5FAE0AB8"/>
    <w:lvl w:ilvl="0" w:tplc="8A78A290">
      <w:start w:val="1"/>
      <w:numFmt w:val="lowerLetter"/>
      <w:lvlText w:val="%1)"/>
      <w:lvlJc w:val="left"/>
      <w:pPr>
        <w:tabs>
          <w:tab w:val="num" w:pos="360"/>
        </w:tabs>
        <w:ind w:left="360" w:hanging="360"/>
      </w:pPr>
      <w:rPr>
        <w:sz w:val="16"/>
        <w:szCs w:val="16"/>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7C4403D5"/>
    <w:multiLevelType w:val="hybridMultilevel"/>
    <w:tmpl w:val="E25457DE"/>
    <w:lvl w:ilvl="0" w:tplc="5AD88C06">
      <w:start w:val="1"/>
      <w:numFmt w:val="lowerLetter"/>
      <w:lvlText w:val="%1)"/>
      <w:lvlJc w:val="left"/>
      <w:pPr>
        <w:tabs>
          <w:tab w:val="num" w:pos="360"/>
        </w:tabs>
        <w:ind w:left="360" w:hanging="360"/>
      </w:pPr>
      <w:rPr>
        <w:sz w:val="16"/>
        <w:szCs w:val="16"/>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7"/>
  </w:num>
  <w:num w:numId="5">
    <w:abstractNumId w:val="6"/>
  </w:num>
  <w:num w:numId="6">
    <w:abstractNumId w:val="9"/>
  </w:num>
  <w:num w:numId="7">
    <w:abstractNumId w:val="10"/>
  </w:num>
  <w:num w:numId="8">
    <w:abstractNumId w:val="3"/>
  </w:num>
  <w:num w:numId="9">
    <w:abstractNumId w:val="4"/>
  </w:num>
  <w:num w:numId="10">
    <w:abstractNumId w:val="5"/>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2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33B"/>
    <w:rsid w:val="000018E8"/>
    <w:rsid w:val="00031B0D"/>
    <w:rsid w:val="00042AF7"/>
    <w:rsid w:val="00046617"/>
    <w:rsid w:val="00053703"/>
    <w:rsid w:val="00095212"/>
    <w:rsid w:val="000C238B"/>
    <w:rsid w:val="000C303C"/>
    <w:rsid w:val="000D2990"/>
    <w:rsid w:val="000F193F"/>
    <w:rsid w:val="000F3733"/>
    <w:rsid w:val="000F60BF"/>
    <w:rsid w:val="00106DF1"/>
    <w:rsid w:val="00110DE3"/>
    <w:rsid w:val="00115401"/>
    <w:rsid w:val="00134F4C"/>
    <w:rsid w:val="00142430"/>
    <w:rsid w:val="00151553"/>
    <w:rsid w:val="0015235F"/>
    <w:rsid w:val="001523BA"/>
    <w:rsid w:val="0017014A"/>
    <w:rsid w:val="0017306B"/>
    <w:rsid w:val="00182392"/>
    <w:rsid w:val="00184A7D"/>
    <w:rsid w:val="0019394E"/>
    <w:rsid w:val="001945DE"/>
    <w:rsid w:val="001D39C1"/>
    <w:rsid w:val="001D788D"/>
    <w:rsid w:val="0020537D"/>
    <w:rsid w:val="0023046E"/>
    <w:rsid w:val="002342BF"/>
    <w:rsid w:val="0025686F"/>
    <w:rsid w:val="00273926"/>
    <w:rsid w:val="0029105C"/>
    <w:rsid w:val="002C4A26"/>
    <w:rsid w:val="002E02F3"/>
    <w:rsid w:val="002E0DAB"/>
    <w:rsid w:val="002F314A"/>
    <w:rsid w:val="0035168A"/>
    <w:rsid w:val="003C6A3D"/>
    <w:rsid w:val="003E0D5F"/>
    <w:rsid w:val="00402EF0"/>
    <w:rsid w:val="004240E3"/>
    <w:rsid w:val="00451090"/>
    <w:rsid w:val="004636A4"/>
    <w:rsid w:val="00473BF6"/>
    <w:rsid w:val="00482AEC"/>
    <w:rsid w:val="00487F9F"/>
    <w:rsid w:val="004A1445"/>
    <w:rsid w:val="004A5745"/>
    <w:rsid w:val="004B490F"/>
    <w:rsid w:val="004D1A41"/>
    <w:rsid w:val="004E17BF"/>
    <w:rsid w:val="004F08E6"/>
    <w:rsid w:val="00556236"/>
    <w:rsid w:val="0057633B"/>
    <w:rsid w:val="00583C70"/>
    <w:rsid w:val="00587F03"/>
    <w:rsid w:val="00592D3B"/>
    <w:rsid w:val="005A5062"/>
    <w:rsid w:val="00640111"/>
    <w:rsid w:val="00654418"/>
    <w:rsid w:val="00663464"/>
    <w:rsid w:val="00663C28"/>
    <w:rsid w:val="00681C96"/>
    <w:rsid w:val="0069351D"/>
    <w:rsid w:val="006A05F4"/>
    <w:rsid w:val="006B53F1"/>
    <w:rsid w:val="006C1A69"/>
    <w:rsid w:val="006E6C0C"/>
    <w:rsid w:val="0070738A"/>
    <w:rsid w:val="0071745C"/>
    <w:rsid w:val="00727A8D"/>
    <w:rsid w:val="007302DC"/>
    <w:rsid w:val="00730922"/>
    <w:rsid w:val="00731F70"/>
    <w:rsid w:val="00746319"/>
    <w:rsid w:val="0075031A"/>
    <w:rsid w:val="00757880"/>
    <w:rsid w:val="007672E6"/>
    <w:rsid w:val="007E0383"/>
    <w:rsid w:val="007F2E65"/>
    <w:rsid w:val="007F5087"/>
    <w:rsid w:val="00805D41"/>
    <w:rsid w:val="008166C4"/>
    <w:rsid w:val="008176AF"/>
    <w:rsid w:val="00830DED"/>
    <w:rsid w:val="00835C42"/>
    <w:rsid w:val="008469F9"/>
    <w:rsid w:val="00850A3D"/>
    <w:rsid w:val="00865A6D"/>
    <w:rsid w:val="008675A5"/>
    <w:rsid w:val="00882E07"/>
    <w:rsid w:val="00885DA8"/>
    <w:rsid w:val="00886600"/>
    <w:rsid w:val="00895E4C"/>
    <w:rsid w:val="008A6D0C"/>
    <w:rsid w:val="008B41B1"/>
    <w:rsid w:val="008B59FA"/>
    <w:rsid w:val="008B65B5"/>
    <w:rsid w:val="008F37A0"/>
    <w:rsid w:val="00942E12"/>
    <w:rsid w:val="009625AF"/>
    <w:rsid w:val="00965015"/>
    <w:rsid w:val="00965CBE"/>
    <w:rsid w:val="00970CED"/>
    <w:rsid w:val="009D00F4"/>
    <w:rsid w:val="009E42C0"/>
    <w:rsid w:val="009F5089"/>
    <w:rsid w:val="00A375C7"/>
    <w:rsid w:val="00A44CB5"/>
    <w:rsid w:val="00A74321"/>
    <w:rsid w:val="00A93168"/>
    <w:rsid w:val="00B1104B"/>
    <w:rsid w:val="00B266A7"/>
    <w:rsid w:val="00B3683B"/>
    <w:rsid w:val="00B53281"/>
    <w:rsid w:val="00B56A69"/>
    <w:rsid w:val="00B77A42"/>
    <w:rsid w:val="00B80082"/>
    <w:rsid w:val="00BA6478"/>
    <w:rsid w:val="00BB7945"/>
    <w:rsid w:val="00BE60A7"/>
    <w:rsid w:val="00C17069"/>
    <w:rsid w:val="00C421B1"/>
    <w:rsid w:val="00C4325E"/>
    <w:rsid w:val="00C7078E"/>
    <w:rsid w:val="00C72479"/>
    <w:rsid w:val="00C73CE4"/>
    <w:rsid w:val="00C84083"/>
    <w:rsid w:val="00C91C8C"/>
    <w:rsid w:val="00CA51AB"/>
    <w:rsid w:val="00CA5EFC"/>
    <w:rsid w:val="00CC28BE"/>
    <w:rsid w:val="00CD123A"/>
    <w:rsid w:val="00CD466D"/>
    <w:rsid w:val="00CD6B71"/>
    <w:rsid w:val="00CD742F"/>
    <w:rsid w:val="00D04714"/>
    <w:rsid w:val="00D27649"/>
    <w:rsid w:val="00D43F80"/>
    <w:rsid w:val="00D71204"/>
    <w:rsid w:val="00D9558D"/>
    <w:rsid w:val="00DA5BE3"/>
    <w:rsid w:val="00DB4639"/>
    <w:rsid w:val="00E1385B"/>
    <w:rsid w:val="00E21087"/>
    <w:rsid w:val="00E8279C"/>
    <w:rsid w:val="00E90981"/>
    <w:rsid w:val="00E92BA4"/>
    <w:rsid w:val="00EA7348"/>
    <w:rsid w:val="00EB760D"/>
    <w:rsid w:val="00EB77CF"/>
    <w:rsid w:val="00EB7A46"/>
    <w:rsid w:val="00EC1834"/>
    <w:rsid w:val="00EC66D8"/>
    <w:rsid w:val="00ED085D"/>
    <w:rsid w:val="00F0146C"/>
    <w:rsid w:val="00F02B39"/>
    <w:rsid w:val="00F06E3C"/>
    <w:rsid w:val="00F46B5B"/>
    <w:rsid w:val="00F55143"/>
    <w:rsid w:val="00F61DE2"/>
    <w:rsid w:val="00F6714D"/>
    <w:rsid w:val="00F7394D"/>
    <w:rsid w:val="00F909B4"/>
    <w:rsid w:val="00FA5416"/>
    <w:rsid w:val="00FB1AE6"/>
    <w:rsid w:val="00FC070D"/>
    <w:rsid w:val="00FC6B08"/>
    <w:rsid w:val="00FF0F38"/>
    <w:rsid w:val="377F24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_x0000_s1047"/>
        <o:r id="V:Rule2" type="connector" idref="#_x0000_s1039"/>
        <o:r id="V:Rule3" type="connector" idref="#_x0000_s1042"/>
        <o:r id="V:Rule4" type="connector" idref="#_x0000_s1044"/>
        <o:r id="V:Rule5" type="connector" idref="#_x0000_s1040"/>
        <o:r id="V:Rule6" type="connector" idref="#_x0000_s1045"/>
        <o:r id="V:Rule7" type="connector" idref="#_x0000_s1043"/>
        <o:r id="V:Rule8" type="connector" idref="#_x0000_s1041"/>
        <o:r id="V:Rule9" type="connector" idref="#_x0000_s1046"/>
      </o:rules>
    </o:shapelayout>
  </w:shapeDefaults>
  <w:decimalSymbol w:val=","/>
  <w:listSeparator w:val=";"/>
  <w14:docId w14:val="2D506F6A"/>
  <w15:chartTrackingRefBased/>
  <w15:docId w15:val="{2651A228-B157-4E94-BF14-462FD977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57633B"/>
    <w:pPr>
      <w:keepNext/>
      <w:numPr>
        <w:numId w:val="1"/>
      </w:numPr>
      <w:spacing w:after="0" w:line="240" w:lineRule="auto"/>
      <w:jc w:val="center"/>
      <w:outlineLvl w:val="0"/>
    </w:pPr>
    <w:rPr>
      <w:rFonts w:ascii="Times New Roman" w:eastAsia="Arial Unicode MS" w:hAnsi="Times New Roman" w:cs="Times New Roman"/>
      <w:b/>
      <w:sz w:val="28"/>
      <w:szCs w:val="20"/>
      <w:lang w:eastAsia="sk-SK"/>
    </w:rPr>
  </w:style>
  <w:style w:type="paragraph" w:styleId="Nadpis2">
    <w:name w:val="heading 2"/>
    <w:aliases w:val="Úloha"/>
    <w:basedOn w:val="Normlny"/>
    <w:next w:val="Normlny"/>
    <w:link w:val="Nadpis2Char"/>
    <w:qFormat/>
    <w:rsid w:val="0057633B"/>
    <w:pPr>
      <w:keepNext/>
      <w:numPr>
        <w:ilvl w:val="1"/>
        <w:numId w:val="1"/>
      </w:numPr>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qFormat/>
    <w:rsid w:val="0057633B"/>
    <w:pPr>
      <w:keepNext/>
      <w:numPr>
        <w:ilvl w:val="2"/>
        <w:numId w:val="1"/>
      </w:numPr>
      <w:spacing w:before="240" w:after="60" w:line="240" w:lineRule="auto"/>
      <w:outlineLvl w:val="2"/>
    </w:pPr>
    <w:rPr>
      <w:rFonts w:ascii="Arial" w:eastAsia="Times New Roman" w:hAnsi="Arial" w:cs="Arial"/>
      <w:b/>
      <w:bCs/>
      <w:sz w:val="26"/>
      <w:szCs w:val="26"/>
      <w:lang w:eastAsia="sk-SK"/>
    </w:rPr>
  </w:style>
  <w:style w:type="paragraph" w:styleId="Nadpis4">
    <w:name w:val="heading 4"/>
    <w:basedOn w:val="Normlny"/>
    <w:next w:val="Normlny"/>
    <w:link w:val="Nadpis4Char"/>
    <w:uiPriority w:val="9"/>
    <w:qFormat/>
    <w:rsid w:val="0057633B"/>
    <w:pPr>
      <w:keepNext/>
      <w:numPr>
        <w:ilvl w:val="3"/>
        <w:numId w:val="1"/>
      </w:numPr>
      <w:spacing w:before="240" w:after="60" w:line="240" w:lineRule="auto"/>
      <w:outlineLvl w:val="3"/>
    </w:pPr>
    <w:rPr>
      <w:rFonts w:ascii="Times New Roman" w:eastAsia="Times New Roman" w:hAnsi="Times New Roman" w:cs="Times New Roman"/>
      <w:b/>
      <w:bCs/>
      <w:sz w:val="28"/>
      <w:szCs w:val="28"/>
      <w:lang w:eastAsia="sk-SK"/>
    </w:rPr>
  </w:style>
  <w:style w:type="paragraph" w:styleId="Nadpis5">
    <w:name w:val="heading 5"/>
    <w:basedOn w:val="Normlny"/>
    <w:next w:val="Normlny"/>
    <w:link w:val="Nadpis5Char"/>
    <w:qFormat/>
    <w:rsid w:val="0057633B"/>
    <w:pPr>
      <w:keepNext/>
      <w:numPr>
        <w:ilvl w:val="4"/>
        <w:numId w:val="1"/>
      </w:numPr>
      <w:spacing w:after="0" w:line="240" w:lineRule="auto"/>
      <w:outlineLvl w:val="4"/>
    </w:pPr>
    <w:rPr>
      <w:rFonts w:ascii="Times New Roman" w:eastAsia="Times New Roman" w:hAnsi="Times New Roman" w:cs="Times New Roman"/>
      <w:b/>
      <w:bCs/>
      <w:sz w:val="24"/>
      <w:szCs w:val="24"/>
      <w:lang w:eastAsia="sk-SK"/>
    </w:rPr>
  </w:style>
  <w:style w:type="paragraph" w:styleId="Nadpis6">
    <w:name w:val="heading 6"/>
    <w:basedOn w:val="Normlny"/>
    <w:next w:val="Normlny"/>
    <w:link w:val="Nadpis6Char"/>
    <w:qFormat/>
    <w:rsid w:val="0057633B"/>
    <w:pPr>
      <w:keepNext/>
      <w:numPr>
        <w:ilvl w:val="5"/>
        <w:numId w:val="1"/>
      </w:numPr>
      <w:spacing w:after="0" w:line="240" w:lineRule="auto"/>
      <w:jc w:val="both"/>
      <w:outlineLvl w:val="5"/>
    </w:pPr>
    <w:rPr>
      <w:rFonts w:ascii="Times New Roman" w:eastAsia="Times New Roman" w:hAnsi="Times New Roman" w:cs="Times New Roman"/>
      <w:b/>
      <w:bCs/>
      <w:sz w:val="24"/>
      <w:szCs w:val="24"/>
      <w:u w:val="single"/>
      <w:lang w:eastAsia="sk-SK"/>
    </w:rPr>
  </w:style>
  <w:style w:type="paragraph" w:styleId="Nadpis7">
    <w:name w:val="heading 7"/>
    <w:basedOn w:val="Normlny"/>
    <w:next w:val="Normlny"/>
    <w:link w:val="Nadpis7Char"/>
    <w:uiPriority w:val="9"/>
    <w:qFormat/>
    <w:rsid w:val="0057633B"/>
    <w:pPr>
      <w:keepNext/>
      <w:numPr>
        <w:ilvl w:val="6"/>
        <w:numId w:val="1"/>
      </w:numPr>
      <w:spacing w:after="0" w:line="240" w:lineRule="auto"/>
      <w:jc w:val="both"/>
      <w:outlineLvl w:val="6"/>
    </w:pPr>
    <w:rPr>
      <w:rFonts w:ascii="Times New Roman" w:eastAsia="Times New Roman" w:hAnsi="Times New Roman" w:cs="Times New Roman"/>
      <w:b/>
      <w:sz w:val="24"/>
      <w:szCs w:val="26"/>
      <w:lang w:eastAsia="sk-SK"/>
    </w:rPr>
  </w:style>
  <w:style w:type="paragraph" w:styleId="Nadpis8">
    <w:name w:val="heading 8"/>
    <w:basedOn w:val="Normlny"/>
    <w:next w:val="Normlny"/>
    <w:link w:val="Nadpis8Char"/>
    <w:uiPriority w:val="9"/>
    <w:semiHidden/>
    <w:unhideWhenUsed/>
    <w:qFormat/>
    <w:rsid w:val="0057633B"/>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eastAsia="sk-SK"/>
      <w14:ligatures w14:val="standardContextual"/>
    </w:rPr>
  </w:style>
  <w:style w:type="paragraph" w:styleId="Nadpis9">
    <w:name w:val="heading 9"/>
    <w:basedOn w:val="Normlny"/>
    <w:next w:val="Normlny"/>
    <w:link w:val="Nadpis9Char"/>
    <w:uiPriority w:val="9"/>
    <w:semiHidden/>
    <w:unhideWhenUsed/>
    <w:qFormat/>
    <w:rsid w:val="0057633B"/>
    <w:pPr>
      <w:keepNext/>
      <w:keepLines/>
      <w:spacing w:after="0" w:line="240" w:lineRule="auto"/>
      <w:outlineLvl w:val="8"/>
    </w:pPr>
    <w:rPr>
      <w:rFonts w:ascii="Times New Roman" w:eastAsiaTheme="majorEastAsia" w:hAnsi="Times New Roman" w:cstheme="majorBidi"/>
      <w:color w:val="272727" w:themeColor="text1" w:themeTint="D8"/>
      <w:sz w:val="24"/>
      <w:szCs w:val="24"/>
      <w:lang w:eastAsia="sk-SK"/>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7633B"/>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rsid w:val="0057633B"/>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57633B"/>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
    <w:rsid w:val="0057633B"/>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57633B"/>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57633B"/>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
    <w:rsid w:val="0057633B"/>
    <w:rPr>
      <w:rFonts w:ascii="Times New Roman" w:eastAsia="Times New Roman" w:hAnsi="Times New Roman" w:cs="Times New Roman"/>
      <w:b/>
      <w:sz w:val="24"/>
      <w:szCs w:val="26"/>
      <w:lang w:eastAsia="sk-SK"/>
    </w:rPr>
  </w:style>
  <w:style w:type="character" w:customStyle="1" w:styleId="Nadpis8Char">
    <w:name w:val="Nadpis 8 Char"/>
    <w:basedOn w:val="Predvolenpsmoodseku"/>
    <w:link w:val="Nadpis8"/>
    <w:uiPriority w:val="9"/>
    <w:semiHidden/>
    <w:rsid w:val="0057633B"/>
    <w:rPr>
      <w:rFonts w:ascii="Times New Roman" w:eastAsiaTheme="majorEastAsia" w:hAnsi="Times New Roman" w:cstheme="majorBidi"/>
      <w:i/>
      <w:iCs/>
      <w:color w:val="272727" w:themeColor="text1" w:themeTint="D8"/>
      <w:sz w:val="24"/>
      <w:szCs w:val="24"/>
      <w:lang w:eastAsia="sk-SK"/>
      <w14:ligatures w14:val="standardContextual"/>
    </w:rPr>
  </w:style>
  <w:style w:type="character" w:customStyle="1" w:styleId="Nadpis9Char">
    <w:name w:val="Nadpis 9 Char"/>
    <w:basedOn w:val="Predvolenpsmoodseku"/>
    <w:link w:val="Nadpis9"/>
    <w:uiPriority w:val="9"/>
    <w:semiHidden/>
    <w:rsid w:val="0057633B"/>
    <w:rPr>
      <w:rFonts w:ascii="Times New Roman" w:eastAsiaTheme="majorEastAsia" w:hAnsi="Times New Roman" w:cstheme="majorBidi"/>
      <w:color w:val="272727" w:themeColor="text1" w:themeTint="D8"/>
      <w:sz w:val="24"/>
      <w:szCs w:val="24"/>
      <w:lang w:eastAsia="sk-SK"/>
      <w14:ligatures w14:val="standardContextual"/>
    </w:rPr>
  </w:style>
  <w:style w:type="numbering" w:customStyle="1" w:styleId="Bezzoznamu1">
    <w:name w:val="Bez zoznamu1"/>
    <w:next w:val="Bezzoznamu"/>
    <w:uiPriority w:val="99"/>
    <w:semiHidden/>
    <w:unhideWhenUsed/>
    <w:rsid w:val="0057633B"/>
  </w:style>
  <w:style w:type="paragraph" w:styleId="Pta">
    <w:name w:val="footer"/>
    <w:basedOn w:val="Normlny"/>
    <w:link w:val="PtaChar"/>
    <w:rsid w:val="0057633B"/>
    <w:pPr>
      <w:tabs>
        <w:tab w:val="center" w:pos="4320"/>
        <w:tab w:val="right" w:pos="8640"/>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rsid w:val="0057633B"/>
    <w:rPr>
      <w:rFonts w:ascii="Times New Roman" w:eastAsia="Times New Roman" w:hAnsi="Times New Roman" w:cs="Times New Roman"/>
      <w:sz w:val="24"/>
      <w:szCs w:val="24"/>
      <w:lang w:eastAsia="sk-SK"/>
    </w:rPr>
  </w:style>
  <w:style w:type="paragraph" w:styleId="Normlnywebov">
    <w:name w:val="Normal (Web)"/>
    <w:basedOn w:val="Normlny"/>
    <w:link w:val="NormlnywebovChar"/>
    <w:uiPriority w:val="99"/>
    <w:rsid w:val="0057633B"/>
    <w:pPr>
      <w:spacing w:after="240" w:line="312" w:lineRule="atLeast"/>
    </w:pPr>
    <w:rPr>
      <w:rFonts w:ascii="Arial Unicode MS" w:eastAsia="Arial Unicode MS" w:hAnsi="Arial Unicode MS" w:cs="Arial Unicode MS"/>
      <w:sz w:val="24"/>
      <w:szCs w:val="24"/>
      <w:lang w:eastAsia="sk-SK"/>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57633B"/>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34"/>
    <w:qFormat/>
    <w:locked/>
    <w:rsid w:val="0057633B"/>
    <w:rPr>
      <w:rFonts w:ascii="Times New Roman" w:eastAsia="Times New Roman" w:hAnsi="Times New Roman" w:cs="Times New Roman"/>
      <w:sz w:val="24"/>
      <w:szCs w:val="24"/>
      <w:lang w:eastAsia="sk-SK"/>
    </w:rPr>
  </w:style>
  <w:style w:type="character" w:customStyle="1" w:styleId="NormlnywebovChar">
    <w:name w:val="Normálny (webový) Char"/>
    <w:link w:val="Normlnywebov"/>
    <w:uiPriority w:val="99"/>
    <w:locked/>
    <w:rsid w:val="0057633B"/>
    <w:rPr>
      <w:rFonts w:ascii="Arial Unicode MS" w:eastAsia="Arial Unicode MS" w:hAnsi="Arial Unicode MS" w:cs="Arial Unicode MS"/>
      <w:sz w:val="24"/>
      <w:szCs w:val="24"/>
      <w:lang w:eastAsia="sk-SK"/>
    </w:rPr>
  </w:style>
  <w:style w:type="paragraph" w:styleId="Textbubliny">
    <w:name w:val="Balloon Text"/>
    <w:basedOn w:val="Normlny"/>
    <w:link w:val="TextbublinyChar"/>
    <w:semiHidden/>
    <w:unhideWhenUsed/>
    <w:rsid w:val="0057633B"/>
    <w:pPr>
      <w:spacing w:after="0" w:line="240" w:lineRule="auto"/>
    </w:pPr>
    <w:rPr>
      <w:rFonts w:ascii="Segoe UI" w:eastAsia="Times New Roman" w:hAnsi="Segoe UI" w:cs="Segoe UI"/>
      <w:sz w:val="18"/>
      <w:szCs w:val="18"/>
      <w:lang w:eastAsia="sk-SK"/>
    </w:rPr>
  </w:style>
  <w:style w:type="character" w:customStyle="1" w:styleId="TextbublinyChar">
    <w:name w:val="Text bubliny Char"/>
    <w:basedOn w:val="Predvolenpsmoodseku"/>
    <w:link w:val="Textbubliny"/>
    <w:semiHidden/>
    <w:rsid w:val="0057633B"/>
    <w:rPr>
      <w:rFonts w:ascii="Segoe UI" w:eastAsia="Times New Roman" w:hAnsi="Segoe UI" w:cs="Segoe UI"/>
      <w:sz w:val="18"/>
      <w:szCs w:val="18"/>
      <w:lang w:eastAsia="sk-SK"/>
    </w:rPr>
  </w:style>
  <w:style w:type="paragraph" w:styleId="Nzov">
    <w:name w:val="Title"/>
    <w:basedOn w:val="Normlny"/>
    <w:next w:val="Normlny"/>
    <w:link w:val="NzovChar"/>
    <w:uiPriority w:val="10"/>
    <w:qFormat/>
    <w:rsid w:val="0057633B"/>
    <w:pPr>
      <w:spacing w:after="80" w:line="240" w:lineRule="auto"/>
      <w:contextualSpacing/>
    </w:pPr>
    <w:rPr>
      <w:rFonts w:asciiTheme="majorHAnsi" w:eastAsiaTheme="majorEastAsia" w:hAnsiTheme="majorHAnsi" w:cstheme="majorBidi"/>
      <w:spacing w:val="-10"/>
      <w:kern w:val="28"/>
      <w:sz w:val="56"/>
      <w:szCs w:val="56"/>
      <w:lang w:eastAsia="sk-SK"/>
      <w14:ligatures w14:val="standardContextual"/>
    </w:rPr>
  </w:style>
  <w:style w:type="character" w:customStyle="1" w:styleId="NzovChar">
    <w:name w:val="Názov Char"/>
    <w:basedOn w:val="Predvolenpsmoodseku"/>
    <w:link w:val="Nzov"/>
    <w:uiPriority w:val="10"/>
    <w:rsid w:val="0057633B"/>
    <w:rPr>
      <w:rFonts w:asciiTheme="majorHAnsi" w:eastAsiaTheme="majorEastAsia" w:hAnsiTheme="majorHAnsi" w:cstheme="majorBidi"/>
      <w:spacing w:val="-10"/>
      <w:kern w:val="28"/>
      <w:sz w:val="56"/>
      <w:szCs w:val="56"/>
      <w:lang w:eastAsia="sk-SK"/>
      <w14:ligatures w14:val="standardContextual"/>
    </w:rPr>
  </w:style>
  <w:style w:type="paragraph" w:styleId="Podtitul">
    <w:name w:val="Subtitle"/>
    <w:basedOn w:val="Normlny"/>
    <w:next w:val="Normlny"/>
    <w:link w:val="PodtitulChar"/>
    <w:uiPriority w:val="11"/>
    <w:qFormat/>
    <w:rsid w:val="0057633B"/>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sk-SK"/>
      <w14:ligatures w14:val="standardContextual"/>
    </w:rPr>
  </w:style>
  <w:style w:type="character" w:customStyle="1" w:styleId="PodtitulChar">
    <w:name w:val="Podtitul Char"/>
    <w:basedOn w:val="Predvolenpsmoodseku"/>
    <w:link w:val="Podtitul"/>
    <w:uiPriority w:val="11"/>
    <w:rsid w:val="0057633B"/>
    <w:rPr>
      <w:rFonts w:ascii="Times New Roman" w:eastAsiaTheme="majorEastAsia" w:hAnsi="Times New Roman" w:cstheme="majorBidi"/>
      <w:color w:val="595959" w:themeColor="text1" w:themeTint="A6"/>
      <w:spacing w:val="15"/>
      <w:sz w:val="28"/>
      <w:szCs w:val="28"/>
      <w:lang w:eastAsia="sk-SK"/>
      <w14:ligatures w14:val="standardContextual"/>
    </w:rPr>
  </w:style>
  <w:style w:type="paragraph" w:styleId="Citcia">
    <w:name w:val="Quote"/>
    <w:basedOn w:val="Normlny"/>
    <w:next w:val="Normlny"/>
    <w:link w:val="CitciaChar"/>
    <w:uiPriority w:val="29"/>
    <w:qFormat/>
    <w:rsid w:val="0057633B"/>
    <w:pPr>
      <w:spacing w:before="160" w:after="0" w:line="240" w:lineRule="auto"/>
      <w:jc w:val="center"/>
    </w:pPr>
    <w:rPr>
      <w:rFonts w:ascii="Times New Roman" w:eastAsia="Times New Roman" w:hAnsi="Times New Roman" w:cs="Times New Roman"/>
      <w:i/>
      <w:iCs/>
      <w:color w:val="404040" w:themeColor="text1" w:themeTint="BF"/>
      <w:sz w:val="24"/>
      <w:szCs w:val="24"/>
      <w:lang w:eastAsia="sk-SK"/>
      <w14:ligatures w14:val="standardContextual"/>
    </w:rPr>
  </w:style>
  <w:style w:type="character" w:customStyle="1" w:styleId="CitciaChar">
    <w:name w:val="Citácia Char"/>
    <w:basedOn w:val="Predvolenpsmoodseku"/>
    <w:link w:val="Citcia"/>
    <w:uiPriority w:val="29"/>
    <w:rsid w:val="0057633B"/>
    <w:rPr>
      <w:rFonts w:ascii="Times New Roman" w:eastAsia="Times New Roman" w:hAnsi="Times New Roman" w:cs="Times New Roman"/>
      <w:i/>
      <w:iCs/>
      <w:color w:val="404040" w:themeColor="text1" w:themeTint="BF"/>
      <w:sz w:val="24"/>
      <w:szCs w:val="24"/>
      <w:lang w:eastAsia="sk-SK"/>
      <w14:ligatures w14:val="standardContextual"/>
    </w:rPr>
  </w:style>
  <w:style w:type="character" w:styleId="Intenzvnezvraznenie">
    <w:name w:val="Intense Emphasis"/>
    <w:basedOn w:val="Predvolenpsmoodseku"/>
    <w:uiPriority w:val="21"/>
    <w:qFormat/>
    <w:rsid w:val="0057633B"/>
    <w:rPr>
      <w:i/>
      <w:iCs/>
      <w:color w:val="2E74B5" w:themeColor="accent1" w:themeShade="BF"/>
    </w:rPr>
  </w:style>
  <w:style w:type="paragraph" w:styleId="Zvraznencitcia">
    <w:name w:val="Intense Quote"/>
    <w:basedOn w:val="Normlny"/>
    <w:next w:val="Normlny"/>
    <w:link w:val="ZvraznencitciaChar"/>
    <w:uiPriority w:val="30"/>
    <w:qFormat/>
    <w:rsid w:val="0057633B"/>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imes New Roman" w:hAnsi="Times New Roman" w:cs="Times New Roman"/>
      <w:i/>
      <w:iCs/>
      <w:color w:val="2E74B5" w:themeColor="accent1" w:themeShade="BF"/>
      <w:sz w:val="24"/>
      <w:szCs w:val="24"/>
      <w:lang w:eastAsia="sk-SK"/>
      <w14:ligatures w14:val="standardContextual"/>
    </w:rPr>
  </w:style>
  <w:style w:type="character" w:customStyle="1" w:styleId="ZvraznencitciaChar">
    <w:name w:val="Zvýraznená citácia Char"/>
    <w:basedOn w:val="Predvolenpsmoodseku"/>
    <w:link w:val="Zvraznencitcia"/>
    <w:uiPriority w:val="30"/>
    <w:rsid w:val="0057633B"/>
    <w:rPr>
      <w:rFonts w:ascii="Times New Roman" w:eastAsia="Times New Roman" w:hAnsi="Times New Roman" w:cs="Times New Roman"/>
      <w:i/>
      <w:iCs/>
      <w:color w:val="2E74B5" w:themeColor="accent1" w:themeShade="BF"/>
      <w:sz w:val="24"/>
      <w:szCs w:val="24"/>
      <w:lang w:eastAsia="sk-SK"/>
      <w14:ligatures w14:val="standardContextual"/>
    </w:rPr>
  </w:style>
  <w:style w:type="character" w:styleId="Zvraznenodkaz">
    <w:name w:val="Intense Reference"/>
    <w:basedOn w:val="Predvolenpsmoodseku"/>
    <w:uiPriority w:val="32"/>
    <w:qFormat/>
    <w:rsid w:val="0057633B"/>
    <w:rPr>
      <w:b/>
      <w:bCs/>
      <w:smallCaps/>
      <w:color w:val="2E74B5" w:themeColor="accent1" w:themeShade="BF"/>
      <w:spacing w:val="5"/>
    </w:rPr>
  </w:style>
  <w:style w:type="character" w:styleId="Hypertextovprepojenie">
    <w:name w:val="Hyperlink"/>
    <w:basedOn w:val="Predvolenpsmoodseku"/>
    <w:uiPriority w:val="99"/>
    <w:unhideWhenUsed/>
    <w:rsid w:val="0057633B"/>
    <w:rPr>
      <w:color w:val="0563C1" w:themeColor="hyperlink"/>
      <w:u w:val="single"/>
    </w:rPr>
  </w:style>
  <w:style w:type="character" w:customStyle="1" w:styleId="UnresolvedMention1">
    <w:name w:val="Unresolved Mention1"/>
    <w:basedOn w:val="Predvolenpsmoodseku"/>
    <w:uiPriority w:val="99"/>
    <w:semiHidden/>
    <w:unhideWhenUsed/>
    <w:rsid w:val="0057633B"/>
    <w:rPr>
      <w:color w:val="605E5C"/>
      <w:shd w:val="clear" w:color="auto" w:fill="E1DFDD"/>
    </w:rPr>
  </w:style>
  <w:style w:type="paragraph" w:customStyle="1" w:styleId="Textpsmene">
    <w:name w:val="Text písmene"/>
    <w:basedOn w:val="Normlny"/>
    <w:rsid w:val="0057633B"/>
    <w:pPr>
      <w:tabs>
        <w:tab w:val="num" w:pos="425"/>
      </w:tabs>
      <w:ind w:left="425" w:hanging="425"/>
    </w:pPr>
    <w:rPr>
      <w:rFonts w:ascii="Times New Roman" w:hAnsi="Times New Roman"/>
      <w:sz w:val="24"/>
      <w:lang w:val="cs-CZ"/>
      <w14:ligatures w14:val="standardContextual"/>
    </w:rPr>
  </w:style>
  <w:style w:type="paragraph" w:styleId="Textkomentra">
    <w:name w:val="annotation text"/>
    <w:basedOn w:val="Normlny"/>
    <w:link w:val="TextkomentraChar"/>
    <w:uiPriority w:val="99"/>
    <w:unhideWhenUsed/>
    <w:qFormat/>
    <w:rsid w:val="0057633B"/>
    <w:pPr>
      <w:spacing w:after="0" w:line="240" w:lineRule="auto"/>
    </w:pPr>
    <w:rPr>
      <w:rFonts w:ascii="Times New Roman" w:eastAsia="Times New Roman" w:hAnsi="Times New Roman" w:cs="Times New Roman"/>
      <w:sz w:val="20"/>
      <w:szCs w:val="20"/>
      <w:lang w:eastAsia="sk-SK"/>
      <w14:ligatures w14:val="standardContextual"/>
    </w:rPr>
  </w:style>
  <w:style w:type="character" w:customStyle="1" w:styleId="TextkomentraChar">
    <w:name w:val="Text komentára Char"/>
    <w:basedOn w:val="Predvolenpsmoodseku"/>
    <w:link w:val="Textkomentra"/>
    <w:uiPriority w:val="99"/>
    <w:rsid w:val="0057633B"/>
    <w:rPr>
      <w:rFonts w:ascii="Times New Roman" w:eastAsia="Times New Roman" w:hAnsi="Times New Roman" w:cs="Times New Roman"/>
      <w:sz w:val="20"/>
      <w:szCs w:val="20"/>
      <w:lang w:eastAsia="sk-SK"/>
      <w14:ligatures w14:val="standardContextual"/>
    </w:rPr>
  </w:style>
  <w:style w:type="paragraph" w:styleId="Predmetkomentra">
    <w:name w:val="annotation subject"/>
    <w:basedOn w:val="Textkomentra"/>
    <w:next w:val="Textkomentra"/>
    <w:link w:val="PredmetkomentraChar"/>
    <w:semiHidden/>
    <w:unhideWhenUsed/>
    <w:rsid w:val="0057633B"/>
    <w:pPr>
      <w:spacing w:after="160"/>
    </w:pPr>
    <w:rPr>
      <w:rFonts w:asciiTheme="minorHAnsi" w:eastAsiaTheme="minorHAnsi" w:hAnsiTheme="minorHAnsi" w:cstheme="minorBidi"/>
      <w:b/>
      <w:bCs/>
      <w:kern w:val="2"/>
      <w:lang w:val="cs-CZ" w:eastAsia="en-US"/>
    </w:rPr>
  </w:style>
  <w:style w:type="character" w:customStyle="1" w:styleId="PredmetkomentraChar">
    <w:name w:val="Predmet komentára Char"/>
    <w:basedOn w:val="TextkomentraChar"/>
    <w:link w:val="Predmetkomentra"/>
    <w:semiHidden/>
    <w:rsid w:val="0057633B"/>
    <w:rPr>
      <w:rFonts w:ascii="Times New Roman" w:eastAsia="Times New Roman" w:hAnsi="Times New Roman" w:cs="Times New Roman"/>
      <w:b/>
      <w:bCs/>
      <w:kern w:val="2"/>
      <w:sz w:val="20"/>
      <w:szCs w:val="20"/>
      <w:lang w:val="cs-CZ" w:eastAsia="sk-SK"/>
      <w14:ligatures w14:val="standardContextual"/>
    </w:rPr>
  </w:style>
  <w:style w:type="character" w:styleId="Odkaznakomentr">
    <w:name w:val="annotation reference"/>
    <w:basedOn w:val="Predvolenpsmoodseku"/>
    <w:uiPriority w:val="99"/>
    <w:unhideWhenUsed/>
    <w:rsid w:val="0057633B"/>
    <w:rPr>
      <w:sz w:val="16"/>
      <w:szCs w:val="16"/>
    </w:rPr>
  </w:style>
  <w:style w:type="paragraph" w:styleId="Revzia">
    <w:name w:val="Revision"/>
    <w:hidden/>
    <w:uiPriority w:val="99"/>
    <w:semiHidden/>
    <w:rsid w:val="0057633B"/>
    <w:pPr>
      <w:spacing w:after="0" w:line="240" w:lineRule="auto"/>
    </w:pPr>
    <w:rPr>
      <w:rFonts w:ascii="Times New Roman" w:eastAsia="Times New Roman" w:hAnsi="Times New Roman" w:cs="Times New Roman"/>
      <w:sz w:val="24"/>
      <w:szCs w:val="24"/>
      <w:lang w:eastAsia="sk-SK"/>
      <w14:ligatures w14:val="standardContextual"/>
    </w:rPr>
  </w:style>
  <w:style w:type="paragraph" w:customStyle="1" w:styleId="Textodstavce">
    <w:name w:val="Text odstavce"/>
    <w:basedOn w:val="Normlny"/>
    <w:link w:val="TextodstavceChar"/>
    <w:rsid w:val="0057633B"/>
    <w:pPr>
      <w:tabs>
        <w:tab w:val="num" w:pos="782"/>
      </w:tabs>
      <w:ind w:firstLine="425"/>
    </w:pPr>
    <w:rPr>
      <w:rFonts w:ascii="Times New Roman" w:hAnsi="Times New Roman"/>
      <w:sz w:val="24"/>
      <w:lang w:val="cs-CZ"/>
      <w14:ligatures w14:val="standardContextual"/>
    </w:rPr>
  </w:style>
  <w:style w:type="paragraph" w:customStyle="1" w:styleId="Textbodu">
    <w:name w:val="Text bodu"/>
    <w:basedOn w:val="Normlny"/>
    <w:rsid w:val="0057633B"/>
    <w:pPr>
      <w:tabs>
        <w:tab w:val="num" w:pos="851"/>
      </w:tabs>
      <w:ind w:left="851" w:hanging="425"/>
    </w:pPr>
    <w:rPr>
      <w:rFonts w:ascii="Times New Roman" w:hAnsi="Times New Roman"/>
      <w:sz w:val="24"/>
      <w:lang w:val="cs-CZ"/>
      <w14:ligatures w14:val="standardContextual"/>
    </w:rPr>
  </w:style>
  <w:style w:type="paragraph" w:customStyle="1" w:styleId="Style2">
    <w:name w:val="Style2"/>
    <w:basedOn w:val="Normlny"/>
    <w:next w:val="Normlny"/>
    <w:qFormat/>
    <w:rsid w:val="0057633B"/>
    <w:pPr>
      <w:tabs>
        <w:tab w:val="num" w:pos="851"/>
      </w:tabs>
      <w:ind w:left="851" w:hanging="426"/>
    </w:pPr>
    <w:rPr>
      <w:rFonts w:ascii="Times New Roman" w:hAnsi="Times New Roman"/>
      <w:sz w:val="24"/>
      <w14:ligatures w14:val="standardContextual"/>
    </w:rPr>
  </w:style>
  <w:style w:type="character" w:customStyle="1" w:styleId="TextodstavceChar">
    <w:name w:val="Text odstavce Char"/>
    <w:basedOn w:val="Predvolenpsmoodseku"/>
    <w:link w:val="Textodstavce"/>
    <w:rsid w:val="0057633B"/>
    <w:rPr>
      <w:rFonts w:ascii="Times New Roman" w:hAnsi="Times New Roman"/>
      <w:sz w:val="24"/>
      <w:lang w:val="cs-CZ"/>
      <w14:ligatures w14:val="standardContextual"/>
    </w:rPr>
  </w:style>
  <w:style w:type="paragraph" w:customStyle="1" w:styleId="l6">
    <w:name w:val="l6"/>
    <w:basedOn w:val="Normlny"/>
    <w:rsid w:val="0057633B"/>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7">
    <w:name w:val="l7"/>
    <w:basedOn w:val="Normlny"/>
    <w:rsid w:val="0057633B"/>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Zkladntext">
    <w:name w:val="Body Text"/>
    <w:basedOn w:val="Normlny"/>
    <w:link w:val="ZkladntextChar"/>
    <w:qFormat/>
    <w:rsid w:val="0057633B"/>
    <w:pPr>
      <w:spacing w:before="120" w:after="120" w:line="240" w:lineRule="auto"/>
      <w:jc w:val="center"/>
    </w:pPr>
    <w:rPr>
      <w:rFonts w:ascii="Times New Roman" w:hAnsi="Times New Roman" w:cs="Times New Roman"/>
      <w:color w:val="232323"/>
      <w:sz w:val="24"/>
      <w:szCs w:val="24"/>
    </w:rPr>
  </w:style>
  <w:style w:type="character" w:customStyle="1" w:styleId="ZkladntextChar">
    <w:name w:val="Základný text Char"/>
    <w:basedOn w:val="Predvolenpsmoodseku"/>
    <w:link w:val="Zkladntext"/>
    <w:rsid w:val="0057633B"/>
    <w:rPr>
      <w:rFonts w:ascii="Times New Roman" w:hAnsi="Times New Roman" w:cs="Times New Roman"/>
      <w:color w:val="232323"/>
      <w:sz w:val="24"/>
      <w:szCs w:val="24"/>
    </w:rPr>
  </w:style>
  <w:style w:type="paragraph" w:customStyle="1" w:styleId="Odstavec-posun-minus1r">
    <w:name w:val="Odstavec-posun-minus_1r"/>
    <w:basedOn w:val="Normlny"/>
    <w:qFormat/>
    <w:rsid w:val="0057633B"/>
    <w:pPr>
      <w:spacing w:before="120" w:after="120" w:line="240" w:lineRule="auto"/>
      <w:ind w:left="851" w:hanging="284"/>
      <w:jc w:val="both"/>
    </w:pPr>
    <w:rPr>
      <w:rFonts w:ascii="Fira Sans" w:hAnsi="Fira Sans"/>
      <w:color w:val="232323"/>
      <w:sz w:val="20"/>
      <w:szCs w:val="24"/>
      <w:lang w:val="en-US"/>
    </w:rPr>
  </w:style>
  <w:style w:type="numbering" w:customStyle="1" w:styleId="Bezzoznamu11">
    <w:name w:val="Bez zoznamu11"/>
    <w:next w:val="Bezzoznamu"/>
    <w:uiPriority w:val="99"/>
    <w:semiHidden/>
    <w:unhideWhenUsed/>
    <w:rsid w:val="0057633B"/>
  </w:style>
  <w:style w:type="numbering" w:customStyle="1" w:styleId="Bezzoznamu2">
    <w:name w:val="Bez zoznamu2"/>
    <w:next w:val="Bezzoznamu"/>
    <w:uiPriority w:val="99"/>
    <w:semiHidden/>
    <w:unhideWhenUsed/>
    <w:rsid w:val="0057633B"/>
  </w:style>
  <w:style w:type="character" w:customStyle="1" w:styleId="Mention1">
    <w:name w:val="Mention1"/>
    <w:basedOn w:val="Predvolenpsmoodseku"/>
    <w:uiPriority w:val="99"/>
    <w:unhideWhenUsed/>
    <w:rsid w:val="0057633B"/>
    <w:rPr>
      <w:color w:val="2B579A"/>
      <w:shd w:val="clear" w:color="auto" w:fill="E1DFDD"/>
    </w:rPr>
  </w:style>
  <w:style w:type="table" w:customStyle="1" w:styleId="Mriekatabuky1">
    <w:name w:val="Mriežka tabuľky1"/>
    <w:basedOn w:val="Normlnatabuka"/>
    <w:next w:val="Mriekatabuky"/>
    <w:uiPriority w:val="59"/>
    <w:rsid w:val="00576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576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nhideWhenUsed/>
    <w:rsid w:val="0057633B"/>
    <w:pPr>
      <w:tabs>
        <w:tab w:val="center" w:pos="4536"/>
        <w:tab w:val="right" w:pos="9072"/>
      </w:tabs>
      <w:spacing w:after="0" w:line="240" w:lineRule="auto"/>
    </w:pPr>
  </w:style>
  <w:style w:type="character" w:customStyle="1" w:styleId="HlavikaChar">
    <w:name w:val="Hlavička Char"/>
    <w:basedOn w:val="Predvolenpsmoodseku"/>
    <w:link w:val="Hlavika"/>
    <w:rsid w:val="0057633B"/>
  </w:style>
  <w:style w:type="paragraph" w:styleId="Textpoznmkypodiarou">
    <w:name w:val="footnote text"/>
    <w:aliases w:val="Footnote Text Char,Znak"/>
    <w:basedOn w:val="Normlny"/>
    <w:link w:val="TextpoznmkypodiarouChar"/>
    <w:uiPriority w:val="99"/>
    <w:unhideWhenUsed/>
    <w:qFormat/>
    <w:rsid w:val="0057633B"/>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57633B"/>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57633B"/>
    <w:rPr>
      <w:vertAlign w:val="superscript"/>
    </w:rPr>
  </w:style>
  <w:style w:type="numbering" w:customStyle="1" w:styleId="Bezzoznamu3">
    <w:name w:val="Bez zoznamu3"/>
    <w:next w:val="Bezzoznamu"/>
    <w:uiPriority w:val="99"/>
    <w:semiHidden/>
    <w:unhideWhenUsed/>
    <w:rsid w:val="0057633B"/>
  </w:style>
  <w:style w:type="numbering" w:customStyle="1" w:styleId="Bezzoznamu111">
    <w:name w:val="Bez zoznamu111"/>
    <w:next w:val="Bezzoznamu"/>
    <w:uiPriority w:val="99"/>
    <w:semiHidden/>
    <w:unhideWhenUsed/>
    <w:rsid w:val="0057633B"/>
  </w:style>
  <w:style w:type="numbering" w:customStyle="1" w:styleId="Bezzoznamu21">
    <w:name w:val="Bez zoznamu21"/>
    <w:next w:val="Bezzoznamu"/>
    <w:uiPriority w:val="99"/>
    <w:semiHidden/>
    <w:unhideWhenUsed/>
    <w:rsid w:val="0057633B"/>
  </w:style>
  <w:style w:type="table" w:customStyle="1" w:styleId="Mriekatabuky11">
    <w:name w:val="Mriežka tabuľky11"/>
    <w:basedOn w:val="Normlnatabuka"/>
    <w:next w:val="Mriekatabuky"/>
    <w:uiPriority w:val="59"/>
    <w:rsid w:val="00576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576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nhideWhenUsed/>
    <w:rsid w:val="0057633B"/>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57633B"/>
    <w:rPr>
      <w:rFonts w:ascii="Times New Roman" w:eastAsia="Times New Roman" w:hAnsi="Times New Roman" w:cs="Times New Roman"/>
      <w:sz w:val="24"/>
      <w:szCs w:val="24"/>
      <w:lang w:eastAsia="sk-SK"/>
    </w:rPr>
  </w:style>
  <w:style w:type="numbering" w:customStyle="1" w:styleId="Bezzoznamu31">
    <w:name w:val="Bez zoznamu31"/>
    <w:next w:val="Bezzoznamu"/>
    <w:uiPriority w:val="99"/>
    <w:semiHidden/>
    <w:unhideWhenUsed/>
    <w:rsid w:val="0057633B"/>
  </w:style>
  <w:style w:type="paragraph" w:customStyle="1" w:styleId="Normlny0">
    <w:name w:val="_Normálny"/>
    <w:basedOn w:val="Normlny"/>
    <w:rsid w:val="0057633B"/>
    <w:pPr>
      <w:autoSpaceDE w:val="0"/>
      <w:autoSpaceDN w:val="0"/>
      <w:spacing w:after="0" w:line="240" w:lineRule="auto"/>
    </w:pPr>
    <w:rPr>
      <w:rFonts w:ascii="Times New Roman" w:eastAsia="Times New Roman" w:hAnsi="Times New Roman" w:cs="Times New Roman"/>
      <w:sz w:val="20"/>
      <w:szCs w:val="20"/>
    </w:rPr>
  </w:style>
  <w:style w:type="paragraph" w:customStyle="1" w:styleId="odsek">
    <w:name w:val="odsek"/>
    <w:basedOn w:val="Normlny"/>
    <w:rsid w:val="0057633B"/>
    <w:pPr>
      <w:keepNext/>
      <w:spacing w:before="60" w:after="60" w:line="240" w:lineRule="auto"/>
      <w:ind w:firstLine="709"/>
      <w:jc w:val="both"/>
    </w:pPr>
    <w:rPr>
      <w:rFonts w:ascii="Times New Roman" w:eastAsia="Times New Roman" w:hAnsi="Times New Roman" w:cs="Times New Roman"/>
      <w:sz w:val="24"/>
      <w:szCs w:val="24"/>
      <w:lang w:eastAsia="sk-SK"/>
    </w:rPr>
  </w:style>
  <w:style w:type="paragraph" w:customStyle="1" w:styleId="tl10ptPodaokraja">
    <w:name w:val="Štýl 10 pt Podľa okraja"/>
    <w:basedOn w:val="Normlny"/>
    <w:rsid w:val="0057633B"/>
    <w:pPr>
      <w:keepNext/>
      <w:autoSpaceDE w:val="0"/>
      <w:autoSpaceDN w:val="0"/>
      <w:spacing w:after="0" w:line="240" w:lineRule="auto"/>
      <w:jc w:val="both"/>
    </w:pPr>
    <w:rPr>
      <w:rFonts w:ascii="Times New Roman" w:eastAsia="Times New Roman" w:hAnsi="Times New Roman" w:cs="Times New Roman"/>
      <w:sz w:val="20"/>
      <w:szCs w:val="20"/>
      <w:lang w:eastAsia="sk-SK"/>
    </w:rPr>
  </w:style>
  <w:style w:type="paragraph" w:styleId="PredformtovanHTML">
    <w:name w:val="HTML Preformatted"/>
    <w:basedOn w:val="Normlny"/>
    <w:link w:val="PredformtovanHTMLChar"/>
    <w:rsid w:val="0057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rsid w:val="0057633B"/>
    <w:rPr>
      <w:rFonts w:ascii="Courier New" w:eastAsia="Times New Roman" w:hAnsi="Courier New" w:cs="Courier New"/>
      <w:sz w:val="20"/>
      <w:szCs w:val="20"/>
      <w:lang w:eastAsia="sk-SK"/>
    </w:rPr>
  </w:style>
  <w:style w:type="paragraph" w:styleId="Zkladntext2">
    <w:name w:val="Body Text 2"/>
    <w:basedOn w:val="Normlny"/>
    <w:link w:val="Zkladntext2Char"/>
    <w:rsid w:val="0057633B"/>
    <w:pPr>
      <w:spacing w:before="100" w:after="0" w:line="240" w:lineRule="auto"/>
      <w:ind w:right="900"/>
      <w:jc w:val="both"/>
    </w:pPr>
    <w:rPr>
      <w:rFonts w:ascii="Times New Roman" w:eastAsia="Times New Roman" w:hAnsi="Times New Roman" w:cs="Times New Roman"/>
      <w:sz w:val="20"/>
      <w:szCs w:val="20"/>
      <w:lang w:eastAsia="sk-SK"/>
    </w:rPr>
  </w:style>
  <w:style w:type="character" w:customStyle="1" w:styleId="Zkladntext2Char">
    <w:name w:val="Základný text 2 Char"/>
    <w:basedOn w:val="Predvolenpsmoodseku"/>
    <w:link w:val="Zkladntext2"/>
    <w:rsid w:val="0057633B"/>
    <w:rPr>
      <w:rFonts w:ascii="Times New Roman" w:eastAsia="Times New Roman" w:hAnsi="Times New Roman" w:cs="Times New Roman"/>
      <w:sz w:val="20"/>
      <w:szCs w:val="20"/>
      <w:lang w:eastAsia="sk-SK"/>
    </w:rPr>
  </w:style>
  <w:style w:type="paragraph" w:customStyle="1" w:styleId="abc">
    <w:name w:val="abc"/>
    <w:basedOn w:val="Normlny"/>
    <w:rsid w:val="0057633B"/>
    <w:pPr>
      <w:widowControl w:val="0"/>
      <w:tabs>
        <w:tab w:val="left" w:pos="360"/>
        <w:tab w:val="left" w:pos="680"/>
      </w:tabs>
      <w:autoSpaceDE w:val="0"/>
      <w:autoSpaceDN w:val="0"/>
      <w:spacing w:after="0" w:line="240" w:lineRule="auto"/>
      <w:jc w:val="both"/>
    </w:pPr>
    <w:rPr>
      <w:rFonts w:ascii="Times New Roman" w:eastAsia="Times New Roman" w:hAnsi="Times New Roman" w:cs="Times New Roman"/>
      <w:sz w:val="20"/>
      <w:szCs w:val="20"/>
    </w:rPr>
  </w:style>
  <w:style w:type="paragraph" w:customStyle="1" w:styleId="ZKON">
    <w:name w:val="ZÁKON"/>
    <w:basedOn w:val="Normlny"/>
    <w:next w:val="Normlny"/>
    <w:rsid w:val="0057633B"/>
    <w:pPr>
      <w:spacing w:after="0" w:line="240" w:lineRule="auto"/>
      <w:jc w:val="center"/>
      <w:outlineLvl w:val="0"/>
    </w:pPr>
    <w:rPr>
      <w:rFonts w:ascii="Times New Roman" w:eastAsia="Times New Roman" w:hAnsi="Times New Roman" w:cs="Times New Roman"/>
      <w:b/>
      <w:caps/>
      <w:noProof/>
      <w:sz w:val="24"/>
      <w:szCs w:val="20"/>
      <w:lang w:val="cs-CZ" w:eastAsia="cs-CZ"/>
    </w:rPr>
  </w:style>
  <w:style w:type="paragraph" w:customStyle="1" w:styleId="EntEmet">
    <w:name w:val="EntEmet"/>
    <w:basedOn w:val="Normlny"/>
    <w:rsid w:val="0057633B"/>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eastAsia="fr-BE"/>
    </w:rPr>
  </w:style>
  <w:style w:type="table" w:customStyle="1" w:styleId="Mriekatabuky21">
    <w:name w:val="Mriežka tabuľky21"/>
    <w:basedOn w:val="Normlnatabuka"/>
    <w:next w:val="Mriekatabuky"/>
    <w:rsid w:val="0057633B"/>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lny"/>
    <w:rsid w:val="0057633B"/>
    <w:pPr>
      <w:spacing w:before="120" w:after="120" w:line="360" w:lineRule="auto"/>
      <w:ind w:left="1417" w:hanging="567"/>
    </w:pPr>
    <w:rPr>
      <w:rFonts w:ascii="Times New Roman" w:eastAsia="Times New Roman" w:hAnsi="Times New Roman" w:cs="Times New Roman"/>
      <w:sz w:val="24"/>
      <w:szCs w:val="24"/>
    </w:rPr>
  </w:style>
  <w:style w:type="paragraph" w:customStyle="1" w:styleId="titulok">
    <w:name w:val="titulok"/>
    <w:basedOn w:val="Normlny"/>
    <w:rsid w:val="0057633B"/>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paragraph" w:customStyle="1" w:styleId="CM1">
    <w:name w:val="CM1"/>
    <w:basedOn w:val="Normlny"/>
    <w:next w:val="Normlny"/>
    <w:rsid w:val="0057633B"/>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CM3">
    <w:name w:val="CM3"/>
    <w:basedOn w:val="Normlny"/>
    <w:next w:val="Normlny"/>
    <w:rsid w:val="0057633B"/>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CM4">
    <w:name w:val="CM4"/>
    <w:basedOn w:val="Normlny"/>
    <w:next w:val="Normlny"/>
    <w:rsid w:val="0057633B"/>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Odstavecseseznamem">
    <w:name w:val="Odstavec se seznamem"/>
    <w:basedOn w:val="Normlny"/>
    <w:uiPriority w:val="34"/>
    <w:qFormat/>
    <w:rsid w:val="0057633B"/>
    <w:pPr>
      <w:spacing w:after="200" w:line="276" w:lineRule="auto"/>
      <w:ind w:left="720"/>
      <w:contextualSpacing/>
    </w:pPr>
    <w:rPr>
      <w:rFonts w:ascii="Calibri" w:eastAsia="Calibri" w:hAnsi="Calibri" w:cs="Times New Roman"/>
    </w:rPr>
  </w:style>
  <w:style w:type="character" w:customStyle="1" w:styleId="DeltaViewInsertion">
    <w:name w:val="DeltaView Insertion"/>
    <w:rsid w:val="0057633B"/>
    <w:rPr>
      <w:color w:val="0000FF"/>
      <w:spacing w:val="0"/>
      <w:u w:val="double"/>
    </w:rPr>
  </w:style>
  <w:style w:type="paragraph" w:customStyle="1" w:styleId="Char">
    <w:name w:val="Char"/>
    <w:basedOn w:val="Normlny"/>
    <w:rsid w:val="0057633B"/>
    <w:pPr>
      <w:spacing w:after="0" w:line="240" w:lineRule="auto"/>
    </w:pPr>
    <w:rPr>
      <w:rFonts w:ascii="Times New Roman" w:eastAsia="Times New Roman" w:hAnsi="Times New Roman" w:cs="Times New Roman"/>
      <w:sz w:val="24"/>
      <w:szCs w:val="24"/>
      <w:lang w:val="pl-PL" w:eastAsia="pl-PL"/>
    </w:rPr>
  </w:style>
  <w:style w:type="paragraph" w:customStyle="1" w:styleId="CharChar1CharCharCharChar">
    <w:name w:val="Char Char1 Char Char Char Char"/>
    <w:basedOn w:val="Normlny"/>
    <w:rsid w:val="0057633B"/>
    <w:pPr>
      <w:spacing w:after="0" w:line="240" w:lineRule="auto"/>
    </w:pPr>
    <w:rPr>
      <w:rFonts w:ascii="Times New Roman" w:eastAsia="Times New Roman" w:hAnsi="Times New Roman" w:cs="Times New Roman"/>
      <w:sz w:val="24"/>
      <w:szCs w:val="24"/>
      <w:lang w:val="pl-PL" w:eastAsia="pl-PL"/>
    </w:rPr>
  </w:style>
  <w:style w:type="character" w:customStyle="1" w:styleId="CharChar6">
    <w:name w:val="Char Char6"/>
    <w:rsid w:val="0057633B"/>
    <w:rPr>
      <w:rFonts w:ascii="Tahoma" w:hAnsi="Tahoma" w:cs="Tahoma"/>
      <w:sz w:val="16"/>
      <w:szCs w:val="16"/>
      <w:lang w:val="hu-HU"/>
    </w:rPr>
  </w:style>
  <w:style w:type="paragraph" w:styleId="Zoznamsodrkami">
    <w:name w:val="List Bullet"/>
    <w:basedOn w:val="Normlny"/>
    <w:rsid w:val="0057633B"/>
    <w:pPr>
      <w:numPr>
        <w:numId w:val="2"/>
      </w:numPr>
      <w:spacing w:after="240" w:line="276" w:lineRule="auto"/>
      <w:jc w:val="both"/>
    </w:pPr>
    <w:rPr>
      <w:rFonts w:ascii="Times New Roman" w:eastAsia="Calibri" w:hAnsi="Times New Roman" w:cs="Times New Roman"/>
      <w:lang w:val="en-GB"/>
    </w:rPr>
  </w:style>
  <w:style w:type="character" w:styleId="slostrany">
    <w:name w:val="page number"/>
    <w:basedOn w:val="Predvolenpsmoodseku"/>
    <w:semiHidden/>
    <w:unhideWhenUsed/>
    <w:rsid w:val="0057633B"/>
  </w:style>
  <w:style w:type="paragraph" w:customStyle="1" w:styleId="08IPWPWRHEADINGLevel3">
    <w:name w:val="08 [IP_WP_WR]_HEADING Level 3"/>
    <w:basedOn w:val="Nadpis3"/>
    <w:qFormat/>
    <w:rsid w:val="0057633B"/>
    <w:pPr>
      <w:keepLines/>
      <w:numPr>
        <w:ilvl w:val="0"/>
        <w:numId w:val="0"/>
      </w:numPr>
      <w:spacing w:after="120"/>
    </w:pPr>
    <w:rPr>
      <w:rFonts w:ascii="Calibri" w:hAnsi="Calibri" w:cs="Times New Roman"/>
      <w:i/>
      <w:color w:val="0070C0"/>
      <w:sz w:val="28"/>
      <w:szCs w:val="28"/>
      <w:lang w:val="x-none" w:eastAsia="x-none"/>
    </w:rPr>
  </w:style>
  <w:style w:type="character" w:customStyle="1" w:styleId="IntenseEmphasis1">
    <w:name w:val="Intense Emphasis1"/>
    <w:qFormat/>
    <w:rsid w:val="0057633B"/>
    <w:rPr>
      <w:b/>
      <w:bCs/>
      <w:i/>
      <w:iCs/>
      <w:color w:val="4F81BD"/>
    </w:rPr>
  </w:style>
  <w:style w:type="paragraph" w:customStyle="1" w:styleId="Style6">
    <w:name w:val="Style6"/>
    <w:basedOn w:val="Normlny"/>
    <w:rsid w:val="0057633B"/>
    <w:pPr>
      <w:widowControl w:val="0"/>
      <w:autoSpaceDE w:val="0"/>
      <w:autoSpaceDN w:val="0"/>
      <w:adjustRightInd w:val="0"/>
      <w:spacing w:after="0" w:line="317" w:lineRule="exact"/>
      <w:ind w:hanging="278"/>
      <w:jc w:val="both"/>
    </w:pPr>
    <w:rPr>
      <w:rFonts w:ascii="Times New Roman" w:eastAsia="Times New Roman" w:hAnsi="Times New Roman" w:cs="Times New Roman"/>
      <w:sz w:val="24"/>
      <w:szCs w:val="24"/>
      <w:lang w:eastAsia="sk-SK"/>
    </w:rPr>
  </w:style>
  <w:style w:type="character" w:customStyle="1" w:styleId="FontStyle16">
    <w:name w:val="Font Style16"/>
    <w:rsid w:val="0057633B"/>
    <w:rPr>
      <w:rFonts w:ascii="Times New Roman" w:hAnsi="Times New Roman" w:cs="Times New Roman"/>
      <w:color w:val="000000"/>
      <w:sz w:val="22"/>
      <w:szCs w:val="22"/>
    </w:rPr>
  </w:style>
  <w:style w:type="paragraph" w:customStyle="1" w:styleId="Style5">
    <w:name w:val="Style5"/>
    <w:basedOn w:val="Normlny"/>
    <w:rsid w:val="0057633B"/>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sk-SK"/>
    </w:rPr>
  </w:style>
  <w:style w:type="paragraph" w:customStyle="1" w:styleId="Style4">
    <w:name w:val="Style4"/>
    <w:basedOn w:val="Normlny"/>
    <w:rsid w:val="0057633B"/>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sk-SK"/>
    </w:rPr>
  </w:style>
  <w:style w:type="character" w:customStyle="1" w:styleId="FontStyle15">
    <w:name w:val="Font Style15"/>
    <w:rsid w:val="0057633B"/>
    <w:rPr>
      <w:rFonts w:ascii="Times New Roman" w:hAnsi="Times New Roman" w:cs="Times New Roman"/>
      <w:b/>
      <w:bCs/>
      <w:color w:val="000000"/>
      <w:sz w:val="22"/>
      <w:szCs w:val="22"/>
    </w:rPr>
  </w:style>
  <w:style w:type="paragraph" w:customStyle="1" w:styleId="Default">
    <w:name w:val="Default"/>
    <w:rsid w:val="0057633B"/>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paragraph" w:customStyle="1" w:styleId="l41">
    <w:name w:val="l41"/>
    <w:basedOn w:val="Normlny"/>
    <w:rsid w:val="0057633B"/>
    <w:pPr>
      <w:spacing w:after="0" w:line="240" w:lineRule="auto"/>
      <w:jc w:val="both"/>
    </w:pPr>
    <w:rPr>
      <w:rFonts w:ascii="Times New Roman" w:eastAsia="Times New Roman" w:hAnsi="Times New Roman" w:cs="Times New Roman"/>
      <w:sz w:val="24"/>
      <w:szCs w:val="24"/>
      <w:lang w:eastAsia="sk-SK"/>
    </w:rPr>
  </w:style>
  <w:style w:type="character" w:customStyle="1" w:styleId="num1">
    <w:name w:val="num1"/>
    <w:rsid w:val="0057633B"/>
    <w:rPr>
      <w:b/>
      <w:bCs/>
      <w:color w:val="303030"/>
    </w:rPr>
  </w:style>
  <w:style w:type="paragraph" w:customStyle="1" w:styleId="l51">
    <w:name w:val="l51"/>
    <w:basedOn w:val="Normlny"/>
    <w:rsid w:val="0057633B"/>
    <w:pPr>
      <w:spacing w:after="0" w:line="240" w:lineRule="auto"/>
      <w:jc w:val="both"/>
    </w:pPr>
    <w:rPr>
      <w:rFonts w:ascii="Times New Roman" w:eastAsia="Times New Roman" w:hAnsi="Times New Roman" w:cs="Times New Roman"/>
      <w:sz w:val="24"/>
      <w:szCs w:val="24"/>
      <w:lang w:eastAsia="sk-SK"/>
    </w:rPr>
  </w:style>
  <w:style w:type="character" w:customStyle="1" w:styleId="Znakyprepoznmkupodiarou">
    <w:name w:val="Znaky pre poznámku pod čiarou"/>
    <w:rsid w:val="0057633B"/>
    <w:rPr>
      <w:rFonts w:cs="Times New Roman"/>
      <w:vertAlign w:val="superscript"/>
    </w:rPr>
  </w:style>
  <w:style w:type="character" w:customStyle="1" w:styleId="CharChar5">
    <w:name w:val="Char Char5"/>
    <w:semiHidden/>
    <w:locked/>
    <w:rsid w:val="0057633B"/>
    <w:rPr>
      <w:rFonts w:cs="Times New Roman"/>
      <w:sz w:val="2"/>
      <w:szCs w:val="2"/>
    </w:rPr>
  </w:style>
  <w:style w:type="character" w:customStyle="1" w:styleId="h1a1">
    <w:name w:val="h1a1"/>
    <w:rsid w:val="0057633B"/>
    <w:rPr>
      <w:vanish w:val="0"/>
      <w:webHidden w:val="0"/>
      <w:sz w:val="24"/>
      <w:szCs w:val="24"/>
      <w:specVanish w:val="0"/>
    </w:rPr>
  </w:style>
  <w:style w:type="paragraph" w:customStyle="1" w:styleId="Odsekzoznamu1">
    <w:name w:val="Odsek zoznamu1"/>
    <w:basedOn w:val="Normlny"/>
    <w:uiPriority w:val="34"/>
    <w:qFormat/>
    <w:rsid w:val="0057633B"/>
    <w:pPr>
      <w:spacing w:after="0" w:line="240" w:lineRule="auto"/>
      <w:ind w:left="708"/>
    </w:pPr>
    <w:rPr>
      <w:rFonts w:ascii="Times New Roman" w:eastAsia="Times New Roman" w:hAnsi="Times New Roman" w:cs="Times New Roman"/>
      <w:sz w:val="24"/>
      <w:szCs w:val="24"/>
      <w:lang w:eastAsia="sk-SK"/>
    </w:rPr>
  </w:style>
  <w:style w:type="paragraph" w:customStyle="1" w:styleId="Revzia1">
    <w:name w:val="Revízia1"/>
    <w:hidden/>
    <w:uiPriority w:val="99"/>
    <w:semiHidden/>
    <w:rsid w:val="0057633B"/>
    <w:pPr>
      <w:spacing w:after="0" w:line="240" w:lineRule="auto"/>
    </w:pPr>
    <w:rPr>
      <w:rFonts w:ascii="Times New Roman" w:eastAsia="Times New Roman" w:hAnsi="Times New Roman" w:cs="Times New Roman"/>
      <w:sz w:val="24"/>
      <w:szCs w:val="24"/>
      <w:lang w:eastAsia="sk-SK"/>
    </w:rPr>
  </w:style>
  <w:style w:type="paragraph" w:customStyle="1" w:styleId="Text1">
    <w:name w:val="Text 1"/>
    <w:basedOn w:val="Normlny"/>
    <w:rsid w:val="0057633B"/>
    <w:pPr>
      <w:spacing w:before="120" w:after="120" w:line="360" w:lineRule="auto"/>
      <w:ind w:left="850"/>
    </w:pPr>
    <w:rPr>
      <w:rFonts w:ascii="Times New Roman" w:eastAsia="Times New Roman" w:hAnsi="Times New Roman" w:cs="Times New Roman"/>
      <w:sz w:val="24"/>
      <w:szCs w:val="24"/>
    </w:rPr>
  </w:style>
  <w:style w:type="paragraph" w:customStyle="1" w:styleId="Nzovpredpisu">
    <w:name w:val="Názov predpisu"/>
    <w:basedOn w:val="Normlny"/>
    <w:uiPriority w:val="99"/>
    <w:rsid w:val="0057633B"/>
    <w:pPr>
      <w:spacing w:after="0" w:line="288" w:lineRule="auto"/>
      <w:jc w:val="center"/>
    </w:pPr>
    <w:rPr>
      <w:rFonts w:ascii="Times New Roman" w:eastAsia="Times New Roman" w:hAnsi="Times New Roman" w:cs="Times New Roman"/>
      <w:b/>
      <w:bCs/>
      <w:sz w:val="28"/>
      <w:szCs w:val="28"/>
      <w:lang w:eastAsia="sk-SK"/>
    </w:rPr>
  </w:style>
  <w:style w:type="character" w:styleId="Vrazn">
    <w:name w:val="Strong"/>
    <w:qFormat/>
    <w:rsid w:val="0057633B"/>
    <w:rPr>
      <w:rFonts w:cs="Times New Roman"/>
      <w:b/>
      <w:bCs/>
    </w:rPr>
  </w:style>
  <w:style w:type="paragraph" w:styleId="Zarkazkladnhotextu2">
    <w:name w:val="Body Text Indent 2"/>
    <w:basedOn w:val="Normlny"/>
    <w:link w:val="Zarkazkladnhotextu2Char"/>
    <w:uiPriority w:val="99"/>
    <w:semiHidden/>
    <w:unhideWhenUsed/>
    <w:rsid w:val="0057633B"/>
    <w:pPr>
      <w:autoSpaceDE w:val="0"/>
      <w:autoSpaceDN w:val="0"/>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semiHidden/>
    <w:rsid w:val="0057633B"/>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57633B"/>
    <w:rPr>
      <w:color w:val="605E5C"/>
      <w:shd w:val="clear" w:color="auto" w:fill="E1DFDD"/>
    </w:rPr>
  </w:style>
  <w:style w:type="numbering" w:customStyle="1" w:styleId="Bezzoznamu4">
    <w:name w:val="Bez zoznamu4"/>
    <w:next w:val="Bezzoznamu"/>
    <w:uiPriority w:val="99"/>
    <w:semiHidden/>
    <w:unhideWhenUsed/>
    <w:rsid w:val="0057633B"/>
  </w:style>
  <w:style w:type="table" w:customStyle="1" w:styleId="Mriekatabuky3">
    <w:name w:val="Mriežka tabuľky3"/>
    <w:basedOn w:val="Normlnatabuka"/>
    <w:next w:val="Mriekatabuky"/>
    <w:rsid w:val="0057633B"/>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
    <w:name w:val="Bez zoznamu5"/>
    <w:next w:val="Bezzoznamu"/>
    <w:uiPriority w:val="99"/>
    <w:semiHidden/>
    <w:unhideWhenUsed/>
    <w:rsid w:val="0057633B"/>
  </w:style>
  <w:style w:type="table" w:customStyle="1" w:styleId="Mriekatabuky4">
    <w:name w:val="Mriežka tabuľky4"/>
    <w:basedOn w:val="Normlnatabuka"/>
    <w:next w:val="Mriekatabuky"/>
    <w:rsid w:val="0057633B"/>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7633B"/>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5925">
      <w:bodyDiv w:val="1"/>
      <w:marLeft w:val="0"/>
      <w:marRight w:val="0"/>
      <w:marTop w:val="0"/>
      <w:marBottom w:val="0"/>
      <w:divBdr>
        <w:top w:val="none" w:sz="0" w:space="0" w:color="auto"/>
        <w:left w:val="none" w:sz="0" w:space="0" w:color="auto"/>
        <w:bottom w:val="none" w:sz="0" w:space="0" w:color="auto"/>
        <w:right w:val="none" w:sz="0" w:space="0" w:color="auto"/>
      </w:divBdr>
    </w:div>
    <w:div w:id="375129238">
      <w:bodyDiv w:val="1"/>
      <w:marLeft w:val="0"/>
      <w:marRight w:val="0"/>
      <w:marTop w:val="0"/>
      <w:marBottom w:val="0"/>
      <w:divBdr>
        <w:top w:val="none" w:sz="0" w:space="0" w:color="auto"/>
        <w:left w:val="none" w:sz="0" w:space="0" w:color="auto"/>
        <w:bottom w:val="none" w:sz="0" w:space="0" w:color="auto"/>
        <w:right w:val="none" w:sz="0" w:space="0" w:color="auto"/>
      </w:divBdr>
    </w:div>
    <w:div w:id="385569550">
      <w:bodyDiv w:val="1"/>
      <w:marLeft w:val="0"/>
      <w:marRight w:val="0"/>
      <w:marTop w:val="0"/>
      <w:marBottom w:val="0"/>
      <w:divBdr>
        <w:top w:val="none" w:sz="0" w:space="0" w:color="auto"/>
        <w:left w:val="none" w:sz="0" w:space="0" w:color="auto"/>
        <w:bottom w:val="none" w:sz="0" w:space="0" w:color="auto"/>
        <w:right w:val="none" w:sz="0" w:space="0" w:color="auto"/>
      </w:divBdr>
      <w:divsChild>
        <w:div w:id="46225178">
          <w:marLeft w:val="0"/>
          <w:marRight w:val="270"/>
          <w:marTop w:val="0"/>
          <w:marBottom w:val="0"/>
          <w:divBdr>
            <w:top w:val="none" w:sz="0" w:space="0" w:color="auto"/>
            <w:left w:val="none" w:sz="0" w:space="0" w:color="auto"/>
            <w:bottom w:val="none" w:sz="0" w:space="0" w:color="auto"/>
            <w:right w:val="none" w:sz="0" w:space="0" w:color="auto"/>
          </w:divBdr>
        </w:div>
      </w:divsChild>
    </w:div>
    <w:div w:id="504712687">
      <w:bodyDiv w:val="1"/>
      <w:marLeft w:val="0"/>
      <w:marRight w:val="0"/>
      <w:marTop w:val="0"/>
      <w:marBottom w:val="0"/>
      <w:divBdr>
        <w:top w:val="none" w:sz="0" w:space="0" w:color="auto"/>
        <w:left w:val="none" w:sz="0" w:space="0" w:color="auto"/>
        <w:bottom w:val="none" w:sz="0" w:space="0" w:color="auto"/>
        <w:right w:val="none" w:sz="0" w:space="0" w:color="auto"/>
      </w:divBdr>
      <w:divsChild>
        <w:div w:id="865022947">
          <w:marLeft w:val="0"/>
          <w:marRight w:val="0"/>
          <w:marTop w:val="0"/>
          <w:marBottom w:val="0"/>
          <w:divBdr>
            <w:top w:val="none" w:sz="0" w:space="0" w:color="auto"/>
            <w:left w:val="none" w:sz="0" w:space="0" w:color="auto"/>
            <w:bottom w:val="none" w:sz="0" w:space="0" w:color="auto"/>
            <w:right w:val="none" w:sz="0" w:space="0" w:color="auto"/>
          </w:divBdr>
        </w:div>
      </w:divsChild>
    </w:div>
    <w:div w:id="682248507">
      <w:bodyDiv w:val="1"/>
      <w:marLeft w:val="0"/>
      <w:marRight w:val="0"/>
      <w:marTop w:val="0"/>
      <w:marBottom w:val="0"/>
      <w:divBdr>
        <w:top w:val="none" w:sz="0" w:space="0" w:color="auto"/>
        <w:left w:val="none" w:sz="0" w:space="0" w:color="auto"/>
        <w:bottom w:val="none" w:sz="0" w:space="0" w:color="auto"/>
        <w:right w:val="none" w:sz="0" w:space="0" w:color="auto"/>
      </w:divBdr>
      <w:divsChild>
        <w:div w:id="1896039195">
          <w:marLeft w:val="0"/>
          <w:marRight w:val="75"/>
          <w:marTop w:val="0"/>
          <w:marBottom w:val="0"/>
          <w:divBdr>
            <w:top w:val="none" w:sz="0" w:space="0" w:color="auto"/>
            <w:left w:val="none" w:sz="0" w:space="0" w:color="auto"/>
            <w:bottom w:val="none" w:sz="0" w:space="0" w:color="auto"/>
            <w:right w:val="none" w:sz="0" w:space="0" w:color="auto"/>
          </w:divBdr>
        </w:div>
        <w:div w:id="90778783">
          <w:marLeft w:val="0"/>
          <w:marRight w:val="0"/>
          <w:marTop w:val="0"/>
          <w:marBottom w:val="300"/>
          <w:divBdr>
            <w:top w:val="none" w:sz="0" w:space="0" w:color="auto"/>
            <w:left w:val="none" w:sz="0" w:space="0" w:color="auto"/>
            <w:bottom w:val="none" w:sz="0" w:space="0" w:color="auto"/>
            <w:right w:val="none" w:sz="0" w:space="0" w:color="auto"/>
          </w:divBdr>
        </w:div>
        <w:div w:id="1833643432">
          <w:marLeft w:val="255"/>
          <w:marRight w:val="0"/>
          <w:marTop w:val="75"/>
          <w:marBottom w:val="0"/>
          <w:divBdr>
            <w:top w:val="none" w:sz="0" w:space="0" w:color="auto"/>
            <w:left w:val="none" w:sz="0" w:space="0" w:color="auto"/>
            <w:bottom w:val="none" w:sz="0" w:space="0" w:color="auto"/>
            <w:right w:val="none" w:sz="0" w:space="0" w:color="auto"/>
          </w:divBdr>
        </w:div>
        <w:div w:id="495268947">
          <w:marLeft w:val="255"/>
          <w:marRight w:val="0"/>
          <w:marTop w:val="75"/>
          <w:marBottom w:val="0"/>
          <w:divBdr>
            <w:top w:val="none" w:sz="0" w:space="0" w:color="auto"/>
            <w:left w:val="none" w:sz="0" w:space="0" w:color="auto"/>
            <w:bottom w:val="none" w:sz="0" w:space="0" w:color="auto"/>
            <w:right w:val="none" w:sz="0" w:space="0" w:color="auto"/>
          </w:divBdr>
          <w:divsChild>
            <w:div w:id="323510401">
              <w:marLeft w:val="255"/>
              <w:marRight w:val="0"/>
              <w:marTop w:val="0"/>
              <w:marBottom w:val="0"/>
              <w:divBdr>
                <w:top w:val="none" w:sz="0" w:space="0" w:color="auto"/>
                <w:left w:val="none" w:sz="0" w:space="0" w:color="auto"/>
                <w:bottom w:val="none" w:sz="0" w:space="0" w:color="auto"/>
                <w:right w:val="none" w:sz="0" w:space="0" w:color="auto"/>
              </w:divBdr>
            </w:div>
            <w:div w:id="1431509788">
              <w:marLeft w:val="255"/>
              <w:marRight w:val="0"/>
              <w:marTop w:val="0"/>
              <w:marBottom w:val="0"/>
              <w:divBdr>
                <w:top w:val="none" w:sz="0" w:space="0" w:color="auto"/>
                <w:left w:val="none" w:sz="0" w:space="0" w:color="auto"/>
                <w:bottom w:val="none" w:sz="0" w:space="0" w:color="auto"/>
                <w:right w:val="none" w:sz="0" w:space="0" w:color="auto"/>
              </w:divBdr>
            </w:div>
            <w:div w:id="2137671719">
              <w:marLeft w:val="255"/>
              <w:marRight w:val="0"/>
              <w:marTop w:val="0"/>
              <w:marBottom w:val="0"/>
              <w:divBdr>
                <w:top w:val="none" w:sz="0" w:space="0" w:color="auto"/>
                <w:left w:val="none" w:sz="0" w:space="0" w:color="auto"/>
                <w:bottom w:val="none" w:sz="0" w:space="0" w:color="auto"/>
                <w:right w:val="none" w:sz="0" w:space="0" w:color="auto"/>
              </w:divBdr>
            </w:div>
            <w:div w:id="486897114">
              <w:marLeft w:val="255"/>
              <w:marRight w:val="0"/>
              <w:marTop w:val="0"/>
              <w:marBottom w:val="0"/>
              <w:divBdr>
                <w:top w:val="none" w:sz="0" w:space="0" w:color="auto"/>
                <w:left w:val="none" w:sz="0" w:space="0" w:color="auto"/>
                <w:bottom w:val="none" w:sz="0" w:space="0" w:color="auto"/>
                <w:right w:val="none" w:sz="0" w:space="0" w:color="auto"/>
              </w:divBdr>
            </w:div>
            <w:div w:id="1594166107">
              <w:marLeft w:val="255"/>
              <w:marRight w:val="0"/>
              <w:marTop w:val="0"/>
              <w:marBottom w:val="0"/>
              <w:divBdr>
                <w:top w:val="none" w:sz="0" w:space="0" w:color="auto"/>
                <w:left w:val="none" w:sz="0" w:space="0" w:color="auto"/>
                <w:bottom w:val="none" w:sz="0" w:space="0" w:color="auto"/>
                <w:right w:val="none" w:sz="0" w:space="0" w:color="auto"/>
              </w:divBdr>
            </w:div>
            <w:div w:id="644941024">
              <w:marLeft w:val="255"/>
              <w:marRight w:val="0"/>
              <w:marTop w:val="0"/>
              <w:marBottom w:val="0"/>
              <w:divBdr>
                <w:top w:val="none" w:sz="0" w:space="0" w:color="auto"/>
                <w:left w:val="none" w:sz="0" w:space="0" w:color="auto"/>
                <w:bottom w:val="none" w:sz="0" w:space="0" w:color="auto"/>
                <w:right w:val="none" w:sz="0" w:space="0" w:color="auto"/>
              </w:divBdr>
            </w:div>
          </w:divsChild>
        </w:div>
        <w:div w:id="2091267237">
          <w:marLeft w:val="255"/>
          <w:marRight w:val="0"/>
          <w:marTop w:val="75"/>
          <w:marBottom w:val="0"/>
          <w:divBdr>
            <w:top w:val="none" w:sz="0" w:space="0" w:color="auto"/>
            <w:left w:val="none" w:sz="0" w:space="0" w:color="auto"/>
            <w:bottom w:val="none" w:sz="0" w:space="0" w:color="auto"/>
            <w:right w:val="none" w:sz="0" w:space="0" w:color="auto"/>
          </w:divBdr>
        </w:div>
      </w:divsChild>
    </w:div>
    <w:div w:id="942570371">
      <w:bodyDiv w:val="1"/>
      <w:marLeft w:val="0"/>
      <w:marRight w:val="0"/>
      <w:marTop w:val="0"/>
      <w:marBottom w:val="0"/>
      <w:divBdr>
        <w:top w:val="none" w:sz="0" w:space="0" w:color="auto"/>
        <w:left w:val="none" w:sz="0" w:space="0" w:color="auto"/>
        <w:bottom w:val="none" w:sz="0" w:space="0" w:color="auto"/>
        <w:right w:val="none" w:sz="0" w:space="0" w:color="auto"/>
      </w:divBdr>
    </w:div>
    <w:div w:id="1155534836">
      <w:bodyDiv w:val="1"/>
      <w:marLeft w:val="0"/>
      <w:marRight w:val="0"/>
      <w:marTop w:val="0"/>
      <w:marBottom w:val="0"/>
      <w:divBdr>
        <w:top w:val="none" w:sz="0" w:space="0" w:color="auto"/>
        <w:left w:val="none" w:sz="0" w:space="0" w:color="auto"/>
        <w:bottom w:val="none" w:sz="0" w:space="0" w:color="auto"/>
        <w:right w:val="none" w:sz="0" w:space="0" w:color="auto"/>
      </w:divBdr>
    </w:div>
    <w:div w:id="1204708970">
      <w:bodyDiv w:val="1"/>
      <w:marLeft w:val="0"/>
      <w:marRight w:val="0"/>
      <w:marTop w:val="0"/>
      <w:marBottom w:val="0"/>
      <w:divBdr>
        <w:top w:val="none" w:sz="0" w:space="0" w:color="auto"/>
        <w:left w:val="none" w:sz="0" w:space="0" w:color="auto"/>
        <w:bottom w:val="none" w:sz="0" w:space="0" w:color="auto"/>
        <w:right w:val="none" w:sz="0" w:space="0" w:color="auto"/>
      </w:divBdr>
    </w:div>
    <w:div w:id="1469006309">
      <w:bodyDiv w:val="1"/>
      <w:marLeft w:val="0"/>
      <w:marRight w:val="0"/>
      <w:marTop w:val="0"/>
      <w:marBottom w:val="0"/>
      <w:divBdr>
        <w:top w:val="none" w:sz="0" w:space="0" w:color="auto"/>
        <w:left w:val="none" w:sz="0" w:space="0" w:color="auto"/>
        <w:bottom w:val="none" w:sz="0" w:space="0" w:color="auto"/>
        <w:right w:val="none" w:sz="0" w:space="0" w:color="auto"/>
      </w:divBdr>
    </w:div>
    <w:div w:id="1587420921">
      <w:bodyDiv w:val="1"/>
      <w:marLeft w:val="0"/>
      <w:marRight w:val="0"/>
      <w:marTop w:val="0"/>
      <w:marBottom w:val="0"/>
      <w:divBdr>
        <w:top w:val="none" w:sz="0" w:space="0" w:color="auto"/>
        <w:left w:val="none" w:sz="0" w:space="0" w:color="auto"/>
        <w:bottom w:val="none" w:sz="0" w:space="0" w:color="auto"/>
        <w:right w:val="none" w:sz="0" w:space="0" w:color="auto"/>
      </w:divBdr>
    </w:div>
    <w:div w:id="1692607644">
      <w:bodyDiv w:val="1"/>
      <w:marLeft w:val="0"/>
      <w:marRight w:val="0"/>
      <w:marTop w:val="0"/>
      <w:marBottom w:val="0"/>
      <w:divBdr>
        <w:top w:val="none" w:sz="0" w:space="0" w:color="auto"/>
        <w:left w:val="none" w:sz="0" w:space="0" w:color="auto"/>
        <w:bottom w:val="none" w:sz="0" w:space="0" w:color="auto"/>
        <w:right w:val="none" w:sz="0" w:space="0" w:color="auto"/>
      </w:divBdr>
    </w:div>
    <w:div w:id="1742098636">
      <w:bodyDiv w:val="1"/>
      <w:marLeft w:val="0"/>
      <w:marRight w:val="0"/>
      <w:marTop w:val="0"/>
      <w:marBottom w:val="0"/>
      <w:divBdr>
        <w:top w:val="none" w:sz="0" w:space="0" w:color="auto"/>
        <w:left w:val="none" w:sz="0" w:space="0" w:color="auto"/>
        <w:bottom w:val="none" w:sz="0" w:space="0" w:color="auto"/>
        <w:right w:val="none" w:sz="0" w:space="0" w:color="auto"/>
      </w:divBdr>
    </w:div>
    <w:div w:id="1803114469">
      <w:bodyDiv w:val="1"/>
      <w:marLeft w:val="0"/>
      <w:marRight w:val="0"/>
      <w:marTop w:val="0"/>
      <w:marBottom w:val="0"/>
      <w:divBdr>
        <w:top w:val="none" w:sz="0" w:space="0" w:color="auto"/>
        <w:left w:val="none" w:sz="0" w:space="0" w:color="auto"/>
        <w:bottom w:val="none" w:sz="0" w:space="0" w:color="auto"/>
        <w:right w:val="none" w:sz="0" w:space="0" w:color="auto"/>
      </w:divBdr>
      <w:divsChild>
        <w:div w:id="1790052692">
          <w:marLeft w:val="0"/>
          <w:marRight w:val="0"/>
          <w:marTop w:val="0"/>
          <w:marBottom w:val="0"/>
          <w:divBdr>
            <w:top w:val="none" w:sz="0" w:space="0" w:color="auto"/>
            <w:left w:val="none" w:sz="0" w:space="0" w:color="auto"/>
            <w:bottom w:val="none" w:sz="0" w:space="0" w:color="auto"/>
            <w:right w:val="none" w:sz="0" w:space="0" w:color="auto"/>
          </w:divBdr>
        </w:div>
      </w:divsChild>
    </w:div>
    <w:div w:id="1821264865">
      <w:bodyDiv w:val="1"/>
      <w:marLeft w:val="0"/>
      <w:marRight w:val="0"/>
      <w:marTop w:val="0"/>
      <w:marBottom w:val="0"/>
      <w:divBdr>
        <w:top w:val="none" w:sz="0" w:space="0" w:color="auto"/>
        <w:left w:val="none" w:sz="0" w:space="0" w:color="auto"/>
        <w:bottom w:val="none" w:sz="0" w:space="0" w:color="auto"/>
        <w:right w:val="none" w:sz="0" w:space="0" w:color="auto"/>
      </w:divBdr>
    </w:div>
    <w:div w:id="1852260443">
      <w:bodyDiv w:val="1"/>
      <w:marLeft w:val="0"/>
      <w:marRight w:val="0"/>
      <w:marTop w:val="0"/>
      <w:marBottom w:val="0"/>
      <w:divBdr>
        <w:top w:val="none" w:sz="0" w:space="0" w:color="auto"/>
        <w:left w:val="none" w:sz="0" w:space="0" w:color="auto"/>
        <w:bottom w:val="none" w:sz="0" w:space="0" w:color="auto"/>
        <w:right w:val="none" w:sz="0" w:space="0" w:color="auto"/>
      </w:divBdr>
    </w:div>
    <w:div w:id="20186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12/251/20250101"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ormy.normoff.gov.sk/vyhladavanie/?search=on&amp;classSign=656532&amp;csrt=17744354726723907080"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rmy.normoff.gov.sk/vyhladavanie/?search=on&amp;classSign=656532&amp;csrt=17744354726723907080"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s://normy.normoff.gov.sk/vyhladavanie/?search=on&amp;classSign=656532&amp;csrt=17744354726723907080" TargetMode="External"/><Relationship Id="rId4" Type="http://schemas.openxmlformats.org/officeDocument/2006/relationships/numbering" Target="numbering.xml"/><Relationship Id="rId9" Type="http://schemas.openxmlformats.org/officeDocument/2006/relationships/hyperlink" Target="https://normy.normoff.gov.sk/vyhladavanie/?search=on&amp;classSign=656532&amp;csrt=17744354726723907080"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3CF52F38788447A43E61D16C2BBC8B" ma:contentTypeVersion="4" ma:contentTypeDescription="Create a new document." ma:contentTypeScope="" ma:versionID="7b6de52bc65923b8eaf0707d00ea1c52">
  <xsd:schema xmlns:xsd="http://www.w3.org/2001/XMLSchema" xmlns:xs="http://www.w3.org/2001/XMLSchema" xmlns:p="http://schemas.microsoft.com/office/2006/metadata/properties" xmlns:ns2="5916a675-1cb6-4f8f-b5de-89db209f1482" targetNamespace="http://schemas.microsoft.com/office/2006/metadata/properties" ma:root="true" ma:fieldsID="4d68da31ef25d44f3ae246a328cce1ff" ns2:_="">
    <xsd:import namespace="5916a675-1cb6-4f8f-b5de-89db209f1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6a675-1cb6-4f8f-b5de-89db209f1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82204-FB51-4F41-B1F7-1987690502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89370C-E847-4A5A-AC4E-FA7962F4B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6a675-1cb6-4f8f-b5de-89db209f1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8DE57-B853-4E34-8F0F-48DF44407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13851</Words>
  <Characters>78954</Characters>
  <Application>Microsoft Office Word</Application>
  <DocSecurity>0</DocSecurity>
  <Lines>657</Lines>
  <Paragraphs>185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Vitoslavsky Daniel</dc:creator>
  <cp:keywords/>
  <dc:description/>
  <cp:lastModifiedBy>Rozborilova Monika</cp:lastModifiedBy>
  <cp:revision>4</cp:revision>
  <dcterms:created xsi:type="dcterms:W3CDTF">2025-05-06T09:33:00Z</dcterms:created>
  <dcterms:modified xsi:type="dcterms:W3CDTF">2025-05-06T13:52:00Z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0x010100363CF52F38788447A43E61D16C2BBC8B</vt:lpwstr>
  </property>
</Properties>
</file>